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64025F" w:rsidR="000341A4" w:rsidP="00AB6141" w:rsidRDefault="000341A4" w14:paraId="6752CB7C" w14:textId="77777777">
      <w:pPr>
        <w:pStyle w:val="Puesto"/>
        <w:tabs>
          <w:tab w:val="left" w:pos="2730"/>
          <w:tab w:val="center" w:pos="4419"/>
        </w:tabs>
        <w:jc w:val="both"/>
        <w:outlineLvl w:val="0"/>
        <w:rPr>
          <w:rStyle w:val="Textoennegrita"/>
          <w:lang w:val="es-ES"/>
        </w:rPr>
      </w:pPr>
    </w:p>
    <w:p w:rsidRPr="0064025F" w:rsidR="000341A4" w:rsidP="00AB6141" w:rsidRDefault="000341A4" w14:paraId="56329F19" w14:textId="77777777">
      <w:pPr>
        <w:pStyle w:val="Puesto"/>
        <w:tabs>
          <w:tab w:val="left" w:pos="2730"/>
          <w:tab w:val="center" w:pos="4419"/>
        </w:tabs>
        <w:outlineLvl w:val="0"/>
        <w:rPr>
          <w:rStyle w:val="Textoennegrita"/>
          <w:lang w:val="es-ES"/>
        </w:rPr>
      </w:pPr>
    </w:p>
    <w:p w:rsidRPr="0064025F" w:rsidR="001A4E48" w:rsidP="001A4E48" w:rsidRDefault="00D00142" w14:paraId="783043A4" w14:textId="04BDC507">
      <w:pPr>
        <w:pStyle w:val="Puesto"/>
        <w:tabs>
          <w:tab w:val="left" w:pos="2730"/>
          <w:tab w:val="center" w:pos="4419"/>
        </w:tabs>
        <w:outlineLvl w:val="0"/>
        <w:rPr>
          <w:rStyle w:val="Textoennegrita"/>
          <w:b/>
          <w:bCs/>
          <w:lang w:val="es-ES"/>
        </w:rPr>
      </w:pPr>
      <w:r w:rsidRPr="0064025F">
        <w:rPr>
          <w:rStyle w:val="Textoennegrita"/>
          <w:b/>
          <w:bCs/>
          <w:lang w:val="es-ES"/>
        </w:rPr>
        <w:t xml:space="preserve">RESOLUCION </w:t>
      </w:r>
      <w:proofErr w:type="spellStart"/>
      <w:r w:rsidRPr="0064025F">
        <w:rPr>
          <w:rStyle w:val="Textoennegrita"/>
          <w:b/>
          <w:bCs/>
          <w:lang w:val="es-ES"/>
        </w:rPr>
        <w:t>N°</w:t>
      </w:r>
      <w:proofErr w:type="spellEnd"/>
      <w:r w:rsidRPr="0064025F" w:rsidR="000341A4">
        <w:rPr>
          <w:rStyle w:val="Textoennegrita"/>
          <w:b/>
          <w:bCs/>
          <w:lang w:val="es-ES"/>
        </w:rPr>
        <w:t xml:space="preserve"> </w:t>
      </w:r>
      <w:r w:rsidRPr="0064025F" w:rsidR="005E0729">
        <w:rPr>
          <w:rStyle w:val="Textoennegrita"/>
          <w:b/>
          <w:bCs/>
          <w:lang w:val="es-ES"/>
        </w:rPr>
        <w:t>2</w:t>
      </w:r>
      <w:r w:rsidRPr="0064025F" w:rsidR="001F0BCC">
        <w:rPr>
          <w:rStyle w:val="Textoennegrita"/>
          <w:b/>
          <w:bCs/>
          <w:lang w:val="es-ES"/>
        </w:rPr>
        <w:t>1</w:t>
      </w:r>
      <w:r w:rsidRPr="0064025F" w:rsidR="008B7675">
        <w:rPr>
          <w:rStyle w:val="Textoennegrita"/>
          <w:b/>
          <w:bCs/>
          <w:lang w:val="es-ES"/>
        </w:rPr>
        <w:t>5</w:t>
      </w:r>
      <w:r w:rsidRPr="0064025F">
        <w:rPr>
          <w:rStyle w:val="Textoennegrita"/>
          <w:b/>
          <w:bCs/>
          <w:lang w:val="es-ES"/>
        </w:rPr>
        <w:t>/2</w:t>
      </w:r>
      <w:r w:rsidRPr="0064025F" w:rsidR="004B168E">
        <w:rPr>
          <w:rStyle w:val="Textoennegrita"/>
          <w:b/>
          <w:bCs/>
          <w:lang w:val="es-ES"/>
        </w:rPr>
        <w:t>4</w:t>
      </w:r>
    </w:p>
    <w:p w:rsidRPr="0064025F" w:rsidR="00681A20" w:rsidP="00531E54" w:rsidRDefault="00681A20" w14:paraId="36F19AE1" w14:textId="77777777">
      <w:pPr>
        <w:pStyle w:val="Puesto"/>
        <w:tabs>
          <w:tab w:val="left" w:pos="2730"/>
          <w:tab w:val="center" w:pos="4419"/>
        </w:tabs>
        <w:jc w:val="both"/>
        <w:outlineLvl w:val="0"/>
        <w:rPr>
          <w:lang w:val="es-ES"/>
        </w:rPr>
      </w:pPr>
    </w:p>
    <w:p w:rsidRPr="00C73CAF" w:rsidR="00C73CAF" w:rsidP="00C73CAF" w:rsidRDefault="00C73CAF" w14:paraId="42E9FB7F" w14:textId="77777777">
      <w:pPr>
        <w:jc w:val="both"/>
        <w:rPr>
          <w:rFonts w:ascii="Times New Roman" w:hAnsi="Times New Roman"/>
          <w:sz w:val="24"/>
          <w:szCs w:val="24"/>
          <w:lang w:val="es-ES"/>
        </w:rPr>
      </w:pPr>
      <w:r w:rsidRPr="00C73CAF">
        <w:rPr>
          <w:rFonts w:ascii="Times New Roman" w:hAnsi="Times New Roman"/>
          <w:b/>
          <w:bCs/>
          <w:sz w:val="24"/>
          <w:szCs w:val="24"/>
          <w:lang w:val="es-ES"/>
        </w:rPr>
        <w:t>VISTOS:</w:t>
      </w:r>
    </w:p>
    <w:p w:rsidRPr="00C73CAF" w:rsidR="00C73CAF" w:rsidP="00C73CAF" w:rsidRDefault="00C73CAF" w14:paraId="40D59A1A" w14:textId="79C4D599">
      <w:pPr>
        <w:jc w:val="both"/>
        <w:rPr>
          <w:rFonts w:ascii="Times New Roman" w:hAnsi="Times New Roman"/>
          <w:sz w:val="24"/>
          <w:szCs w:val="24"/>
        </w:rPr>
      </w:pPr>
      <w:r w:rsidRPr="60605900" w:rsidR="00C73CAF">
        <w:rPr>
          <w:rFonts w:ascii="Times New Roman" w:hAnsi="Times New Roman"/>
          <w:sz w:val="24"/>
          <w:szCs w:val="24"/>
        </w:rPr>
        <w:t xml:space="preserve">Que, doña </w:t>
      </w:r>
      <w:r w:rsidRPr="60605900" w:rsidR="13FAA7CC">
        <w:rPr>
          <w:rFonts w:ascii="Times New Roman" w:hAnsi="Times New Roman"/>
          <w:b w:val="1"/>
          <w:bCs w:val="1"/>
          <w:sz w:val="24"/>
          <w:szCs w:val="24"/>
          <w:lang w:val="en-US"/>
        </w:rPr>
        <w:t>............................................................</w:t>
      </w:r>
      <w:r w:rsidRPr="60605900" w:rsidR="00C73CAF">
        <w:rPr>
          <w:rFonts w:ascii="Times New Roman" w:hAnsi="Times New Roman"/>
          <w:b w:val="1"/>
          <w:bCs w:val="1"/>
          <w:sz w:val="24"/>
          <w:szCs w:val="24"/>
        </w:rPr>
        <w:t xml:space="preserve"> </w:t>
      </w:r>
      <w:r w:rsidRPr="60605900" w:rsidR="00C73CAF">
        <w:rPr>
          <w:rFonts w:ascii="Times New Roman" w:hAnsi="Times New Roman"/>
          <w:sz w:val="24"/>
          <w:szCs w:val="24"/>
        </w:rPr>
        <w:t xml:space="preserve">(en adelante, la reclamante) interpone reclamación ante esta Defensoría del Asegurado (DEFASEG), solicitando que </w:t>
      </w:r>
      <w:r w:rsidRPr="60605900" w:rsidR="5210AF0E">
        <w:rPr>
          <w:rFonts w:ascii="Times New Roman" w:hAnsi="Times New Roman"/>
          <w:b w:val="1"/>
          <w:bCs w:val="1"/>
          <w:sz w:val="24"/>
          <w:szCs w:val="24"/>
        </w:rPr>
        <w:t>........................................................................................</w:t>
      </w:r>
      <w:r w:rsidRPr="60605900" w:rsidR="00C73CAF">
        <w:rPr>
          <w:rFonts w:ascii="Times New Roman" w:hAnsi="Times New Roman"/>
          <w:b w:val="1"/>
          <w:bCs w:val="1"/>
          <w:sz w:val="24"/>
          <w:szCs w:val="24"/>
        </w:rPr>
        <w:t xml:space="preserve"> </w:t>
      </w:r>
      <w:r w:rsidRPr="60605900" w:rsidR="00C73CAF">
        <w:rPr>
          <w:rFonts w:ascii="Times New Roman" w:hAnsi="Times New Roman"/>
          <w:sz w:val="24"/>
          <w:szCs w:val="24"/>
        </w:rPr>
        <w:t>(en adelante, la aseguradora)</w:t>
      </w:r>
      <w:r w:rsidRPr="60605900" w:rsidR="00C73CAF">
        <w:rPr>
          <w:rFonts w:ascii="Times New Roman" w:hAnsi="Times New Roman"/>
          <w:b w:val="1"/>
          <w:bCs w:val="1"/>
          <w:sz w:val="24"/>
          <w:szCs w:val="24"/>
        </w:rPr>
        <w:t xml:space="preserve"> </w:t>
      </w:r>
      <w:r w:rsidRPr="60605900" w:rsidR="00C73CAF">
        <w:rPr>
          <w:rFonts w:ascii="Times New Roman" w:hAnsi="Times New Roman"/>
          <w:sz w:val="24"/>
          <w:szCs w:val="24"/>
        </w:rPr>
        <w:t xml:space="preserve">apruebe su solicitud de cobertura correspondiente al siniestro sufrido el pasado 02 de febrero de 2024, por concepto del </w:t>
      </w:r>
      <w:r w:rsidRPr="60605900" w:rsidR="00C73CAF">
        <w:rPr>
          <w:rFonts w:ascii="Times New Roman" w:hAnsi="Times New Roman"/>
          <w:sz w:val="24"/>
          <w:szCs w:val="24"/>
        </w:rPr>
        <w:t xml:space="preserve">Seguro de Protección de Tarjetas Plus - Póliza </w:t>
      </w:r>
      <w:r w:rsidRPr="60605900" w:rsidR="00C73CAF">
        <w:rPr>
          <w:rFonts w:ascii="Times New Roman" w:hAnsi="Times New Roman"/>
          <w:sz w:val="24"/>
          <w:szCs w:val="24"/>
        </w:rPr>
        <w:t>N°</w:t>
      </w:r>
      <w:r w:rsidRPr="60605900" w:rsidR="00C73CAF">
        <w:rPr>
          <w:rFonts w:ascii="Times New Roman" w:hAnsi="Times New Roman"/>
          <w:sz w:val="24"/>
          <w:szCs w:val="24"/>
        </w:rPr>
        <w:t xml:space="preserve"> </w:t>
      </w:r>
      <w:r w:rsidRPr="60605900" w:rsidR="7DF1E30F">
        <w:rPr>
          <w:rFonts w:ascii="Times New Roman" w:hAnsi="Times New Roman"/>
          <w:sz w:val="24"/>
          <w:szCs w:val="24"/>
        </w:rPr>
        <w:t>..........................</w:t>
      </w:r>
      <w:r w:rsidRPr="60605900" w:rsidR="00C73CAF">
        <w:rPr>
          <w:rFonts w:ascii="Times New Roman" w:hAnsi="Times New Roman"/>
          <w:sz w:val="24"/>
          <w:szCs w:val="24"/>
        </w:rPr>
        <w:t xml:space="preserve"> (en adelante, la póliza).</w:t>
      </w:r>
    </w:p>
    <w:p w:rsidRPr="00C73CAF" w:rsidR="00C73CAF" w:rsidP="00C73CAF" w:rsidRDefault="00C73CAF" w14:paraId="6B768021" w14:textId="77777777">
      <w:pPr>
        <w:jc w:val="both"/>
        <w:rPr>
          <w:rFonts w:ascii="Times New Roman" w:hAnsi="Times New Roman"/>
          <w:sz w:val="24"/>
          <w:szCs w:val="24"/>
        </w:rPr>
      </w:pPr>
      <w:r w:rsidRPr="00C73CAF">
        <w:rPr>
          <w:rFonts w:ascii="Times New Roman" w:hAnsi="Times New Roman"/>
          <w:sz w:val="24"/>
          <w:szCs w:val="24"/>
        </w:rPr>
        <w:t>Que, la señalada reclamación cumple con los requisitos de materia, cuantía y oportunidad establecidos en el Reglamento de la DEFASEG (http://www.defaseg.com.pe/reglamento);</w:t>
      </w:r>
    </w:p>
    <w:p w:rsidRPr="00C73CAF" w:rsidR="00C73CAF" w:rsidP="00C73CAF" w:rsidRDefault="00C73CAF" w14:paraId="7768AF9C" w14:textId="77777777">
      <w:pPr>
        <w:jc w:val="both"/>
        <w:rPr>
          <w:rFonts w:ascii="Times New Roman" w:hAnsi="Times New Roman"/>
          <w:sz w:val="24"/>
          <w:szCs w:val="24"/>
        </w:rPr>
      </w:pPr>
      <w:r w:rsidRPr="00C73CAF">
        <w:rPr>
          <w:rFonts w:ascii="Times New Roman" w:hAnsi="Times New Roman"/>
          <w:sz w:val="24"/>
          <w:szCs w:val="24"/>
        </w:rPr>
        <w:t>Que, habiéndosele corrido traslado de la respectiva reclamación, la aseguradora presentó sus respectivos descargos y la documentación solicitada;</w:t>
      </w:r>
    </w:p>
    <w:p w:rsidRPr="00C73CAF" w:rsidR="00C73CAF" w:rsidP="00C73CAF" w:rsidRDefault="00C73CAF" w14:paraId="792948C5" w14:textId="77777777">
      <w:pPr>
        <w:jc w:val="both"/>
        <w:rPr>
          <w:rFonts w:ascii="Times New Roman" w:hAnsi="Times New Roman"/>
          <w:sz w:val="24"/>
          <w:szCs w:val="24"/>
        </w:rPr>
      </w:pPr>
      <w:r w:rsidRPr="00C73CAF">
        <w:rPr>
          <w:rFonts w:ascii="Times New Roman" w:hAnsi="Times New Roman"/>
          <w:sz w:val="24"/>
          <w:szCs w:val="24"/>
        </w:rPr>
        <w:t>Que, el 19 de agosto de 2024 se realizó la audiencia virtual de vista con la concurrencia de ambas partes, quienes tuvieron oportunidad de exponer sus respectivas posiciones tratándose de la materia reclamada, absolviendo las diversas preguntas que les fueron formuladas. Asimismo, en la referida audiencia se otorgó a la aseguradora un plazo de 02 (dos) días hábiles, a fin de presentar su precisión sobre cada uno de los conceptos reclamados por la reclamante. No obstante, a la fecha, la aseguradora no cumplió con dicho requerimiento;</w:t>
      </w:r>
    </w:p>
    <w:p w:rsidRPr="00C73CAF" w:rsidR="00C73CAF" w:rsidP="00C73CAF" w:rsidRDefault="00C73CAF" w14:paraId="1DE64524" w14:textId="41EF8B93">
      <w:pPr>
        <w:jc w:val="both"/>
        <w:rPr>
          <w:rFonts w:ascii="Times New Roman" w:hAnsi="Times New Roman"/>
          <w:sz w:val="24"/>
          <w:szCs w:val="24"/>
        </w:rPr>
      </w:pPr>
      <w:r w:rsidRPr="60605900" w:rsidR="00C73CAF">
        <w:rPr>
          <w:rFonts w:ascii="Times New Roman" w:hAnsi="Times New Roman"/>
          <w:sz w:val="24"/>
          <w:szCs w:val="24"/>
          <w:lang w:val="es-ES"/>
        </w:rPr>
        <w:t xml:space="preserve">Que, en síntesis, la reclamante manifiesta lo siguiente: a) </w:t>
      </w:r>
      <w:r w:rsidRPr="60605900" w:rsidR="00C73CAF">
        <w:rPr>
          <w:rFonts w:ascii="Times New Roman" w:hAnsi="Times New Roman"/>
          <w:sz w:val="24"/>
          <w:szCs w:val="24"/>
        </w:rPr>
        <w:t xml:space="preserve">el 02 de febrero de 2024 retiró USD 15,000.00 de su tarjeta de débito en una agencia del BCP en Plaza Norte. Luego, fue asaltada en el paradero del centro comercial, donde un delincuente lo forzó a ingresar a un vehículo, robándole la tarjeta de débito, una tarjeta de crédito AMEX GOLD, y el dinero retirado; b) tras ser liberada, denunció el robo en la comisaría Sol de Oro. Señala que, por miedo, inicialmente bloqueó solo su tarjeta de débito, pero luego, solicitó el bloqueo total de sus tarjetas BCP, ya que el delincuente lo obligó a revelar sus claves bancarias; c) la reclamante señala que, tras su liberación, el delincuente retiró USD 800.00 de su cuenta. Por ello, el 03 de febrero de 2024, solicitó al BCP la cobertura del seguro “Protección de Tarjetas Plus” por USD 15,800.00, correspondiente al total del robo (Solicitud </w:t>
      </w:r>
      <w:r w:rsidRPr="60605900" w:rsidR="24E30820">
        <w:rPr>
          <w:rFonts w:ascii="Times New Roman" w:hAnsi="Times New Roman"/>
          <w:sz w:val="24"/>
          <w:szCs w:val="24"/>
        </w:rPr>
        <w:t>..........................</w:t>
      </w:r>
      <w:r w:rsidRPr="60605900" w:rsidR="00C73CAF">
        <w:rPr>
          <w:rFonts w:ascii="Times New Roman" w:hAnsi="Times New Roman"/>
          <w:sz w:val="24"/>
          <w:szCs w:val="24"/>
        </w:rPr>
        <w:t xml:space="preserve">); d) detectó dos transacciones adicionales realizadas por el delincuente el día del robo: un pago de USD 5,683.84 desde su tarjeta AMEX GOLD y una transferencia de USD 10,000.00 desde su tarjeta de débito BCP a favor de </w:t>
      </w:r>
      <w:r w:rsidRPr="60605900" w:rsidR="72207615">
        <w:rPr>
          <w:rFonts w:ascii="Times New Roman" w:hAnsi="Times New Roman"/>
          <w:sz w:val="24"/>
          <w:szCs w:val="24"/>
        </w:rPr>
        <w:t>..........................................................</w:t>
      </w:r>
      <w:r w:rsidRPr="60605900" w:rsidR="00C73CAF">
        <w:rPr>
          <w:rFonts w:ascii="Times New Roman" w:hAnsi="Times New Roman"/>
          <w:sz w:val="24"/>
          <w:szCs w:val="24"/>
        </w:rPr>
        <w:t xml:space="preserve">, cliente del BCP; e) el 06 de febrero del 2024, la reclamante ingresó una nueva solicitud ante el BCP sintetizando los cuatro movimientos bancarios ejecutados por el delincuente (Solicitud </w:t>
      </w:r>
      <w:r w:rsidRPr="60605900" w:rsidR="7D7DF760">
        <w:rPr>
          <w:rFonts w:ascii="Times New Roman" w:hAnsi="Times New Roman"/>
          <w:sz w:val="24"/>
          <w:szCs w:val="24"/>
        </w:rPr>
        <w:t>......................</w:t>
      </w:r>
      <w:r w:rsidRPr="60605900" w:rsidR="00C73CAF">
        <w:rPr>
          <w:rFonts w:ascii="Times New Roman" w:hAnsi="Times New Roman"/>
          <w:sz w:val="24"/>
          <w:szCs w:val="24"/>
        </w:rPr>
        <w:t xml:space="preserve">); f) el 09 de febrero de 2024, el BCP le informó que sus solicitudes </w:t>
      </w:r>
      <w:r w:rsidRPr="60605900" w:rsidR="24E30820">
        <w:rPr>
          <w:rFonts w:ascii="Times New Roman" w:hAnsi="Times New Roman"/>
          <w:sz w:val="24"/>
          <w:szCs w:val="24"/>
        </w:rPr>
        <w:t>..........................</w:t>
      </w:r>
      <w:r w:rsidRPr="60605900" w:rsidR="00C73CAF">
        <w:rPr>
          <w:rFonts w:ascii="Times New Roman" w:hAnsi="Times New Roman"/>
          <w:sz w:val="24"/>
          <w:szCs w:val="24"/>
        </w:rPr>
        <w:t xml:space="preserve"> y </w:t>
      </w:r>
      <w:r w:rsidRPr="60605900" w:rsidR="7D7DF760">
        <w:rPr>
          <w:rFonts w:ascii="Times New Roman" w:hAnsi="Times New Roman"/>
          <w:sz w:val="24"/>
          <w:szCs w:val="24"/>
        </w:rPr>
        <w:t>......................</w:t>
      </w:r>
      <w:r w:rsidRPr="60605900" w:rsidR="00C73CAF">
        <w:rPr>
          <w:rFonts w:ascii="Times New Roman" w:hAnsi="Times New Roman"/>
          <w:sz w:val="24"/>
          <w:szCs w:val="24"/>
        </w:rPr>
        <w:t xml:space="preserve"> se trataban como un solo siniestro, respondiendo solo a la primera; g) el 12 de febrero, el BCP comunicó que su solicitud fue trasladada a la aseguradora para evaluar la cobertura. </w:t>
      </w:r>
      <w:r w:rsidRPr="60605900" w:rsidR="00C73CAF">
        <w:rPr>
          <w:rFonts w:ascii="Times New Roman" w:hAnsi="Times New Roman"/>
          <w:sz w:val="24"/>
          <w:szCs w:val="24"/>
        </w:rPr>
        <w:t>Finalmente, esta le informó que estaba evaluando su solicitud y le solicitó someterse a una prueba poligráfica para aclarar los hechos; h) la aseguradora hizo obligatoria la prueba poligráfica, advirtiendo que, sin ella, su solicitud sería archivada.</w:t>
      </w:r>
      <w:r w:rsidRPr="60605900" w:rsidR="00C73CAF">
        <w:rPr>
          <w:rFonts w:ascii="Times New Roman" w:hAnsi="Times New Roman"/>
          <w:sz w:val="24"/>
          <w:szCs w:val="24"/>
        </w:rPr>
        <w:t xml:space="preserve"> El 29 de febrero de 2024, </w:t>
      </w:r>
      <w:r w:rsidRPr="60605900" w:rsidR="00C73CAF">
        <w:rPr>
          <w:rFonts w:ascii="Times New Roman" w:hAnsi="Times New Roman"/>
          <w:sz w:val="24"/>
          <w:szCs w:val="24"/>
        </w:rPr>
        <w:t xml:space="preserve">realizó el examen a pesar de las secuelas psicológicas; i) el examen se centró únicamente en el robo de USD 15,000.00 y el retiro de USD 800.00, a pesar de que el BCP había indicado que se consideraría conjuntamente con la otra solicitud, que exponía el robo total de USD 30,800.00; j) el 15 de marzo de 2024, la aseguradora rechazó la cobertura del seguro, alegando que la prueba poligráfica mostró supuestas reacciones de engaño, sin considerar las denuncias a la PNP ni los avisos realizados al BCP. Señala que la aseguradora debió haber considerado el artículo 69 de la Ley de Contrato de Seguro; k) la indemnización se pierde solo con prueba de fraude, siendo que el examen de polígrafo solo debe orientar y no probar. Por lo que, no es suficiente para rechazar la cobertura; l) la aseguradora actuó de mala fe al rechazar la cobertura basándose únicamente en un examen de polígrafo impreciso, el cual no debía ser usado como prueba definitiva, y que pudo estar influenciado por factores psicológicos; </w:t>
      </w:r>
    </w:p>
    <w:p w:rsidRPr="00C73CAF" w:rsidR="00C73CAF" w:rsidP="00C73CAF" w:rsidRDefault="00C73CAF" w14:paraId="160A9DDF" w14:textId="4CBC6D14">
      <w:pPr>
        <w:jc w:val="both"/>
        <w:rPr>
          <w:rFonts w:ascii="Times New Roman" w:hAnsi="Times New Roman"/>
          <w:sz w:val="24"/>
          <w:szCs w:val="24"/>
          <w:lang w:val="es-ES"/>
        </w:rPr>
      </w:pPr>
      <w:r w:rsidRPr="60605900" w:rsidR="00C73CAF">
        <w:rPr>
          <w:rFonts w:ascii="Times New Roman" w:hAnsi="Times New Roman"/>
          <w:sz w:val="24"/>
          <w:szCs w:val="24"/>
        </w:rPr>
        <w:t xml:space="preserve">Que, asimismo, la reclamante agrega posteriormente, en resumen, lo siguiente: a) la prueba del polígrafo debe ser vista como un medio auxiliar para obtener información adicional y evaluar la veracidad de las declaraciones; b) según la aseguradora, el examen del polígrafo tiene como objetivo aclarar las circunstancias del siniestro, y no debe ser el único criterio para determinar la veracidad de los hechos denunciados; c) según la resolución Nro. </w:t>
      </w:r>
      <w:r w:rsidRPr="60605900" w:rsidR="6178387E">
        <w:rPr>
          <w:rFonts w:ascii="Times New Roman" w:hAnsi="Times New Roman"/>
          <w:sz w:val="24"/>
          <w:szCs w:val="24"/>
        </w:rPr>
        <w:t>................</w:t>
      </w:r>
      <w:r w:rsidRPr="60605900" w:rsidR="00C73CAF">
        <w:rPr>
          <w:rFonts w:ascii="Times New Roman" w:hAnsi="Times New Roman"/>
          <w:sz w:val="24"/>
          <w:szCs w:val="24"/>
        </w:rPr>
        <w:t>, del 05 de marzo de 2024, se necesitan criterios objetivos para cuestionar la declaración. Afirma que esto no se cumplió, ya que el polígrafo solo abordó los "retiros de dinero"; d) las preguntas del polígrafo eran ambiguas y combinaban "planear cometer fraude" con los "retiros de dinero", lo que pudo haber causado confusión y respuestas fisiológicas complejas debido a la situación; e) el rechazo de cobertura basado en la proximidad del siniestro a la contratación del seguro y la coincidencia entre la pérdida económica y la suma asegurada es ilógico;</w:t>
      </w:r>
    </w:p>
    <w:p w:rsidRPr="00C73CAF" w:rsidR="00C73CAF" w:rsidP="00C73CAF" w:rsidRDefault="00C73CAF" w14:paraId="1E66EBFC" w14:textId="77777777">
      <w:pPr>
        <w:jc w:val="both"/>
        <w:rPr>
          <w:rFonts w:ascii="Times New Roman" w:hAnsi="Times New Roman"/>
          <w:sz w:val="24"/>
          <w:szCs w:val="24"/>
        </w:rPr>
      </w:pPr>
      <w:r w:rsidRPr="00C73CAF">
        <w:rPr>
          <w:rFonts w:ascii="Times New Roman" w:hAnsi="Times New Roman"/>
          <w:sz w:val="24"/>
          <w:szCs w:val="24"/>
          <w:lang w:val="es-ES"/>
        </w:rPr>
        <w:t xml:space="preserve">Que, por su parte, la posición de la aseguradora, en resumen, es la siguiente: </w:t>
      </w:r>
      <w:r w:rsidRPr="00C73CAF">
        <w:rPr>
          <w:rFonts w:ascii="Times New Roman" w:hAnsi="Times New Roman"/>
          <w:sz w:val="24"/>
          <w:szCs w:val="24"/>
        </w:rPr>
        <w:t xml:space="preserve">a) la reclamante informó que el 2 de febrero de 2024, retiró USD 15,000.00 en la agencia BCP de Plaza Norte. Posteriormente, fue secuestrada por delincuentes que le robaron el dinero, varias tarjetas, su celular y monedas, y luego la abandonaron. También detectó que los delincuentes realizaron un retiro de USD 800.00 de su tarjeta BCP; b) el mismo día del incidente, la reclamante denunció el hecho y solicitó la cobertura del seguro, presentando la documentación necesaria; c) el 12 de febrero de 2024, la aseguradora le solicitó realizar una prueba poligráfica según lo estipulado en la póliza. El 29 de febrero de 2024, la reclamante se sometió a la prueba en </w:t>
      </w:r>
      <w:proofErr w:type="spellStart"/>
      <w:r w:rsidRPr="00C73CAF">
        <w:rPr>
          <w:rFonts w:ascii="Times New Roman" w:hAnsi="Times New Roman"/>
          <w:sz w:val="24"/>
          <w:szCs w:val="24"/>
        </w:rPr>
        <w:t>Polygraph</w:t>
      </w:r>
      <w:proofErr w:type="spellEnd"/>
      <w:r w:rsidRPr="00C73CAF">
        <w:rPr>
          <w:rFonts w:ascii="Times New Roman" w:hAnsi="Times New Roman"/>
          <w:sz w:val="24"/>
          <w:szCs w:val="24"/>
        </w:rPr>
        <w:t xml:space="preserve"> </w:t>
      </w:r>
      <w:proofErr w:type="spellStart"/>
      <w:r w:rsidRPr="00C73CAF">
        <w:rPr>
          <w:rFonts w:ascii="Times New Roman" w:hAnsi="Times New Roman"/>
          <w:sz w:val="24"/>
          <w:szCs w:val="24"/>
        </w:rPr>
        <w:t>Quality</w:t>
      </w:r>
      <w:proofErr w:type="spellEnd"/>
      <w:r w:rsidRPr="00C73CAF">
        <w:rPr>
          <w:rFonts w:ascii="Times New Roman" w:hAnsi="Times New Roman"/>
          <w:sz w:val="24"/>
          <w:szCs w:val="24"/>
        </w:rPr>
        <w:t xml:space="preserve"> Control E.I.R.L., y el informe mostró reacciones de engaño en sus respuestas; d) sobre la base del Informe de Polígrafo, se le comunicó a la reclamante el rechazo de su cobertura el 22 de marzo de 2024, debido a una reclamación fraudulenta; e) la reclamante conocía las condiciones de la póliza. Estas condiciones permitían solicitar una prueba poligráfica para esclarecer el siniestro; f) según el Informe de Polígrafo que mostró reacciones de engaño en sus respuestas, se rechazó la cobertura por considerar la reclamación fraudulenta. Por ello, citan el artículo 73 de la Ley de Contrato de Seguro; g) el artículo citado establece tres situaciones en las que se pierde el derecho a indemnización: 1) fraude del asegurado; 2) exageración de daños; y 3) uso de pruebas falsas; h) en caso de fraude, como ocultar o tergiversar información, se pierde el derecho a la indemnización. Se considera que la reclamante actuó de manera fraudulenta al solicitar cobertura con declaraciones falsas; i) se observaron dudas razonables sobre el siniestro, como que ocurrió poco después de </w:t>
      </w:r>
      <w:r w:rsidRPr="00C73CAF">
        <w:rPr>
          <w:rFonts w:ascii="Times New Roman" w:hAnsi="Times New Roman"/>
          <w:sz w:val="24"/>
          <w:szCs w:val="24"/>
        </w:rPr>
        <w:t xml:space="preserve">contratar el seguro y que las pérdidas reclamadas coincidían con las sumas aseguradas; j) tras el examen poligráfico, </w:t>
      </w:r>
      <w:proofErr w:type="spellStart"/>
      <w:r w:rsidRPr="00C73CAF">
        <w:rPr>
          <w:rFonts w:ascii="Times New Roman" w:hAnsi="Times New Roman"/>
          <w:sz w:val="24"/>
          <w:szCs w:val="24"/>
        </w:rPr>
        <w:t>Polygraph</w:t>
      </w:r>
      <w:proofErr w:type="spellEnd"/>
      <w:r w:rsidRPr="00C73CAF">
        <w:rPr>
          <w:rFonts w:ascii="Times New Roman" w:hAnsi="Times New Roman"/>
          <w:sz w:val="24"/>
          <w:szCs w:val="24"/>
        </w:rPr>
        <w:t xml:space="preserve"> </w:t>
      </w:r>
      <w:proofErr w:type="spellStart"/>
      <w:r w:rsidRPr="00C73CAF">
        <w:rPr>
          <w:rFonts w:ascii="Times New Roman" w:hAnsi="Times New Roman"/>
          <w:sz w:val="24"/>
          <w:szCs w:val="24"/>
        </w:rPr>
        <w:t>Quality</w:t>
      </w:r>
      <w:proofErr w:type="spellEnd"/>
      <w:r w:rsidRPr="00C73CAF">
        <w:rPr>
          <w:rFonts w:ascii="Times New Roman" w:hAnsi="Times New Roman"/>
          <w:sz w:val="24"/>
          <w:szCs w:val="24"/>
        </w:rPr>
        <w:t xml:space="preserve"> Control E.I.R.L. concluyó que la reclamante mostró indicios de engaño en sus respuestas a las preguntas relevantes, indicando que respondió falsamente; k) dado que es difícil probar el siniestro, la denuncia policial es clave. La prueba poligráfica mostró que la declaración de la reclamante era falsa, indicando fraude en la reclamación; l) DEFASEG ha validado previamente la prueba del polígrafo como un medio objetivo para cuestionar la veracidad de las declaraciones de la asegurada;</w:t>
      </w:r>
    </w:p>
    <w:p w:rsidRPr="00C73CAF" w:rsidR="00C73CAF" w:rsidP="00C73CAF" w:rsidRDefault="00C73CAF" w14:paraId="6D77E3BB" w14:textId="77777777">
      <w:pPr>
        <w:jc w:val="both"/>
        <w:rPr>
          <w:rFonts w:ascii="Times New Roman" w:hAnsi="Times New Roman"/>
          <w:sz w:val="24"/>
          <w:szCs w:val="24"/>
        </w:rPr>
      </w:pPr>
    </w:p>
    <w:p w:rsidRPr="0064025F" w:rsidR="00C73CAF" w:rsidP="00C73CAF" w:rsidRDefault="00C73CAF" w14:paraId="626B007F" w14:textId="77777777">
      <w:pPr>
        <w:jc w:val="both"/>
        <w:rPr>
          <w:rFonts w:ascii="Times New Roman" w:hAnsi="Times New Roman"/>
          <w:sz w:val="24"/>
          <w:szCs w:val="24"/>
          <w:lang w:val="es-ES"/>
        </w:rPr>
      </w:pPr>
      <w:r w:rsidRPr="00C73CAF">
        <w:rPr>
          <w:rFonts w:ascii="Times New Roman" w:hAnsi="Times New Roman"/>
          <w:b/>
          <w:bCs/>
          <w:sz w:val="24"/>
          <w:szCs w:val="24"/>
          <w:lang w:val="es-ES"/>
        </w:rPr>
        <w:t>CONSIDERANDO:</w:t>
      </w:r>
    </w:p>
    <w:p w:rsidRPr="00C73CAF" w:rsidR="00C73CAF" w:rsidP="00C73CAF" w:rsidRDefault="00C73CAF" w14:paraId="233B4EB2" w14:textId="4ABD7CD6">
      <w:pPr>
        <w:jc w:val="both"/>
        <w:rPr>
          <w:rFonts w:ascii="Times New Roman" w:hAnsi="Times New Roman"/>
          <w:sz w:val="24"/>
          <w:szCs w:val="24"/>
          <w:lang w:val="es-ES"/>
        </w:rPr>
      </w:pPr>
      <w:r w:rsidRPr="00C73CAF">
        <w:rPr>
          <w:rFonts w:ascii="Times New Roman" w:hAnsi="Times New Roman"/>
          <w:b/>
          <w:sz w:val="24"/>
          <w:szCs w:val="24"/>
          <w:u w:val="single"/>
        </w:rPr>
        <w:t>Primero</w:t>
      </w:r>
      <w:r w:rsidRPr="00C73CAF">
        <w:rPr>
          <w:rFonts w:ascii="Times New Roman" w:hAnsi="Times New Roman"/>
          <w:b/>
          <w:sz w:val="24"/>
          <w:szCs w:val="24"/>
        </w:rPr>
        <w:t xml:space="preserve">: </w:t>
      </w:r>
      <w:r w:rsidRPr="00C73CAF">
        <w:rPr>
          <w:rFonts w:ascii="Times New Roman" w:hAnsi="Times New Roman"/>
          <w:sz w:val="24"/>
          <w:szCs w:val="24"/>
        </w:rPr>
        <w:t>Conforme a su Reglamento, la</w:t>
      </w:r>
      <w:r w:rsidRPr="00C73CAF">
        <w:rPr>
          <w:rFonts w:ascii="Times New Roman" w:hAnsi="Times New Roman"/>
          <w:b/>
          <w:bCs/>
          <w:sz w:val="24"/>
          <w:szCs w:val="24"/>
        </w:rPr>
        <w:t xml:space="preserve"> </w:t>
      </w:r>
      <w:r w:rsidRPr="00C73CAF">
        <w:rPr>
          <w:rFonts w:ascii="Times New Roman" w:hAnsi="Times New Roman"/>
          <w:sz w:val="24"/>
          <w:szCs w:val="24"/>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C73CAF" w:rsidR="00C73CAF" w:rsidP="00C73CAF" w:rsidRDefault="00C73CAF" w14:paraId="78F3A4A3" w14:textId="77777777">
      <w:pPr>
        <w:jc w:val="both"/>
        <w:rPr>
          <w:rFonts w:ascii="Times New Roman" w:hAnsi="Times New Roman"/>
          <w:bCs/>
          <w:sz w:val="24"/>
          <w:szCs w:val="24"/>
        </w:rPr>
      </w:pPr>
      <w:r w:rsidRPr="00C73CAF">
        <w:rPr>
          <w:rFonts w:ascii="Times New Roman" w:hAnsi="Times New Roman"/>
          <w:b/>
          <w:bCs/>
          <w:sz w:val="24"/>
          <w:szCs w:val="24"/>
          <w:u w:val="single"/>
        </w:rPr>
        <w:t>Segundo</w:t>
      </w:r>
      <w:r w:rsidRPr="00C73CAF">
        <w:rPr>
          <w:rFonts w:ascii="Times New Roman" w:hAnsi="Times New Roman"/>
          <w:b/>
          <w:bCs/>
          <w:sz w:val="24"/>
          <w:szCs w:val="24"/>
        </w:rPr>
        <w:t>:</w:t>
      </w:r>
      <w:r w:rsidRPr="00C73CAF">
        <w:rPr>
          <w:rFonts w:ascii="Times New Roman" w:hAnsi="Times New Roman"/>
          <w:bCs/>
          <w:sz w:val="24"/>
          <w:szCs w:val="24"/>
        </w:rPr>
        <w:t xml:space="preserve"> </w:t>
      </w:r>
      <w:r w:rsidRPr="00C73CAF">
        <w:rPr>
          <w:rFonts w:ascii="Times New Roman" w:hAnsi="Times New Roman"/>
          <w:sz w:val="24"/>
          <w:szCs w:val="24"/>
        </w:rPr>
        <w:t xml:space="preserve">Asimismo, de acuerdo a </w:t>
      </w:r>
      <w:r w:rsidRPr="00C73CAF">
        <w:rPr>
          <w:rFonts w:ascii="Times New Roman" w:hAnsi="Times New Roman"/>
          <w:bCs/>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C73CAF" w:rsidR="00C73CAF" w:rsidP="00C73CAF" w:rsidRDefault="00C73CAF" w14:paraId="396B75CF" w14:textId="77777777">
      <w:pPr>
        <w:jc w:val="both"/>
        <w:rPr>
          <w:rFonts w:ascii="Times New Roman" w:hAnsi="Times New Roman"/>
          <w:sz w:val="24"/>
          <w:szCs w:val="24"/>
          <w:lang w:val="es-ES"/>
        </w:rPr>
      </w:pPr>
      <w:r w:rsidRPr="00C73CAF">
        <w:rPr>
          <w:rFonts w:ascii="Times New Roman" w:hAnsi="Times New Roman"/>
          <w:b/>
          <w:bCs/>
          <w:sz w:val="24"/>
          <w:szCs w:val="24"/>
          <w:u w:val="single"/>
        </w:rPr>
        <w:t>Tercero</w:t>
      </w:r>
      <w:r w:rsidRPr="00C73CAF">
        <w:rPr>
          <w:rFonts w:ascii="Times New Roman" w:hAnsi="Times New Roman"/>
          <w:b/>
          <w:bCs/>
          <w:sz w:val="24"/>
          <w:szCs w:val="24"/>
        </w:rPr>
        <w:t>:</w:t>
      </w:r>
      <w:r w:rsidRPr="00C73CAF">
        <w:rPr>
          <w:rFonts w:ascii="Times New Roman" w:hAnsi="Times New Roman"/>
          <w:sz w:val="24"/>
          <w:szCs w:val="24"/>
        </w:rPr>
        <w:t xml:space="preserve"> Que, de acuerdo a la Ley Nro. </w:t>
      </w:r>
      <w:r w:rsidRPr="00C73CAF">
        <w:rPr>
          <w:rFonts w:ascii="Times New Roman" w:hAnsi="Times New Roman"/>
          <w:sz w:val="24"/>
          <w:szCs w:val="24"/>
          <w:lang w:val="es-ES"/>
        </w:rPr>
        <w:t xml:space="preserve">29946 – Ley del Contrato de Seguro, norma legal vigente con ocasión de la celebración del contrato al cual se contrae el presente caso, </w:t>
      </w:r>
      <w:r w:rsidRPr="00C73CAF">
        <w:rPr>
          <w:rFonts w:ascii="Times New Roman" w:hAnsi="Times New Roman"/>
          <w:sz w:val="24"/>
          <w:szCs w:val="24"/>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C73CAF" w:rsidR="00C73CAF" w:rsidP="00C73CAF" w:rsidRDefault="00C73CAF" w14:paraId="30ECA76C" w14:textId="77777777">
      <w:pPr>
        <w:jc w:val="both"/>
        <w:rPr>
          <w:rFonts w:ascii="Times New Roman" w:hAnsi="Times New Roman"/>
          <w:sz w:val="24"/>
          <w:szCs w:val="24"/>
        </w:rPr>
      </w:pPr>
      <w:r w:rsidRPr="00C73CAF">
        <w:rPr>
          <w:rFonts w:ascii="Times New Roman" w:hAnsi="Times New Roman"/>
          <w:b/>
          <w:sz w:val="24"/>
          <w:szCs w:val="24"/>
          <w:u w:val="single"/>
        </w:rPr>
        <w:t>Cuarto</w:t>
      </w:r>
      <w:r w:rsidRPr="00C73CAF">
        <w:rPr>
          <w:rFonts w:ascii="Times New Roman" w:hAnsi="Times New Roman"/>
          <w:b/>
          <w:sz w:val="24"/>
          <w:szCs w:val="24"/>
        </w:rPr>
        <w:t>:</w:t>
      </w:r>
      <w:r w:rsidRPr="00C73CAF">
        <w:rPr>
          <w:rFonts w:ascii="Times New Roman" w:hAnsi="Times New Roman"/>
          <w:sz w:val="24"/>
          <w:szCs w:val="24"/>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C73CAF" w:rsidR="00C73CAF" w:rsidP="00C73CAF" w:rsidRDefault="00C73CAF" w14:paraId="7A5A591F" w14:textId="77777777">
      <w:pPr>
        <w:jc w:val="both"/>
        <w:rPr>
          <w:rFonts w:ascii="Times New Roman" w:hAnsi="Times New Roman"/>
          <w:sz w:val="24"/>
          <w:szCs w:val="24"/>
          <w:lang w:val="es-ES"/>
        </w:rPr>
      </w:pPr>
      <w:r w:rsidRPr="00C73CAF">
        <w:rPr>
          <w:rFonts w:ascii="Times New Roman" w:hAnsi="Times New Roman"/>
          <w:b/>
          <w:bCs/>
          <w:sz w:val="24"/>
          <w:szCs w:val="24"/>
          <w:u w:val="single"/>
        </w:rPr>
        <w:t>Quinto</w:t>
      </w:r>
      <w:r w:rsidRPr="00C73CAF">
        <w:rPr>
          <w:rFonts w:ascii="Times New Roman" w:hAnsi="Times New Roman"/>
          <w:b/>
          <w:bCs/>
          <w:sz w:val="24"/>
          <w:szCs w:val="24"/>
        </w:rPr>
        <w:t xml:space="preserve">: </w:t>
      </w:r>
      <w:r w:rsidRPr="00C73CAF">
        <w:rPr>
          <w:rFonts w:ascii="Times New Roman" w:hAnsi="Times New Roman"/>
          <w:sz w:val="24"/>
          <w:szCs w:val="24"/>
        </w:rPr>
        <w:t>Que, conforme al</w:t>
      </w:r>
      <w:r w:rsidRPr="00C73CAF">
        <w:rPr>
          <w:rFonts w:ascii="Times New Roman" w:hAnsi="Times New Roman"/>
          <w:b/>
          <w:bCs/>
          <w:sz w:val="24"/>
          <w:szCs w:val="24"/>
        </w:rPr>
        <w:t xml:space="preserve"> </w:t>
      </w:r>
      <w:r w:rsidRPr="00C73CAF">
        <w:rPr>
          <w:rFonts w:ascii="Times New Roman" w:hAnsi="Times New Roman"/>
          <w:sz w:val="24"/>
          <w:szCs w:val="24"/>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C73CAF" w:rsidR="00C73CAF" w:rsidP="00C73CAF" w:rsidRDefault="00C73CAF" w14:paraId="36D09C57" w14:textId="77777777">
      <w:pPr>
        <w:jc w:val="both"/>
        <w:rPr>
          <w:rFonts w:ascii="Times New Roman" w:hAnsi="Times New Roman"/>
          <w:sz w:val="24"/>
          <w:szCs w:val="24"/>
          <w:lang w:val="es-ES"/>
        </w:rPr>
      </w:pPr>
      <w:r w:rsidRPr="00C73CAF">
        <w:rPr>
          <w:rFonts w:ascii="Times New Roman" w:hAnsi="Times New Roman"/>
          <w:b/>
          <w:bCs/>
          <w:sz w:val="24"/>
          <w:szCs w:val="24"/>
          <w:u w:val="single"/>
        </w:rPr>
        <w:t>Sexto</w:t>
      </w:r>
      <w:r w:rsidRPr="00C73CAF">
        <w:rPr>
          <w:rFonts w:ascii="Times New Roman" w:hAnsi="Times New Roman"/>
          <w:b/>
          <w:bCs/>
          <w:sz w:val="24"/>
          <w:szCs w:val="24"/>
        </w:rPr>
        <w:t xml:space="preserve">: </w:t>
      </w:r>
      <w:r w:rsidRPr="00C73CAF">
        <w:rPr>
          <w:rFonts w:ascii="Times New Roman" w:hAnsi="Times New Roman"/>
          <w:sz w:val="24"/>
          <w:szCs w:val="24"/>
        </w:rPr>
        <w:t>Que, sin perjuicio de lo indicado y el recuento de argumentos de las partes</w:t>
      </w:r>
      <w:r w:rsidRPr="00C73CAF">
        <w:rPr>
          <w:rFonts w:ascii="Times New Roman" w:hAnsi="Times New Roman"/>
          <w:sz w:val="24"/>
          <w:szCs w:val="24"/>
          <w:lang w:val="es-ES"/>
        </w:rPr>
        <w:t xml:space="preserve">, resulta preciso señalar que el Colegiado ha tomado en consideración, todos los argumentos presentados por las partes, sin perjuicio de que ello conste -de forma explícita- en el resumen </w:t>
      </w:r>
      <w:r w:rsidRPr="00C73CAF">
        <w:rPr>
          <w:rFonts w:ascii="Times New Roman" w:hAnsi="Times New Roman"/>
          <w:sz w:val="24"/>
          <w:szCs w:val="24"/>
          <w:lang w:val="es-ES"/>
        </w:rPr>
        <w:t>de los argumentos de estos. En ese sentido, es preciso señalar que el recuento de las posiciones refleja lo que, según el presente Colegiado, son los principales argumentos, no pretendiendo ser un listado exhaustivo de estos</w:t>
      </w:r>
      <w:r w:rsidRPr="00C73CAF">
        <w:rPr>
          <w:rFonts w:ascii="Times New Roman" w:hAnsi="Times New Roman"/>
          <w:sz w:val="24"/>
          <w:szCs w:val="24"/>
        </w:rPr>
        <w:t>.</w:t>
      </w:r>
    </w:p>
    <w:p w:rsidRPr="00C73CAF" w:rsidR="00C73CAF" w:rsidP="00C73CAF" w:rsidRDefault="00C73CAF" w14:paraId="3AEBE892" w14:textId="027E1051">
      <w:pPr>
        <w:jc w:val="both"/>
        <w:rPr>
          <w:rFonts w:ascii="Times New Roman" w:hAnsi="Times New Roman"/>
          <w:b w:val="1"/>
          <w:bCs w:val="1"/>
          <w:sz w:val="24"/>
          <w:szCs w:val="24"/>
          <w:lang w:val="es-ES"/>
        </w:rPr>
      </w:pPr>
      <w:r w:rsidRPr="60605900" w:rsidR="00C73CAF">
        <w:rPr>
          <w:rFonts w:ascii="Times New Roman" w:hAnsi="Times New Roman"/>
          <w:b w:val="1"/>
          <w:bCs w:val="1"/>
          <w:sz w:val="24"/>
          <w:szCs w:val="24"/>
          <w:u w:val="single"/>
          <w:lang w:val="es-ES"/>
        </w:rPr>
        <w:t>Sétimo</w:t>
      </w:r>
      <w:r w:rsidRPr="60605900" w:rsidR="00C73CAF">
        <w:rPr>
          <w:rFonts w:ascii="Times New Roman" w:hAnsi="Times New Roman"/>
          <w:b w:val="1"/>
          <w:bCs w:val="1"/>
          <w:sz w:val="24"/>
          <w:szCs w:val="24"/>
          <w:lang w:val="es-ES"/>
        </w:rPr>
        <w:t>:</w:t>
      </w:r>
      <w:r w:rsidRPr="60605900" w:rsidR="00C73CAF">
        <w:rPr>
          <w:rFonts w:ascii="Times New Roman" w:hAnsi="Times New Roman"/>
          <w:b w:val="1"/>
          <w:bCs w:val="1"/>
          <w:sz w:val="24"/>
          <w:szCs w:val="24"/>
        </w:rPr>
        <w:t xml:space="preserve"> </w:t>
      </w:r>
      <w:r w:rsidRPr="60605900" w:rsidR="00C73CAF">
        <w:rPr>
          <w:rFonts w:ascii="Times New Roman" w:hAnsi="Times New Roman"/>
          <w:sz w:val="24"/>
          <w:szCs w:val="24"/>
        </w:rPr>
        <w:t xml:space="preserve"> </w:t>
      </w:r>
      <w:r w:rsidRPr="60605900" w:rsidR="00C73CAF">
        <w:rPr>
          <w:rFonts w:ascii="Times New Roman" w:hAnsi="Times New Roman"/>
          <w:sz w:val="24"/>
          <w:szCs w:val="24"/>
          <w:lang w:val="es-ES"/>
        </w:rPr>
        <w:t xml:space="preserve">Que, en el presente caso se discute la legitimidad del rechazo de cobertura realizado por la aseguradora y reseñada en la parte introductoria de la presente resolución, la que se sustenta en lo afirmado en la Carta </w:t>
      </w:r>
      <w:r w:rsidRPr="60605900" w:rsidR="00C73CAF">
        <w:rPr>
          <w:rFonts w:ascii="Times New Roman" w:hAnsi="Times New Roman"/>
          <w:sz w:val="24"/>
          <w:szCs w:val="24"/>
          <w:lang w:val="es-ES"/>
        </w:rPr>
        <w:t>N°</w:t>
      </w:r>
      <w:r w:rsidRPr="60605900" w:rsidR="00C73CAF">
        <w:rPr>
          <w:rFonts w:ascii="Times New Roman" w:hAnsi="Times New Roman"/>
          <w:sz w:val="24"/>
          <w:szCs w:val="24"/>
          <w:lang w:val="es-ES"/>
        </w:rPr>
        <w:t xml:space="preserve"> </w:t>
      </w:r>
      <w:r w:rsidRPr="60605900" w:rsidR="69D01CE7">
        <w:rPr>
          <w:rFonts w:ascii="Times New Roman" w:hAnsi="Times New Roman"/>
          <w:sz w:val="24"/>
          <w:szCs w:val="24"/>
          <w:lang w:val="es-ES"/>
        </w:rPr>
        <w:t>.........................................</w:t>
      </w:r>
      <w:r w:rsidRPr="60605900" w:rsidR="00C73CAF">
        <w:rPr>
          <w:rFonts w:ascii="Times New Roman" w:hAnsi="Times New Roman"/>
          <w:sz w:val="24"/>
          <w:szCs w:val="24"/>
          <w:lang w:val="es-ES"/>
        </w:rPr>
        <w:t xml:space="preserve"> de fecha 15 de marzo de 2024</w:t>
      </w:r>
      <w:r w:rsidRPr="60605900" w:rsidR="00C73CAF">
        <w:rPr>
          <w:rFonts w:ascii="Times New Roman" w:hAnsi="Times New Roman"/>
          <w:sz w:val="24"/>
          <w:szCs w:val="24"/>
        </w:rPr>
        <w:t xml:space="preserve"> (en adelante, la Carta de Rechazo), la que indica lo siguiente:</w:t>
      </w:r>
    </w:p>
    <w:p w:rsidRPr="00C73CAF" w:rsidR="00C73CAF" w:rsidP="00C73CAF" w:rsidRDefault="00C73CAF" w14:paraId="074603C8" w14:textId="77777777">
      <w:pPr>
        <w:jc w:val="both"/>
        <w:rPr>
          <w:rFonts w:ascii="Times New Roman" w:hAnsi="Times New Roman"/>
          <w:bCs/>
          <w:sz w:val="24"/>
          <w:szCs w:val="24"/>
          <w:lang w:val="es-ES"/>
        </w:rPr>
      </w:pPr>
    </w:p>
    <w:p w:rsidRPr="00C73CAF" w:rsidR="00C73CAF" w:rsidP="00C73CAF" w:rsidRDefault="00C73CAF" w14:paraId="240BC1DC" w14:textId="7779C98E">
      <w:pPr>
        <w:jc w:val="both"/>
        <w:rPr>
          <w:rFonts w:ascii="Times New Roman" w:hAnsi="Times New Roman"/>
          <w:bCs/>
          <w:sz w:val="24"/>
          <w:szCs w:val="24"/>
          <w:lang w:val="es-ES"/>
        </w:rPr>
      </w:pPr>
      <w:r w:rsidRPr="0064025F">
        <w:rPr>
          <w:rFonts w:ascii="Times New Roman" w:hAnsi="Times New Roman"/>
          <w:sz w:val="24"/>
          <w:szCs w:val="24"/>
          <w:lang w:val="es-ES"/>
        </w:rPr>
        <w:drawing>
          <wp:inline distT="0" distB="0" distL="0" distR="0" wp14:anchorId="59B2FEE8" wp14:editId="7AA8FD0A">
            <wp:extent cx="5612130" cy="1249045"/>
            <wp:effectExtent l="0" t="0" r="7620" b="8255"/>
            <wp:docPr id="695593939"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593939" name="Imagen 2" descr="Texto&#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2130" cy="1249045"/>
                    </a:xfrm>
                    <a:prstGeom prst="rect">
                      <a:avLst/>
                    </a:prstGeom>
                    <a:noFill/>
                    <a:ln>
                      <a:noFill/>
                    </a:ln>
                  </pic:spPr>
                </pic:pic>
              </a:graphicData>
            </a:graphic>
          </wp:inline>
        </w:drawing>
      </w:r>
    </w:p>
    <w:p w:rsidRPr="0064025F" w:rsidR="000221A8" w:rsidP="00C73CAF" w:rsidRDefault="00C73CAF" w14:paraId="333A0C41" w14:textId="77777777">
      <w:pPr>
        <w:jc w:val="both"/>
        <w:rPr>
          <w:rFonts w:ascii="Times New Roman" w:hAnsi="Times New Roman"/>
          <w:bCs/>
          <w:sz w:val="24"/>
          <w:szCs w:val="24"/>
        </w:rPr>
      </w:pPr>
      <w:r w:rsidRPr="00C73CAF">
        <w:rPr>
          <w:rFonts w:ascii="Times New Roman" w:hAnsi="Times New Roman"/>
          <w:bCs/>
          <w:sz w:val="24"/>
          <w:szCs w:val="24"/>
        </w:rPr>
        <w:t>En resumen, según la Carta de Rechazo, la reclamante habría incurrido en un caso de actuación fraudulenta, por lo que, en aplicación de lo dispuesto en el artículo 73° de la Ley del Contrato de Seguro, esta perdería sus derechos indemnizatorios propios del siniestro reclamado.</w:t>
      </w:r>
    </w:p>
    <w:p w:rsidRPr="00C73CAF" w:rsidR="00C73CAF" w:rsidP="00C73CAF" w:rsidRDefault="00C73CAF" w14:paraId="7E02FE2E" w14:textId="53670BBC">
      <w:pPr>
        <w:jc w:val="both"/>
        <w:rPr>
          <w:rFonts w:ascii="Times New Roman" w:hAnsi="Times New Roman"/>
          <w:bCs/>
          <w:sz w:val="24"/>
          <w:szCs w:val="24"/>
        </w:rPr>
      </w:pPr>
      <w:r w:rsidRPr="00C73CAF">
        <w:rPr>
          <w:rFonts w:ascii="Times New Roman" w:hAnsi="Times New Roman"/>
          <w:bCs/>
          <w:sz w:val="24"/>
          <w:szCs w:val="24"/>
        </w:rPr>
        <w:t>Ante ello, corresponde analizar el siniestro y lo expuesto por la reclamante, a fin de determinar la legitimidad del rechazo objeto de la presente controversia.</w:t>
      </w:r>
    </w:p>
    <w:p w:rsidRPr="00C73CAF" w:rsidR="00C73CAF" w:rsidP="000221A8" w:rsidRDefault="00C73CAF" w14:paraId="53A3E527" w14:textId="24953E85">
      <w:pPr>
        <w:jc w:val="both"/>
        <w:rPr>
          <w:rFonts w:ascii="Times New Roman" w:hAnsi="Times New Roman"/>
          <w:sz w:val="24"/>
          <w:szCs w:val="24"/>
        </w:rPr>
      </w:pPr>
      <w:r w:rsidRPr="00C73CAF">
        <w:rPr>
          <w:rFonts w:ascii="Times New Roman" w:hAnsi="Times New Roman"/>
          <w:b/>
          <w:sz w:val="24"/>
          <w:szCs w:val="24"/>
          <w:u w:val="single"/>
        </w:rPr>
        <w:t>Octavo</w:t>
      </w:r>
      <w:r w:rsidRPr="00C73CAF">
        <w:rPr>
          <w:rFonts w:ascii="Times New Roman" w:hAnsi="Times New Roman"/>
          <w:b/>
          <w:sz w:val="24"/>
          <w:szCs w:val="24"/>
        </w:rPr>
        <w:t xml:space="preserve">: </w:t>
      </w:r>
      <w:r w:rsidRPr="00C73CAF">
        <w:rPr>
          <w:rFonts w:ascii="Times New Roman" w:hAnsi="Times New Roman"/>
          <w:sz w:val="24"/>
          <w:szCs w:val="24"/>
        </w:rPr>
        <w:t xml:space="preserve">Que, para analizar el presente caso, resulta indispensable contar con una definición clara de lo que implica el rechazo de la aseguradora. En ese sentido, resulta importante remitirnos a la Ley del Contrato de Seguro cuando dispone lo siguiente: </w:t>
      </w:r>
    </w:p>
    <w:p w:rsidRPr="00C73CAF" w:rsidR="00C73CAF" w:rsidP="000221A8" w:rsidRDefault="00C73CAF" w14:paraId="519AF48A" w14:textId="77777777">
      <w:pPr>
        <w:ind w:left="1416"/>
        <w:jc w:val="both"/>
        <w:rPr>
          <w:rFonts w:ascii="Times New Roman" w:hAnsi="Times New Roman"/>
          <w:sz w:val="24"/>
          <w:szCs w:val="24"/>
        </w:rPr>
      </w:pPr>
      <w:r w:rsidRPr="00C73CAF">
        <w:rPr>
          <w:rFonts w:ascii="Times New Roman" w:hAnsi="Times New Roman"/>
          <w:b/>
          <w:bCs/>
          <w:sz w:val="24"/>
          <w:szCs w:val="24"/>
        </w:rPr>
        <w:t>Artículo 73. Fraude</w:t>
      </w:r>
    </w:p>
    <w:p w:rsidRPr="00C73CAF" w:rsidR="00C73CAF" w:rsidP="000221A8" w:rsidRDefault="00C73CAF" w14:paraId="76E40DDB" w14:textId="2A81CE3B">
      <w:pPr>
        <w:ind w:left="1416"/>
        <w:jc w:val="both"/>
        <w:rPr>
          <w:rFonts w:ascii="Times New Roman" w:hAnsi="Times New Roman"/>
          <w:sz w:val="24"/>
          <w:szCs w:val="24"/>
        </w:rPr>
      </w:pPr>
      <w:r w:rsidRPr="00C73CAF">
        <w:rPr>
          <w:rFonts w:ascii="Times New Roman" w:hAnsi="Times New Roman"/>
          <w:sz w:val="24"/>
          <w:szCs w:val="24"/>
        </w:rPr>
        <w:t>El asegurado pierde el derecho a ser indemnizado si actúa fraudulentamente, exagera los daños o emplea medios falsos para probarlos.</w:t>
      </w:r>
    </w:p>
    <w:p w:rsidRPr="00C73CAF" w:rsidR="00C73CAF" w:rsidP="0064025F" w:rsidRDefault="00C73CAF" w14:paraId="31624DD4" w14:textId="6C08BB54">
      <w:pPr>
        <w:jc w:val="both"/>
        <w:rPr>
          <w:rFonts w:ascii="Times New Roman" w:hAnsi="Times New Roman"/>
          <w:sz w:val="24"/>
          <w:szCs w:val="24"/>
        </w:rPr>
      </w:pPr>
      <w:r w:rsidRPr="00C73CAF">
        <w:rPr>
          <w:rFonts w:ascii="Times New Roman" w:hAnsi="Times New Roman"/>
          <w:sz w:val="24"/>
          <w:szCs w:val="24"/>
        </w:rPr>
        <w:t>De este modo, resulta de vital importancia determinar si, en el presente caso, la reclamante ha incurrido en el supuesto de hecho contemplado en la norma glosada y, de este modo, ha actuado fraudulentamente.</w:t>
      </w:r>
    </w:p>
    <w:p w:rsidRPr="00C73CAF" w:rsidR="00C73CAF" w:rsidP="00C73CAF" w:rsidRDefault="00C73CAF" w14:paraId="61F34B5D" w14:textId="1FE881CB">
      <w:pPr>
        <w:jc w:val="both"/>
        <w:rPr>
          <w:rFonts w:ascii="Times New Roman" w:hAnsi="Times New Roman"/>
          <w:sz w:val="24"/>
          <w:szCs w:val="24"/>
        </w:rPr>
      </w:pPr>
      <w:r w:rsidRPr="00C73CAF">
        <w:rPr>
          <w:rFonts w:ascii="Times New Roman" w:hAnsi="Times New Roman"/>
          <w:sz w:val="24"/>
          <w:szCs w:val="24"/>
        </w:rPr>
        <w:t>Sobre el particular, tenemos que los medios probatorios presentados por la reclamante, más allá de los referidos al procedimiento de reclamo de cobertura ante la aseguradora, se limitan a la denuncia policial. En ese sentido, no se cuenta con investigación, documento o medio probatorio conducente que se dirija a acreditar que los hechos sucedieron como los narra la reclamante. Debemos agregar, además, que la denuncia policial, si bien resulta un requisito establecido en la póliza, no puede ser considerado como un medio probatorio que acredite un hecho, pues resulta la sola narración de una parte de lo que, según esta, ha sucedido. En resumen, no hay medio probatorio que corrobore lo manifestado por la reclamante.</w:t>
      </w:r>
    </w:p>
    <w:p w:rsidRPr="00C73CAF" w:rsidR="00C73CAF" w:rsidP="00C73CAF" w:rsidRDefault="00C73CAF" w14:paraId="6BDAF41C" w14:textId="6A73BADB">
      <w:pPr>
        <w:jc w:val="both"/>
        <w:rPr>
          <w:rFonts w:ascii="Times New Roman" w:hAnsi="Times New Roman"/>
          <w:sz w:val="24"/>
          <w:szCs w:val="24"/>
        </w:rPr>
      </w:pPr>
      <w:r w:rsidRPr="00C73CAF">
        <w:rPr>
          <w:rFonts w:ascii="Times New Roman" w:hAnsi="Times New Roman"/>
          <w:sz w:val="24"/>
          <w:szCs w:val="24"/>
        </w:rPr>
        <w:t>Por otro lado, atendiendo a ello, la aseguradora ha solicitado que la reclamante se someta a una prueba poligráfica. En ese sentido, si bien esta tiene carácter referencial, tal como lo ha advertido la reclamante, lo cierto es que resulta el único medio probatorio que, con carácter científico, puede aproximarnos a lo realmente sucedido aquel 02 de febrero de 2024.</w:t>
      </w:r>
    </w:p>
    <w:p w:rsidRPr="00C73CAF" w:rsidR="00C73CAF" w:rsidP="00C73CAF" w:rsidRDefault="00C73CAF" w14:paraId="49D3C9B6" w14:textId="77777777">
      <w:pPr>
        <w:jc w:val="both"/>
        <w:rPr>
          <w:rFonts w:ascii="Times New Roman" w:hAnsi="Times New Roman"/>
          <w:sz w:val="24"/>
          <w:szCs w:val="24"/>
        </w:rPr>
      </w:pPr>
      <w:r w:rsidRPr="00C73CAF">
        <w:rPr>
          <w:rFonts w:ascii="Times New Roman" w:hAnsi="Times New Roman"/>
          <w:b/>
          <w:sz w:val="24"/>
          <w:szCs w:val="24"/>
          <w:u w:val="single"/>
        </w:rPr>
        <w:t>Noveno</w:t>
      </w:r>
      <w:r w:rsidRPr="00C73CAF">
        <w:rPr>
          <w:rFonts w:ascii="Times New Roman" w:hAnsi="Times New Roman"/>
          <w:b/>
          <w:sz w:val="24"/>
          <w:szCs w:val="24"/>
        </w:rPr>
        <w:t xml:space="preserve">: </w:t>
      </w:r>
      <w:r w:rsidRPr="00C73CAF">
        <w:rPr>
          <w:rFonts w:ascii="Times New Roman" w:hAnsi="Times New Roman"/>
          <w:sz w:val="24"/>
          <w:szCs w:val="24"/>
        </w:rPr>
        <w:t>Que, sin perjuicio de lo señalado, debemos recordar que existen indicios que revelan lo que podría significar encontrarnos ante una situación fraudulenta, razón por la que la prueba poligráfica resulta -especialmente- útil. En ese sentido, DEFASEG ya ha tenido oportunidad de pronunciarse sobre la naturaleza y utilidad de la prueba poligráfica, siendo que se indicó lo siguiente:</w:t>
      </w:r>
    </w:p>
    <w:p w:rsidRPr="00C73CAF" w:rsidR="00C73CAF" w:rsidP="00C73CAF" w:rsidRDefault="00C73CAF" w14:paraId="5CEE288D" w14:textId="77777777">
      <w:pPr>
        <w:jc w:val="both"/>
        <w:rPr>
          <w:rFonts w:ascii="Times New Roman" w:hAnsi="Times New Roman"/>
          <w:sz w:val="24"/>
          <w:szCs w:val="24"/>
        </w:rPr>
      </w:pPr>
    </w:p>
    <w:p w:rsidRPr="00C73CAF" w:rsidR="00C73CAF" w:rsidP="000221A8" w:rsidRDefault="00C73CAF" w14:paraId="37969678" w14:textId="77777777">
      <w:pPr>
        <w:ind w:left="1416"/>
        <w:jc w:val="both"/>
        <w:rPr>
          <w:rFonts w:ascii="Times New Roman" w:hAnsi="Times New Roman"/>
          <w:sz w:val="24"/>
          <w:szCs w:val="24"/>
          <w:lang w:val="es-ES"/>
        </w:rPr>
      </w:pPr>
      <w:r w:rsidRPr="00C73CAF">
        <w:rPr>
          <w:rFonts w:ascii="Times New Roman" w:hAnsi="Times New Roman"/>
          <w:sz w:val="24"/>
          <w:szCs w:val="24"/>
          <w:lang w:val="es-ES"/>
        </w:rPr>
        <w:t xml:space="preserve">“6.4. (…) Debe destacarse que, </w:t>
      </w:r>
      <w:r w:rsidRPr="00C73CAF">
        <w:rPr>
          <w:rFonts w:ascii="Times New Roman" w:hAnsi="Times New Roman"/>
          <w:b/>
          <w:bCs/>
          <w:sz w:val="24"/>
          <w:szCs w:val="24"/>
          <w:lang w:val="es-ES"/>
        </w:rPr>
        <w:t>si bien la prueba del polígrafo no arroja resultados absolutos, sí son al menos científicamente confiables, y permiten razonablemente poner bajo cuestionamiento la veracidad del relato sobre lo sucedido y la real configuración del robo denunciado</w:t>
      </w:r>
      <w:r w:rsidRPr="00C73CAF">
        <w:rPr>
          <w:rFonts w:ascii="Times New Roman" w:hAnsi="Times New Roman"/>
          <w:sz w:val="24"/>
          <w:szCs w:val="24"/>
          <w:lang w:val="es-ES"/>
        </w:rPr>
        <w:t>.  Y si a ello se suma lo relativo a los movimientos en la cuenta de ahorros, según documentación obrante en el expediente, bien puede concluirse que existen criterios objetivos para postular que se está ante una reclamación fraudulenta, por lo que resulta justificada la negativa de la aseguradora de otorgar la cobertura reclamada.”</w:t>
      </w:r>
    </w:p>
    <w:p w:rsidRPr="00C73CAF" w:rsidR="00C73CAF" w:rsidP="000221A8" w:rsidRDefault="00C73CAF" w14:paraId="27174CFE" w14:textId="229F5233">
      <w:pPr>
        <w:ind w:left="1416"/>
        <w:jc w:val="right"/>
        <w:rPr>
          <w:rFonts w:ascii="Times New Roman" w:hAnsi="Times New Roman"/>
          <w:sz w:val="24"/>
          <w:szCs w:val="24"/>
          <w:lang w:val="es-ES"/>
        </w:rPr>
      </w:pPr>
      <w:r w:rsidRPr="60605900" w:rsidR="00C73CAF">
        <w:rPr>
          <w:rFonts w:ascii="Times New Roman" w:hAnsi="Times New Roman"/>
          <w:sz w:val="24"/>
          <w:szCs w:val="24"/>
          <w:lang w:val="es-ES"/>
        </w:rPr>
        <w:t xml:space="preserve">[Resolución </w:t>
      </w:r>
      <w:r w:rsidRPr="60605900" w:rsidR="00C73CAF">
        <w:rPr>
          <w:rFonts w:ascii="Times New Roman" w:hAnsi="Times New Roman"/>
          <w:sz w:val="24"/>
          <w:szCs w:val="24"/>
          <w:lang w:val="es-ES"/>
        </w:rPr>
        <w:t>N°</w:t>
      </w:r>
      <w:r w:rsidRPr="60605900" w:rsidR="00C73CAF">
        <w:rPr>
          <w:rFonts w:ascii="Times New Roman" w:hAnsi="Times New Roman"/>
          <w:sz w:val="24"/>
          <w:szCs w:val="24"/>
          <w:lang w:val="es-ES"/>
        </w:rPr>
        <w:t xml:space="preserve"> </w:t>
      </w:r>
      <w:r w:rsidRPr="60605900" w:rsidR="6178387E">
        <w:rPr>
          <w:rFonts w:ascii="Times New Roman" w:hAnsi="Times New Roman"/>
          <w:sz w:val="24"/>
          <w:szCs w:val="24"/>
          <w:lang w:val="es-ES"/>
        </w:rPr>
        <w:t>................</w:t>
      </w:r>
      <w:r w:rsidRPr="60605900" w:rsidR="00C73CAF">
        <w:rPr>
          <w:rFonts w:ascii="Times New Roman" w:hAnsi="Times New Roman"/>
          <w:sz w:val="24"/>
          <w:szCs w:val="24"/>
          <w:lang w:val="es-ES"/>
        </w:rPr>
        <w:t>]</w:t>
      </w:r>
    </w:p>
    <w:p w:rsidRPr="00C73CAF" w:rsidR="00C73CAF" w:rsidP="0064025F" w:rsidRDefault="00C73CAF" w14:paraId="1EE76F6E" w14:textId="7C643512">
      <w:pPr>
        <w:ind w:left="1416"/>
        <w:jc w:val="right"/>
        <w:rPr>
          <w:rFonts w:ascii="Times New Roman" w:hAnsi="Times New Roman"/>
          <w:sz w:val="24"/>
          <w:szCs w:val="24"/>
        </w:rPr>
      </w:pPr>
      <w:r w:rsidRPr="00C73CAF">
        <w:rPr>
          <w:rFonts w:ascii="Times New Roman" w:hAnsi="Times New Roman"/>
          <w:sz w:val="24"/>
          <w:szCs w:val="24"/>
          <w:lang w:val="es-ES"/>
        </w:rPr>
        <w:t>[resaltado en negritas de nuestra autoría]</w:t>
      </w:r>
    </w:p>
    <w:p w:rsidRPr="00C73CAF" w:rsidR="00C73CAF" w:rsidP="00C73CAF" w:rsidRDefault="00C73CAF" w14:paraId="4048BB96" w14:textId="5530319B">
      <w:pPr>
        <w:jc w:val="both"/>
        <w:rPr>
          <w:rFonts w:ascii="Times New Roman" w:hAnsi="Times New Roman"/>
          <w:sz w:val="24"/>
          <w:szCs w:val="24"/>
          <w:lang w:val="es-ES"/>
        </w:rPr>
      </w:pPr>
      <w:r w:rsidRPr="00C73CAF">
        <w:rPr>
          <w:rFonts w:ascii="Times New Roman" w:hAnsi="Times New Roman"/>
          <w:sz w:val="24"/>
          <w:szCs w:val="24"/>
        </w:rPr>
        <w:t xml:space="preserve">Así pues, tal como en la cita glosada, en el presente caso tenemos que la reclamante narra que </w:t>
      </w:r>
      <w:r w:rsidRPr="00C73CAF">
        <w:rPr>
          <w:rFonts w:ascii="Times New Roman" w:hAnsi="Times New Roman"/>
          <w:sz w:val="24"/>
          <w:szCs w:val="24"/>
          <w:lang w:val="es-ES"/>
        </w:rPr>
        <w:t xml:space="preserve">el siniestro ocurrió poco después de contratar el seguro y que las pérdidas reclamadas coincidían con las sumas aseguradas, siendo </w:t>
      </w:r>
      <w:r w:rsidRPr="00C73CAF">
        <w:rPr>
          <w:rFonts w:ascii="Times New Roman" w:hAnsi="Times New Roman"/>
          <w:sz w:val="24"/>
          <w:szCs w:val="24"/>
          <w:lang w:val="es-ES"/>
        </w:rPr>
        <w:br/>
      </w:r>
      <w:r w:rsidRPr="00C73CAF">
        <w:rPr>
          <w:rFonts w:ascii="Times New Roman" w:hAnsi="Times New Roman"/>
          <w:sz w:val="24"/>
          <w:szCs w:val="24"/>
          <w:lang w:val="es-ES"/>
        </w:rPr>
        <w:t xml:space="preserve">-además- que las pérdidas se generan por la sustracción de dinero que fue retirado por ella. Como vemos, la narración de la reclamante, sumado al resultado de la prueba poligráfica, arroja sombras sobre la veracidad de esta. De este modo, resulta útil la aplicación de las reglas de las </w:t>
      </w:r>
      <w:r w:rsidRPr="00C73CAF">
        <w:rPr>
          <w:rFonts w:ascii="Times New Roman" w:hAnsi="Times New Roman"/>
          <w:i/>
          <w:iCs/>
          <w:sz w:val="24"/>
          <w:szCs w:val="24"/>
          <w:lang w:val="es-ES"/>
        </w:rPr>
        <w:t>máximas de la experiencia</w:t>
      </w:r>
      <w:r w:rsidRPr="00C73CAF">
        <w:rPr>
          <w:rFonts w:ascii="Times New Roman" w:hAnsi="Times New Roman"/>
          <w:sz w:val="24"/>
          <w:szCs w:val="24"/>
          <w:lang w:val="es-ES"/>
        </w:rPr>
        <w:t>, puesto que el hecho de que la reclamación calce con la suma asegurada, que todo sea producto de retiros de dinero (de sumas tan grandes) y que todo ocurra poco después de la contratación del seguro, no genera convicción en el Colegiado.</w:t>
      </w:r>
    </w:p>
    <w:p w:rsidRPr="00C73CAF" w:rsidR="00C73CAF" w:rsidP="00C73CAF" w:rsidRDefault="00C73CAF" w14:paraId="6496D0CD" w14:textId="43E9CD33">
      <w:pPr>
        <w:jc w:val="both"/>
        <w:rPr>
          <w:rFonts w:ascii="Times New Roman" w:hAnsi="Times New Roman"/>
          <w:sz w:val="24"/>
          <w:szCs w:val="24"/>
          <w:lang w:val="es-ES"/>
        </w:rPr>
      </w:pPr>
      <w:r w:rsidRPr="00C73CAF">
        <w:rPr>
          <w:rFonts w:ascii="Times New Roman" w:hAnsi="Times New Roman"/>
          <w:sz w:val="24"/>
          <w:szCs w:val="24"/>
          <w:lang w:val="es-ES"/>
        </w:rPr>
        <w:t xml:space="preserve">En resumen, atendiendo a lo indicado, la reclamante no ha logrado aportar material probatorio suficiente que acredite su narración; por el contrario, la aseguradora </w:t>
      </w:r>
      <w:r w:rsidRPr="00C73CAF">
        <w:rPr>
          <w:rFonts w:ascii="Times New Roman" w:hAnsi="Times New Roman"/>
          <w:sz w:val="24"/>
          <w:szCs w:val="24"/>
          <w:lang w:val="es-ES"/>
        </w:rPr>
        <w:br/>
      </w:r>
      <w:r w:rsidRPr="00C73CAF">
        <w:rPr>
          <w:rFonts w:ascii="Times New Roman" w:hAnsi="Times New Roman"/>
          <w:sz w:val="24"/>
          <w:szCs w:val="24"/>
          <w:lang w:val="es-ES"/>
        </w:rPr>
        <w:t>-atendiendo a los términos de la póliza- cuenta con el resultado de la prueba poligráfica avalando su posición, sumadas a las circunstancias descritas en el párrafo previo. Por lo señalado, el presente Colegiado considera que el rechazo de la aseguradora se sustenta en lo dispuesto en el artículo 73° de la Ley del Contrato de Seguro y resulta legítimo.</w:t>
      </w:r>
    </w:p>
    <w:p w:rsidRPr="00C73CAF" w:rsidR="00C73CAF" w:rsidP="00C73CAF" w:rsidRDefault="00C73CAF" w14:paraId="757DB29E" w14:textId="41EEB416">
      <w:pPr>
        <w:jc w:val="both"/>
        <w:rPr>
          <w:rFonts w:ascii="Times New Roman" w:hAnsi="Times New Roman"/>
          <w:b/>
          <w:sz w:val="24"/>
          <w:szCs w:val="24"/>
        </w:rPr>
      </w:pPr>
      <w:r w:rsidRPr="00C73CAF">
        <w:rPr>
          <w:rFonts w:ascii="Times New Roman" w:hAnsi="Times New Roman"/>
          <w:b/>
          <w:sz w:val="24"/>
          <w:szCs w:val="24"/>
        </w:rPr>
        <w:t xml:space="preserve">Atendiendo a lo expresado, este colegiado </w:t>
      </w:r>
      <w:r w:rsidRPr="00C73CAF">
        <w:rPr>
          <w:rFonts w:ascii="Times New Roman" w:hAnsi="Times New Roman"/>
          <w:b/>
          <w:sz w:val="24"/>
          <w:szCs w:val="24"/>
          <w:lang w:val="es-ES"/>
        </w:rPr>
        <w:t>concluye su apreciación razonada y conjunta al amparo de lo establecido en su Reglamento, por lo que</w:t>
      </w:r>
      <w:r w:rsidRPr="00C73CAF">
        <w:rPr>
          <w:rFonts w:ascii="Times New Roman" w:hAnsi="Times New Roman"/>
          <w:b/>
          <w:sz w:val="24"/>
          <w:szCs w:val="24"/>
        </w:rPr>
        <w:t xml:space="preserve"> resuelve:</w:t>
      </w:r>
    </w:p>
    <w:p w:rsidRPr="00C73CAF" w:rsidR="00C73CAF" w:rsidP="00C73CAF" w:rsidRDefault="00C73CAF" w14:paraId="723A48FD" w14:textId="56D6A5D6">
      <w:pPr>
        <w:jc w:val="both"/>
        <w:rPr>
          <w:rFonts w:ascii="Times New Roman" w:hAnsi="Times New Roman"/>
          <w:sz w:val="24"/>
          <w:szCs w:val="24"/>
        </w:rPr>
      </w:pPr>
      <w:r w:rsidRPr="60605900" w:rsidR="00C73CAF">
        <w:rPr>
          <w:rFonts w:ascii="Times New Roman" w:hAnsi="Times New Roman"/>
          <w:sz w:val="24"/>
          <w:szCs w:val="24"/>
        </w:rPr>
        <w:t xml:space="preserve">Declarar </w:t>
      </w:r>
      <w:r w:rsidRPr="60605900" w:rsidR="00C73CAF">
        <w:rPr>
          <w:rFonts w:ascii="Times New Roman" w:hAnsi="Times New Roman"/>
          <w:b w:val="1"/>
          <w:bCs w:val="1"/>
          <w:sz w:val="24"/>
          <w:szCs w:val="24"/>
        </w:rPr>
        <w:t xml:space="preserve">INFUNDADA </w:t>
      </w:r>
      <w:r w:rsidRPr="60605900" w:rsidR="00C73CAF">
        <w:rPr>
          <w:rFonts w:ascii="Times New Roman" w:hAnsi="Times New Roman"/>
          <w:sz w:val="24"/>
          <w:szCs w:val="24"/>
        </w:rPr>
        <w:t xml:space="preserve">la reclamación interpuesta por doña </w:t>
      </w:r>
      <w:r w:rsidRPr="60605900" w:rsidR="13FAA7CC">
        <w:rPr>
          <w:rFonts w:ascii="Times New Roman" w:hAnsi="Times New Roman"/>
          <w:b w:val="1"/>
          <w:bCs w:val="1"/>
          <w:sz w:val="24"/>
          <w:szCs w:val="24"/>
          <w:lang w:val="en-US"/>
        </w:rPr>
        <w:t>............................................................</w:t>
      </w:r>
      <w:r w:rsidRPr="60605900" w:rsidR="00C73CAF">
        <w:rPr>
          <w:rFonts w:ascii="Times New Roman" w:hAnsi="Times New Roman"/>
          <w:b w:val="1"/>
          <w:bCs w:val="1"/>
          <w:sz w:val="24"/>
          <w:szCs w:val="24"/>
        </w:rPr>
        <w:t xml:space="preserve"> </w:t>
      </w:r>
      <w:r w:rsidRPr="60605900" w:rsidR="00C73CAF">
        <w:rPr>
          <w:rFonts w:ascii="Times New Roman" w:hAnsi="Times New Roman"/>
          <w:sz w:val="24"/>
          <w:szCs w:val="24"/>
        </w:rPr>
        <w:t xml:space="preserve">contra </w:t>
      </w:r>
      <w:r w:rsidRPr="60605900" w:rsidR="5210AF0E">
        <w:rPr>
          <w:rFonts w:ascii="Times New Roman" w:hAnsi="Times New Roman"/>
          <w:b w:val="1"/>
          <w:bCs w:val="1"/>
          <w:sz w:val="24"/>
          <w:szCs w:val="24"/>
        </w:rPr>
        <w:t>........................................................................................</w:t>
      </w:r>
      <w:r w:rsidRPr="60605900" w:rsidR="00C73CAF">
        <w:rPr>
          <w:rFonts w:ascii="Times New Roman" w:hAnsi="Times New Roman"/>
          <w:sz w:val="24"/>
          <w:szCs w:val="24"/>
        </w:rPr>
        <w:t>, dejando a salvo el derecho de la reclamante de acudir ante las instancias que estime pertinente.</w:t>
      </w:r>
    </w:p>
    <w:p w:rsidRPr="0064025F" w:rsidR="007E21A6" w:rsidP="00F3482B" w:rsidRDefault="00D00142" w14:paraId="2DE1D337" w14:textId="6A7513E4">
      <w:pPr>
        <w:jc w:val="right"/>
        <w:rPr>
          <w:rFonts w:ascii="Times New Roman" w:hAnsi="Times New Roman"/>
          <w:sz w:val="24"/>
          <w:szCs w:val="24"/>
        </w:rPr>
      </w:pPr>
      <w:r w:rsidRPr="0064025F">
        <w:rPr>
          <w:rFonts w:ascii="Times New Roman" w:hAnsi="Times New Roman"/>
          <w:sz w:val="24"/>
          <w:szCs w:val="24"/>
        </w:rPr>
        <w:t>Lima,</w:t>
      </w:r>
      <w:r w:rsidRPr="0064025F" w:rsidR="0034229F">
        <w:rPr>
          <w:rFonts w:ascii="Times New Roman" w:hAnsi="Times New Roman"/>
          <w:sz w:val="24"/>
          <w:szCs w:val="24"/>
        </w:rPr>
        <w:t xml:space="preserve"> </w:t>
      </w:r>
      <w:r w:rsidRPr="0064025F" w:rsidR="008B7675">
        <w:rPr>
          <w:rFonts w:ascii="Times New Roman" w:hAnsi="Times New Roman"/>
          <w:sz w:val="24"/>
          <w:szCs w:val="24"/>
        </w:rPr>
        <w:t xml:space="preserve">06 </w:t>
      </w:r>
      <w:r w:rsidRPr="0064025F">
        <w:rPr>
          <w:rFonts w:ascii="Times New Roman" w:hAnsi="Times New Roman"/>
          <w:sz w:val="24"/>
          <w:szCs w:val="24"/>
        </w:rPr>
        <w:t>de</w:t>
      </w:r>
      <w:r w:rsidRPr="0064025F" w:rsidR="00D874A8">
        <w:rPr>
          <w:rFonts w:ascii="Times New Roman" w:hAnsi="Times New Roman"/>
          <w:sz w:val="24"/>
          <w:szCs w:val="24"/>
        </w:rPr>
        <w:t xml:space="preserve"> </w:t>
      </w:r>
      <w:r w:rsidRPr="0064025F" w:rsidR="008B7675">
        <w:rPr>
          <w:rFonts w:ascii="Times New Roman" w:hAnsi="Times New Roman"/>
          <w:sz w:val="24"/>
          <w:szCs w:val="24"/>
        </w:rPr>
        <w:t>noviembre</w:t>
      </w:r>
      <w:r w:rsidRPr="0064025F" w:rsidR="000A7BCF">
        <w:rPr>
          <w:rFonts w:ascii="Times New Roman" w:hAnsi="Times New Roman"/>
          <w:sz w:val="24"/>
          <w:szCs w:val="24"/>
        </w:rPr>
        <w:t xml:space="preserve"> </w:t>
      </w:r>
      <w:r w:rsidRPr="0064025F">
        <w:rPr>
          <w:rFonts w:ascii="Times New Roman" w:hAnsi="Times New Roman"/>
          <w:sz w:val="24"/>
          <w:szCs w:val="24"/>
        </w:rPr>
        <w:t>de 202</w:t>
      </w:r>
      <w:r w:rsidRPr="0064025F" w:rsidR="00BF08F9">
        <w:rPr>
          <w:rFonts w:ascii="Times New Roman" w:hAnsi="Times New Roman"/>
          <w:sz w:val="24"/>
          <w:szCs w:val="24"/>
        </w:rPr>
        <w:t>4</w:t>
      </w:r>
    </w:p>
    <w:p w:rsidRPr="0064025F" w:rsidR="00922F8A" w:rsidP="001A4E48" w:rsidRDefault="00922F8A" w14:paraId="370F6A9B" w14:textId="45F0A5A9">
      <w:pPr>
        <w:jc w:val="center"/>
        <w:rPr>
          <w:rFonts w:ascii="Times New Roman" w:hAnsi="Times New Roman"/>
          <w:b/>
          <w:bCs/>
          <w:i/>
          <w:iCs/>
          <w:sz w:val="24"/>
          <w:szCs w:val="24"/>
          <w:lang w:val="es-ES_tradnl"/>
        </w:rPr>
      </w:pPr>
      <w:r w:rsidRPr="0064025F">
        <w:rPr>
          <w:rFonts w:ascii="Times New Roman" w:hAnsi="Times New Roman"/>
          <w:b/>
          <w:bCs/>
          <w:i/>
          <w:iCs/>
          <w:sz w:val="24"/>
          <w:szCs w:val="24"/>
          <w:lang w:val="es-ES_tradnl"/>
        </w:rPr>
        <w:t>La Secretaría Técnica certifica que la presente resolución cuenta con el voto de los vocales cuyos nombres figuran en el presente documento.</w:t>
      </w:r>
    </w:p>
    <w:p w:rsidRPr="0064025F" w:rsidR="00922F8A" w:rsidP="00922F8A" w:rsidRDefault="00922F8A" w14:paraId="0EA87B59" w14:textId="77777777">
      <w:pPr>
        <w:spacing w:line="240" w:lineRule="auto"/>
        <w:jc w:val="center"/>
        <w:rPr>
          <w:rFonts w:ascii="Times New Roman" w:hAnsi="Times New Roman"/>
          <w:b/>
          <w:bCs/>
          <w:sz w:val="24"/>
          <w:szCs w:val="24"/>
        </w:rPr>
      </w:pPr>
      <w:r w:rsidRPr="0064025F">
        <w:rPr>
          <w:rFonts w:ascii="Times New Roman" w:hAnsi="Times New Roman"/>
          <w:b/>
          <w:bCs/>
          <w:sz w:val="24"/>
          <w:szCs w:val="24"/>
        </w:rPr>
        <w:t xml:space="preserve">Rolando Eyzaguirre </w:t>
      </w:r>
      <w:proofErr w:type="spellStart"/>
      <w:r w:rsidRPr="0064025F">
        <w:rPr>
          <w:rFonts w:ascii="Times New Roman" w:hAnsi="Times New Roman"/>
          <w:b/>
          <w:bCs/>
          <w:sz w:val="24"/>
          <w:szCs w:val="24"/>
        </w:rPr>
        <w:t>Maccan</w:t>
      </w:r>
      <w:proofErr w:type="spellEnd"/>
      <w:r w:rsidRPr="0064025F">
        <w:rPr>
          <w:rFonts w:ascii="Times New Roman" w:hAnsi="Times New Roman"/>
          <w:b/>
          <w:bCs/>
          <w:sz w:val="24"/>
          <w:szCs w:val="24"/>
        </w:rPr>
        <w:t xml:space="preserve"> – </w:t>
      </w:r>
      <w:proofErr w:type="gramStart"/>
      <w:r w:rsidRPr="0064025F">
        <w:rPr>
          <w:rFonts w:ascii="Times New Roman" w:hAnsi="Times New Roman"/>
          <w:b/>
          <w:bCs/>
          <w:sz w:val="24"/>
          <w:szCs w:val="24"/>
        </w:rPr>
        <w:t>Presidente</w:t>
      </w:r>
      <w:proofErr w:type="gramEnd"/>
    </w:p>
    <w:p w:rsidRPr="0064025F" w:rsidR="00922F8A" w:rsidP="00922F8A" w:rsidRDefault="00922F8A" w14:paraId="7090BA3B" w14:textId="77777777">
      <w:pPr>
        <w:spacing w:line="240" w:lineRule="auto"/>
        <w:jc w:val="center"/>
        <w:rPr>
          <w:rFonts w:ascii="Times New Roman" w:hAnsi="Times New Roman"/>
          <w:b/>
          <w:bCs/>
          <w:sz w:val="24"/>
          <w:szCs w:val="24"/>
        </w:rPr>
      </w:pPr>
      <w:r w:rsidRPr="0064025F">
        <w:rPr>
          <w:rFonts w:ascii="Times New Roman" w:hAnsi="Times New Roman"/>
          <w:b/>
          <w:bCs/>
          <w:sz w:val="24"/>
          <w:szCs w:val="24"/>
        </w:rPr>
        <w:t>María Eugenia Valdez Fernández Baca – Vocal</w:t>
      </w:r>
    </w:p>
    <w:p w:rsidRPr="0064025F" w:rsidR="00922F8A" w:rsidP="00922F8A" w:rsidRDefault="00922F8A" w14:paraId="7B454C69" w14:textId="77777777">
      <w:pPr>
        <w:spacing w:line="240" w:lineRule="auto"/>
        <w:jc w:val="center"/>
        <w:rPr>
          <w:rFonts w:ascii="Times New Roman" w:hAnsi="Times New Roman"/>
          <w:b/>
          <w:bCs/>
          <w:sz w:val="24"/>
          <w:szCs w:val="24"/>
        </w:rPr>
      </w:pPr>
      <w:r w:rsidRPr="0064025F">
        <w:rPr>
          <w:rFonts w:ascii="Times New Roman" w:hAnsi="Times New Roman"/>
          <w:b/>
          <w:bCs/>
          <w:sz w:val="24"/>
          <w:szCs w:val="24"/>
        </w:rPr>
        <w:t>Omar Alfaro Villanueva – Vocal</w:t>
      </w:r>
    </w:p>
    <w:p w:rsidRPr="0064025F" w:rsidR="00922F8A" w:rsidP="00922F8A" w:rsidRDefault="00922F8A" w14:paraId="2C915666" w14:textId="77777777">
      <w:pPr>
        <w:spacing w:line="240" w:lineRule="auto"/>
        <w:jc w:val="center"/>
        <w:rPr>
          <w:rFonts w:ascii="Times New Roman" w:hAnsi="Times New Roman"/>
          <w:sz w:val="24"/>
          <w:szCs w:val="24"/>
          <w:lang w:val="es-MX"/>
        </w:rPr>
      </w:pPr>
      <w:r w:rsidRPr="0064025F">
        <w:rPr>
          <w:rFonts w:ascii="Times New Roman" w:hAnsi="Times New Roman"/>
          <w:b/>
          <w:bCs/>
          <w:sz w:val="24"/>
          <w:szCs w:val="24"/>
        </w:rPr>
        <w:t>Gonzalo Abad del Busto - Vocal</w:t>
      </w:r>
    </w:p>
    <w:p w:rsidRPr="001A4E48" w:rsidR="000341A4" w:rsidP="001D5079" w:rsidRDefault="000341A4" w14:paraId="78842804" w14:textId="77777777">
      <w:pPr>
        <w:jc w:val="both"/>
        <w:rPr>
          <w:rFonts w:ascii="Times New Roman" w:hAnsi="Times New Roman"/>
          <w:sz w:val="23"/>
          <w:szCs w:val="23"/>
        </w:rPr>
      </w:pPr>
    </w:p>
    <w:p w:rsidRPr="001A4E48" w:rsidR="0089374D" w:rsidRDefault="0089374D" w14:paraId="7A3A0BC6" w14:textId="77777777">
      <w:pPr>
        <w:rPr>
          <w:rFonts w:ascii="Times New Roman" w:hAnsi="Times New Roman"/>
          <w:sz w:val="23"/>
          <w:szCs w:val="23"/>
        </w:rPr>
      </w:pPr>
    </w:p>
    <w:sectPr w:rsidRPr="001A4E48" w:rsidR="0089374D" w:rsidSect="0072788D">
      <w:headerReference w:type="default" r:id="rId9"/>
      <w:footerReference w:type="default" r:id="rId10"/>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07056" w:rsidP="00722F1A" w:rsidRDefault="00007056" w14:paraId="75051A60" w14:textId="77777777">
      <w:pPr>
        <w:spacing w:after="0" w:line="240" w:lineRule="auto"/>
      </w:pPr>
      <w:r>
        <w:separator/>
      </w:r>
    </w:p>
  </w:endnote>
  <w:endnote w:type="continuationSeparator" w:id="0">
    <w:p w:rsidR="00007056" w:rsidP="00722F1A" w:rsidRDefault="00007056" w14:paraId="10556D1A" w14:textId="77777777">
      <w:pPr>
        <w:spacing w:after="0" w:line="240" w:lineRule="auto"/>
      </w:pPr>
      <w:r>
        <w:continuationSeparator/>
      </w:r>
    </w:p>
  </w:endnote>
  <w:endnote w:type="continuationNotice" w:id="1">
    <w:p w:rsidR="00007056" w:rsidRDefault="00007056" w14:paraId="1ED45697"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EndPr/>
    <w:sdtContent>
      <w:sdt>
        <w:sdtPr>
          <w:id w:val="-1705238520"/>
          <w:docPartObj>
            <w:docPartGallery w:val="Page Numbers (Top of Page)"/>
            <w:docPartUnique/>
          </w:docPartObj>
        </w:sdtPr>
        <w:sdtEnd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07056" w:rsidP="00722F1A" w:rsidRDefault="00007056" w14:paraId="677E490A" w14:textId="77777777">
      <w:pPr>
        <w:spacing w:after="0" w:line="240" w:lineRule="auto"/>
      </w:pPr>
      <w:r>
        <w:separator/>
      </w:r>
    </w:p>
  </w:footnote>
  <w:footnote w:type="continuationSeparator" w:id="0">
    <w:p w:rsidR="00007056" w:rsidP="00722F1A" w:rsidRDefault="00007056" w14:paraId="0A7CE13F" w14:textId="77777777">
      <w:pPr>
        <w:spacing w:after="0" w:line="240" w:lineRule="auto"/>
      </w:pPr>
      <w:r>
        <w:continuationSeparator/>
      </w:r>
    </w:p>
  </w:footnote>
  <w:footnote w:type="continuationNotice" w:id="1">
    <w:p w:rsidR="00007056" w:rsidRDefault="00007056" w14:paraId="098D741D"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CAD7A55A"/>
    <w:multiLevelType w:val="hybridMultilevel"/>
    <w:tmpl w:val="FFFFFFFF"/>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24836291"/>
    <w:multiLevelType w:val="hybridMultilevel"/>
    <w:tmpl w:val="16482590"/>
    <w:lvl w:ilvl="0" w:tplc="56A2E60C">
      <w:numFmt w:val="bullet"/>
      <w:lvlText w:val="-"/>
      <w:lvlJc w:val="left"/>
      <w:pPr>
        <w:ind w:left="720" w:hanging="360"/>
      </w:pPr>
      <w:rPr>
        <w:rFonts w:hint="default" w:ascii="Arial" w:hAnsi="Arial" w:cs="Arial"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num w:numId="1" w16cid:durableId="94600106">
    <w:abstractNumId w:val="0"/>
    <w:lvlOverride w:ilvl="0">
      <w:startOverride w:val="1"/>
    </w:lvlOverride>
    <w:lvlOverride w:ilvl="1"/>
    <w:lvlOverride w:ilvl="2"/>
    <w:lvlOverride w:ilvl="3"/>
    <w:lvlOverride w:ilvl="4"/>
    <w:lvlOverride w:ilvl="5"/>
    <w:lvlOverride w:ilvl="6"/>
    <w:lvlOverride w:ilvl="7"/>
    <w:lvlOverride w:ilvl="8"/>
  </w:num>
  <w:num w:numId="2" w16cid:durableId="286548253">
    <w:abstractNumId w:val="1"/>
  </w:num>
  <w:numIdMacAtCleanup w:val="1"/>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proofState w:spelling="clean" w:grammar="dirty"/>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07056"/>
    <w:rsid w:val="00010A11"/>
    <w:rsid w:val="00015903"/>
    <w:rsid w:val="00017850"/>
    <w:rsid w:val="000201AA"/>
    <w:rsid w:val="000221A8"/>
    <w:rsid w:val="000227FD"/>
    <w:rsid w:val="00023A12"/>
    <w:rsid w:val="00025508"/>
    <w:rsid w:val="00025724"/>
    <w:rsid w:val="00025E30"/>
    <w:rsid w:val="000303B6"/>
    <w:rsid w:val="00031F0F"/>
    <w:rsid w:val="000329BA"/>
    <w:rsid w:val="000341A4"/>
    <w:rsid w:val="00037822"/>
    <w:rsid w:val="00040F0F"/>
    <w:rsid w:val="00043955"/>
    <w:rsid w:val="00050CC2"/>
    <w:rsid w:val="00053495"/>
    <w:rsid w:val="00053FF9"/>
    <w:rsid w:val="0005658F"/>
    <w:rsid w:val="00056E10"/>
    <w:rsid w:val="00057C1F"/>
    <w:rsid w:val="0006070E"/>
    <w:rsid w:val="00065DB0"/>
    <w:rsid w:val="00072DC0"/>
    <w:rsid w:val="00072E77"/>
    <w:rsid w:val="00074170"/>
    <w:rsid w:val="00075BED"/>
    <w:rsid w:val="00076043"/>
    <w:rsid w:val="00080950"/>
    <w:rsid w:val="0008098B"/>
    <w:rsid w:val="00082464"/>
    <w:rsid w:val="0008641C"/>
    <w:rsid w:val="00086F3A"/>
    <w:rsid w:val="0008736D"/>
    <w:rsid w:val="00090E5B"/>
    <w:rsid w:val="0009238C"/>
    <w:rsid w:val="000943A4"/>
    <w:rsid w:val="0009571A"/>
    <w:rsid w:val="00096D11"/>
    <w:rsid w:val="000A7BCF"/>
    <w:rsid w:val="000B29AE"/>
    <w:rsid w:val="000B4C03"/>
    <w:rsid w:val="000B6820"/>
    <w:rsid w:val="000C3E03"/>
    <w:rsid w:val="000C4E83"/>
    <w:rsid w:val="000D06BF"/>
    <w:rsid w:val="000E14A6"/>
    <w:rsid w:val="000E1BAE"/>
    <w:rsid w:val="000E29AE"/>
    <w:rsid w:val="000F291D"/>
    <w:rsid w:val="000F44AD"/>
    <w:rsid w:val="000F52F7"/>
    <w:rsid w:val="00110C5A"/>
    <w:rsid w:val="00112981"/>
    <w:rsid w:val="0012144D"/>
    <w:rsid w:val="00123B3A"/>
    <w:rsid w:val="0013141A"/>
    <w:rsid w:val="00132E9A"/>
    <w:rsid w:val="00136C86"/>
    <w:rsid w:val="00137907"/>
    <w:rsid w:val="00140B17"/>
    <w:rsid w:val="001423B0"/>
    <w:rsid w:val="001459A2"/>
    <w:rsid w:val="00156440"/>
    <w:rsid w:val="00163348"/>
    <w:rsid w:val="00163666"/>
    <w:rsid w:val="0016703A"/>
    <w:rsid w:val="001700F1"/>
    <w:rsid w:val="00173030"/>
    <w:rsid w:val="00173308"/>
    <w:rsid w:val="00180E23"/>
    <w:rsid w:val="00181367"/>
    <w:rsid w:val="00181784"/>
    <w:rsid w:val="00184444"/>
    <w:rsid w:val="00185516"/>
    <w:rsid w:val="00187FCB"/>
    <w:rsid w:val="00190DC3"/>
    <w:rsid w:val="0019297C"/>
    <w:rsid w:val="0019479B"/>
    <w:rsid w:val="00194FAA"/>
    <w:rsid w:val="0019552A"/>
    <w:rsid w:val="00197A32"/>
    <w:rsid w:val="001A1A0C"/>
    <w:rsid w:val="001A2C08"/>
    <w:rsid w:val="001A4E48"/>
    <w:rsid w:val="001A6119"/>
    <w:rsid w:val="001A6FD9"/>
    <w:rsid w:val="001B19E2"/>
    <w:rsid w:val="001B1C2B"/>
    <w:rsid w:val="001B2E7B"/>
    <w:rsid w:val="001B5CDE"/>
    <w:rsid w:val="001C0012"/>
    <w:rsid w:val="001C026D"/>
    <w:rsid w:val="001C0599"/>
    <w:rsid w:val="001C1BC7"/>
    <w:rsid w:val="001C23FC"/>
    <w:rsid w:val="001C2D48"/>
    <w:rsid w:val="001C509F"/>
    <w:rsid w:val="001D5079"/>
    <w:rsid w:val="001D71B9"/>
    <w:rsid w:val="001D7600"/>
    <w:rsid w:val="001E0928"/>
    <w:rsid w:val="001E272B"/>
    <w:rsid w:val="001E347B"/>
    <w:rsid w:val="001E466C"/>
    <w:rsid w:val="001E5710"/>
    <w:rsid w:val="001F0BCC"/>
    <w:rsid w:val="001F4171"/>
    <w:rsid w:val="001F4833"/>
    <w:rsid w:val="001F5220"/>
    <w:rsid w:val="001F5485"/>
    <w:rsid w:val="002021B2"/>
    <w:rsid w:val="00203146"/>
    <w:rsid w:val="00206222"/>
    <w:rsid w:val="00210165"/>
    <w:rsid w:val="00210FFE"/>
    <w:rsid w:val="00211CA2"/>
    <w:rsid w:val="0021509B"/>
    <w:rsid w:val="00221164"/>
    <w:rsid w:val="002219B0"/>
    <w:rsid w:val="00221E3C"/>
    <w:rsid w:val="002221D9"/>
    <w:rsid w:val="00223964"/>
    <w:rsid w:val="00226DB9"/>
    <w:rsid w:val="002313AB"/>
    <w:rsid w:val="00232054"/>
    <w:rsid w:val="00232114"/>
    <w:rsid w:val="00232267"/>
    <w:rsid w:val="00233543"/>
    <w:rsid w:val="0024745C"/>
    <w:rsid w:val="002509FC"/>
    <w:rsid w:val="0025200C"/>
    <w:rsid w:val="00252D22"/>
    <w:rsid w:val="00253BAC"/>
    <w:rsid w:val="002543E8"/>
    <w:rsid w:val="002552BA"/>
    <w:rsid w:val="002562BF"/>
    <w:rsid w:val="002563E6"/>
    <w:rsid w:val="002636F8"/>
    <w:rsid w:val="00266BC1"/>
    <w:rsid w:val="0027093C"/>
    <w:rsid w:val="00270EB5"/>
    <w:rsid w:val="002748B9"/>
    <w:rsid w:val="002774DB"/>
    <w:rsid w:val="00277DAC"/>
    <w:rsid w:val="002832FD"/>
    <w:rsid w:val="00283DF6"/>
    <w:rsid w:val="0028477A"/>
    <w:rsid w:val="0029257F"/>
    <w:rsid w:val="00293CC2"/>
    <w:rsid w:val="0029558D"/>
    <w:rsid w:val="002974A1"/>
    <w:rsid w:val="002A3D68"/>
    <w:rsid w:val="002A4CFE"/>
    <w:rsid w:val="002A7697"/>
    <w:rsid w:val="002B2AFD"/>
    <w:rsid w:val="002B7B44"/>
    <w:rsid w:val="002C32EB"/>
    <w:rsid w:val="002C3DCD"/>
    <w:rsid w:val="002C5A2D"/>
    <w:rsid w:val="002C66C2"/>
    <w:rsid w:val="002C7BAD"/>
    <w:rsid w:val="002D07BA"/>
    <w:rsid w:val="002D4D68"/>
    <w:rsid w:val="002D5755"/>
    <w:rsid w:val="002D6AC5"/>
    <w:rsid w:val="002D7167"/>
    <w:rsid w:val="002D7D52"/>
    <w:rsid w:val="002E464C"/>
    <w:rsid w:val="002F2037"/>
    <w:rsid w:val="002F56FD"/>
    <w:rsid w:val="00310439"/>
    <w:rsid w:val="00315252"/>
    <w:rsid w:val="00315EFA"/>
    <w:rsid w:val="00316305"/>
    <w:rsid w:val="00317779"/>
    <w:rsid w:val="003179C7"/>
    <w:rsid w:val="00320005"/>
    <w:rsid w:val="00323E72"/>
    <w:rsid w:val="00332516"/>
    <w:rsid w:val="00337C63"/>
    <w:rsid w:val="00341107"/>
    <w:rsid w:val="0034229F"/>
    <w:rsid w:val="00345D05"/>
    <w:rsid w:val="003464EA"/>
    <w:rsid w:val="00346597"/>
    <w:rsid w:val="00347088"/>
    <w:rsid w:val="003473E3"/>
    <w:rsid w:val="00350613"/>
    <w:rsid w:val="00351A75"/>
    <w:rsid w:val="003538AD"/>
    <w:rsid w:val="00353966"/>
    <w:rsid w:val="003543E1"/>
    <w:rsid w:val="003565F5"/>
    <w:rsid w:val="0035797E"/>
    <w:rsid w:val="0036173C"/>
    <w:rsid w:val="00363AC1"/>
    <w:rsid w:val="00365916"/>
    <w:rsid w:val="00367366"/>
    <w:rsid w:val="003720C5"/>
    <w:rsid w:val="0037287F"/>
    <w:rsid w:val="0037738A"/>
    <w:rsid w:val="00377CD0"/>
    <w:rsid w:val="00381607"/>
    <w:rsid w:val="0038226B"/>
    <w:rsid w:val="00386E4E"/>
    <w:rsid w:val="00390F6C"/>
    <w:rsid w:val="003939E3"/>
    <w:rsid w:val="0039405E"/>
    <w:rsid w:val="003943CE"/>
    <w:rsid w:val="003957A8"/>
    <w:rsid w:val="00397B7E"/>
    <w:rsid w:val="003A08CB"/>
    <w:rsid w:val="003A3175"/>
    <w:rsid w:val="003A459F"/>
    <w:rsid w:val="003A5178"/>
    <w:rsid w:val="003A5576"/>
    <w:rsid w:val="003A6387"/>
    <w:rsid w:val="003B3018"/>
    <w:rsid w:val="003B6C85"/>
    <w:rsid w:val="003B7DDE"/>
    <w:rsid w:val="003C08D0"/>
    <w:rsid w:val="003C2403"/>
    <w:rsid w:val="003C28B2"/>
    <w:rsid w:val="003C4B02"/>
    <w:rsid w:val="003C4F9E"/>
    <w:rsid w:val="003C7842"/>
    <w:rsid w:val="003D0B19"/>
    <w:rsid w:val="003D1117"/>
    <w:rsid w:val="003D2269"/>
    <w:rsid w:val="003D437F"/>
    <w:rsid w:val="003D4E82"/>
    <w:rsid w:val="003D5D7C"/>
    <w:rsid w:val="003E1707"/>
    <w:rsid w:val="003E2DA9"/>
    <w:rsid w:val="003E3E64"/>
    <w:rsid w:val="003F1D8B"/>
    <w:rsid w:val="003F21BF"/>
    <w:rsid w:val="003F2DE7"/>
    <w:rsid w:val="00401FF7"/>
    <w:rsid w:val="004020C2"/>
    <w:rsid w:val="004034FC"/>
    <w:rsid w:val="004037E1"/>
    <w:rsid w:val="00403A57"/>
    <w:rsid w:val="00404BDC"/>
    <w:rsid w:val="00406BCF"/>
    <w:rsid w:val="00407368"/>
    <w:rsid w:val="0040773B"/>
    <w:rsid w:val="00407A18"/>
    <w:rsid w:val="004111C9"/>
    <w:rsid w:val="00411C9C"/>
    <w:rsid w:val="00414702"/>
    <w:rsid w:val="00417E39"/>
    <w:rsid w:val="004202DC"/>
    <w:rsid w:val="004205D2"/>
    <w:rsid w:val="004206EE"/>
    <w:rsid w:val="00426947"/>
    <w:rsid w:val="00427834"/>
    <w:rsid w:val="00430735"/>
    <w:rsid w:val="00434B8E"/>
    <w:rsid w:val="0044595E"/>
    <w:rsid w:val="00446F01"/>
    <w:rsid w:val="00454FD1"/>
    <w:rsid w:val="0045636B"/>
    <w:rsid w:val="004571A0"/>
    <w:rsid w:val="004646D6"/>
    <w:rsid w:val="00464821"/>
    <w:rsid w:val="00466D00"/>
    <w:rsid w:val="00467F3C"/>
    <w:rsid w:val="0047277D"/>
    <w:rsid w:val="004727BA"/>
    <w:rsid w:val="004739D5"/>
    <w:rsid w:val="00480302"/>
    <w:rsid w:val="00481B0F"/>
    <w:rsid w:val="00482C24"/>
    <w:rsid w:val="00484E51"/>
    <w:rsid w:val="004855A7"/>
    <w:rsid w:val="00486BB0"/>
    <w:rsid w:val="00486E3D"/>
    <w:rsid w:val="004876C4"/>
    <w:rsid w:val="004878C5"/>
    <w:rsid w:val="00487E42"/>
    <w:rsid w:val="00492389"/>
    <w:rsid w:val="004A0685"/>
    <w:rsid w:val="004A54D1"/>
    <w:rsid w:val="004A5CA2"/>
    <w:rsid w:val="004A6281"/>
    <w:rsid w:val="004B168E"/>
    <w:rsid w:val="004B1C35"/>
    <w:rsid w:val="004B23B9"/>
    <w:rsid w:val="004B4F1A"/>
    <w:rsid w:val="004B4F66"/>
    <w:rsid w:val="004B6207"/>
    <w:rsid w:val="004B6665"/>
    <w:rsid w:val="004B7F72"/>
    <w:rsid w:val="004C0B81"/>
    <w:rsid w:val="004C7131"/>
    <w:rsid w:val="004D32FA"/>
    <w:rsid w:val="004E09C5"/>
    <w:rsid w:val="004E2072"/>
    <w:rsid w:val="004E2A3F"/>
    <w:rsid w:val="004F0094"/>
    <w:rsid w:val="004F1A61"/>
    <w:rsid w:val="004F3EBD"/>
    <w:rsid w:val="004F5873"/>
    <w:rsid w:val="00503030"/>
    <w:rsid w:val="00503F64"/>
    <w:rsid w:val="00524DC5"/>
    <w:rsid w:val="005303A9"/>
    <w:rsid w:val="00531E54"/>
    <w:rsid w:val="00535EE2"/>
    <w:rsid w:val="005409B6"/>
    <w:rsid w:val="00541D87"/>
    <w:rsid w:val="00541FB9"/>
    <w:rsid w:val="00545367"/>
    <w:rsid w:val="00546D29"/>
    <w:rsid w:val="0055072D"/>
    <w:rsid w:val="00551584"/>
    <w:rsid w:val="00551EAD"/>
    <w:rsid w:val="0055252D"/>
    <w:rsid w:val="00552BA7"/>
    <w:rsid w:val="00552C5B"/>
    <w:rsid w:val="00554002"/>
    <w:rsid w:val="0055560E"/>
    <w:rsid w:val="0055564A"/>
    <w:rsid w:val="00555FDE"/>
    <w:rsid w:val="00570097"/>
    <w:rsid w:val="00571328"/>
    <w:rsid w:val="00571642"/>
    <w:rsid w:val="00573F4E"/>
    <w:rsid w:val="00574336"/>
    <w:rsid w:val="005745B9"/>
    <w:rsid w:val="00574E09"/>
    <w:rsid w:val="00576375"/>
    <w:rsid w:val="005805CF"/>
    <w:rsid w:val="00583138"/>
    <w:rsid w:val="00583AAA"/>
    <w:rsid w:val="00584164"/>
    <w:rsid w:val="00584BAE"/>
    <w:rsid w:val="00584D4D"/>
    <w:rsid w:val="00584F14"/>
    <w:rsid w:val="005865CA"/>
    <w:rsid w:val="00587B74"/>
    <w:rsid w:val="00587CC2"/>
    <w:rsid w:val="0059013F"/>
    <w:rsid w:val="005942BE"/>
    <w:rsid w:val="005945F7"/>
    <w:rsid w:val="00595511"/>
    <w:rsid w:val="005A1BF7"/>
    <w:rsid w:val="005A5404"/>
    <w:rsid w:val="005A5F3C"/>
    <w:rsid w:val="005A6F5E"/>
    <w:rsid w:val="005B1319"/>
    <w:rsid w:val="005B7527"/>
    <w:rsid w:val="005C2472"/>
    <w:rsid w:val="005D470E"/>
    <w:rsid w:val="005E0729"/>
    <w:rsid w:val="005E076E"/>
    <w:rsid w:val="005E455C"/>
    <w:rsid w:val="005E526B"/>
    <w:rsid w:val="005E6AC3"/>
    <w:rsid w:val="005E6AE4"/>
    <w:rsid w:val="005F28DE"/>
    <w:rsid w:val="005F3253"/>
    <w:rsid w:val="005F659E"/>
    <w:rsid w:val="00601AB2"/>
    <w:rsid w:val="00605B3E"/>
    <w:rsid w:val="00606FB3"/>
    <w:rsid w:val="006072FC"/>
    <w:rsid w:val="00611030"/>
    <w:rsid w:val="00611D0F"/>
    <w:rsid w:val="0061244A"/>
    <w:rsid w:val="00621292"/>
    <w:rsid w:val="00624915"/>
    <w:rsid w:val="00624E89"/>
    <w:rsid w:val="00627BCD"/>
    <w:rsid w:val="00627C4C"/>
    <w:rsid w:val="00630A15"/>
    <w:rsid w:val="00631229"/>
    <w:rsid w:val="00633243"/>
    <w:rsid w:val="00636287"/>
    <w:rsid w:val="00637751"/>
    <w:rsid w:val="00637DB6"/>
    <w:rsid w:val="0064025F"/>
    <w:rsid w:val="00651DB4"/>
    <w:rsid w:val="006550D8"/>
    <w:rsid w:val="00655C05"/>
    <w:rsid w:val="00664D34"/>
    <w:rsid w:val="006677FB"/>
    <w:rsid w:val="006700A3"/>
    <w:rsid w:val="006712E8"/>
    <w:rsid w:val="00673E6F"/>
    <w:rsid w:val="00674D55"/>
    <w:rsid w:val="00676995"/>
    <w:rsid w:val="00681A20"/>
    <w:rsid w:val="006862B5"/>
    <w:rsid w:val="0069036D"/>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D4FA0"/>
    <w:rsid w:val="006D60CA"/>
    <w:rsid w:val="006E215D"/>
    <w:rsid w:val="006E5DDC"/>
    <w:rsid w:val="006F001C"/>
    <w:rsid w:val="006F309C"/>
    <w:rsid w:val="006F5F21"/>
    <w:rsid w:val="00706A1A"/>
    <w:rsid w:val="00711C57"/>
    <w:rsid w:val="0071399D"/>
    <w:rsid w:val="0071585D"/>
    <w:rsid w:val="00717281"/>
    <w:rsid w:val="00722F1A"/>
    <w:rsid w:val="007245C2"/>
    <w:rsid w:val="0072563C"/>
    <w:rsid w:val="00726106"/>
    <w:rsid w:val="0072788D"/>
    <w:rsid w:val="00734A73"/>
    <w:rsid w:val="00740529"/>
    <w:rsid w:val="00741BD2"/>
    <w:rsid w:val="00741FAE"/>
    <w:rsid w:val="00745323"/>
    <w:rsid w:val="00747942"/>
    <w:rsid w:val="007540D0"/>
    <w:rsid w:val="007649EE"/>
    <w:rsid w:val="00766307"/>
    <w:rsid w:val="00766E78"/>
    <w:rsid w:val="00767297"/>
    <w:rsid w:val="00770984"/>
    <w:rsid w:val="00773552"/>
    <w:rsid w:val="00775058"/>
    <w:rsid w:val="00783849"/>
    <w:rsid w:val="00786219"/>
    <w:rsid w:val="00790DF4"/>
    <w:rsid w:val="00792BF2"/>
    <w:rsid w:val="007942E5"/>
    <w:rsid w:val="007A193B"/>
    <w:rsid w:val="007A4A6D"/>
    <w:rsid w:val="007A51E2"/>
    <w:rsid w:val="007A554B"/>
    <w:rsid w:val="007A69E2"/>
    <w:rsid w:val="007B1C95"/>
    <w:rsid w:val="007B3E34"/>
    <w:rsid w:val="007B4101"/>
    <w:rsid w:val="007B48E1"/>
    <w:rsid w:val="007C066E"/>
    <w:rsid w:val="007C1D34"/>
    <w:rsid w:val="007C277E"/>
    <w:rsid w:val="007C2EAB"/>
    <w:rsid w:val="007D09ED"/>
    <w:rsid w:val="007D2414"/>
    <w:rsid w:val="007D3EB0"/>
    <w:rsid w:val="007D442E"/>
    <w:rsid w:val="007D5B17"/>
    <w:rsid w:val="007D77BD"/>
    <w:rsid w:val="007E21A6"/>
    <w:rsid w:val="007E38B7"/>
    <w:rsid w:val="007E4325"/>
    <w:rsid w:val="007E7DAB"/>
    <w:rsid w:val="007F00A7"/>
    <w:rsid w:val="007F4488"/>
    <w:rsid w:val="007F5817"/>
    <w:rsid w:val="007F5B4F"/>
    <w:rsid w:val="00801C5F"/>
    <w:rsid w:val="00803158"/>
    <w:rsid w:val="008041CD"/>
    <w:rsid w:val="008050AA"/>
    <w:rsid w:val="008054F9"/>
    <w:rsid w:val="00805B57"/>
    <w:rsid w:val="00806576"/>
    <w:rsid w:val="00814ECD"/>
    <w:rsid w:val="008156DD"/>
    <w:rsid w:val="0081637E"/>
    <w:rsid w:val="0081715A"/>
    <w:rsid w:val="00820F79"/>
    <w:rsid w:val="00826317"/>
    <w:rsid w:val="00830643"/>
    <w:rsid w:val="00831CCC"/>
    <w:rsid w:val="008371AD"/>
    <w:rsid w:val="00837965"/>
    <w:rsid w:val="00842964"/>
    <w:rsid w:val="008467F7"/>
    <w:rsid w:val="0084721E"/>
    <w:rsid w:val="008476FD"/>
    <w:rsid w:val="00854EE6"/>
    <w:rsid w:val="0085500F"/>
    <w:rsid w:val="00861AC6"/>
    <w:rsid w:val="00861E9C"/>
    <w:rsid w:val="0086243A"/>
    <w:rsid w:val="008634CA"/>
    <w:rsid w:val="0086588F"/>
    <w:rsid w:val="0086654A"/>
    <w:rsid w:val="008666E7"/>
    <w:rsid w:val="008666F2"/>
    <w:rsid w:val="008673B5"/>
    <w:rsid w:val="008740BF"/>
    <w:rsid w:val="00874617"/>
    <w:rsid w:val="00876172"/>
    <w:rsid w:val="00880966"/>
    <w:rsid w:val="00880FE1"/>
    <w:rsid w:val="008813C6"/>
    <w:rsid w:val="008815C6"/>
    <w:rsid w:val="00884239"/>
    <w:rsid w:val="0088680E"/>
    <w:rsid w:val="00891422"/>
    <w:rsid w:val="0089374D"/>
    <w:rsid w:val="008953F2"/>
    <w:rsid w:val="008A29AF"/>
    <w:rsid w:val="008A51FF"/>
    <w:rsid w:val="008A68D5"/>
    <w:rsid w:val="008B2500"/>
    <w:rsid w:val="008B38C9"/>
    <w:rsid w:val="008B410F"/>
    <w:rsid w:val="008B4426"/>
    <w:rsid w:val="008B587F"/>
    <w:rsid w:val="008B5E3C"/>
    <w:rsid w:val="008B6DC7"/>
    <w:rsid w:val="008B7188"/>
    <w:rsid w:val="008B74D9"/>
    <w:rsid w:val="008B7675"/>
    <w:rsid w:val="008B79F4"/>
    <w:rsid w:val="008C00D4"/>
    <w:rsid w:val="008C0D17"/>
    <w:rsid w:val="008C18AA"/>
    <w:rsid w:val="008C2EF4"/>
    <w:rsid w:val="008C37FB"/>
    <w:rsid w:val="008C4426"/>
    <w:rsid w:val="008C5A9C"/>
    <w:rsid w:val="008C6600"/>
    <w:rsid w:val="008D51EF"/>
    <w:rsid w:val="008D5777"/>
    <w:rsid w:val="008D7125"/>
    <w:rsid w:val="008D77C2"/>
    <w:rsid w:val="008E32C6"/>
    <w:rsid w:val="008E5819"/>
    <w:rsid w:val="008E7D37"/>
    <w:rsid w:val="008F0121"/>
    <w:rsid w:val="008F29CC"/>
    <w:rsid w:val="008F3B72"/>
    <w:rsid w:val="008F3CF0"/>
    <w:rsid w:val="008F52DF"/>
    <w:rsid w:val="008F73B7"/>
    <w:rsid w:val="009013AD"/>
    <w:rsid w:val="00903126"/>
    <w:rsid w:val="00905717"/>
    <w:rsid w:val="00910BAE"/>
    <w:rsid w:val="00914178"/>
    <w:rsid w:val="009217F9"/>
    <w:rsid w:val="00922F8A"/>
    <w:rsid w:val="0092351B"/>
    <w:rsid w:val="00923F4E"/>
    <w:rsid w:val="009278EB"/>
    <w:rsid w:val="009322AE"/>
    <w:rsid w:val="00936470"/>
    <w:rsid w:val="00937046"/>
    <w:rsid w:val="00940963"/>
    <w:rsid w:val="009437E1"/>
    <w:rsid w:val="00950713"/>
    <w:rsid w:val="00954297"/>
    <w:rsid w:val="00960CAD"/>
    <w:rsid w:val="00961DCF"/>
    <w:rsid w:val="00962DDA"/>
    <w:rsid w:val="00962F29"/>
    <w:rsid w:val="009651D2"/>
    <w:rsid w:val="00966493"/>
    <w:rsid w:val="00966813"/>
    <w:rsid w:val="009701B5"/>
    <w:rsid w:val="00970D55"/>
    <w:rsid w:val="00971A3E"/>
    <w:rsid w:val="00972E6F"/>
    <w:rsid w:val="0097444E"/>
    <w:rsid w:val="00976DD7"/>
    <w:rsid w:val="00977A04"/>
    <w:rsid w:val="00977C03"/>
    <w:rsid w:val="00981677"/>
    <w:rsid w:val="0098207A"/>
    <w:rsid w:val="00984A4B"/>
    <w:rsid w:val="009853CB"/>
    <w:rsid w:val="0098563E"/>
    <w:rsid w:val="009869A5"/>
    <w:rsid w:val="00986EC8"/>
    <w:rsid w:val="009876CD"/>
    <w:rsid w:val="00995B19"/>
    <w:rsid w:val="009A2367"/>
    <w:rsid w:val="009A375C"/>
    <w:rsid w:val="009A3B8F"/>
    <w:rsid w:val="009A5B86"/>
    <w:rsid w:val="009A771B"/>
    <w:rsid w:val="009A7B94"/>
    <w:rsid w:val="009B1C6E"/>
    <w:rsid w:val="009B2153"/>
    <w:rsid w:val="009B24C0"/>
    <w:rsid w:val="009B58C9"/>
    <w:rsid w:val="009B68D2"/>
    <w:rsid w:val="009C5E18"/>
    <w:rsid w:val="009D127D"/>
    <w:rsid w:val="009D2D7C"/>
    <w:rsid w:val="009E202C"/>
    <w:rsid w:val="009E3317"/>
    <w:rsid w:val="009E37B9"/>
    <w:rsid w:val="009E44F7"/>
    <w:rsid w:val="009E5B55"/>
    <w:rsid w:val="009F232F"/>
    <w:rsid w:val="009F257A"/>
    <w:rsid w:val="00A0201B"/>
    <w:rsid w:val="00A031DD"/>
    <w:rsid w:val="00A07ACC"/>
    <w:rsid w:val="00A102E1"/>
    <w:rsid w:val="00A1304D"/>
    <w:rsid w:val="00A1356B"/>
    <w:rsid w:val="00A13BA5"/>
    <w:rsid w:val="00A151A2"/>
    <w:rsid w:val="00A17B8F"/>
    <w:rsid w:val="00A209BF"/>
    <w:rsid w:val="00A20CA1"/>
    <w:rsid w:val="00A2495F"/>
    <w:rsid w:val="00A265AA"/>
    <w:rsid w:val="00A27659"/>
    <w:rsid w:val="00A27C06"/>
    <w:rsid w:val="00A30166"/>
    <w:rsid w:val="00A32C5D"/>
    <w:rsid w:val="00A3337F"/>
    <w:rsid w:val="00A33AF1"/>
    <w:rsid w:val="00A3452D"/>
    <w:rsid w:val="00A36289"/>
    <w:rsid w:val="00A368F4"/>
    <w:rsid w:val="00A405FD"/>
    <w:rsid w:val="00A40FB5"/>
    <w:rsid w:val="00A47E1A"/>
    <w:rsid w:val="00A566AD"/>
    <w:rsid w:val="00A56D59"/>
    <w:rsid w:val="00A603C9"/>
    <w:rsid w:val="00A60D4F"/>
    <w:rsid w:val="00A635B3"/>
    <w:rsid w:val="00A64EA2"/>
    <w:rsid w:val="00A65D3C"/>
    <w:rsid w:val="00A65E4B"/>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5A83"/>
    <w:rsid w:val="00A95D6E"/>
    <w:rsid w:val="00A96C6E"/>
    <w:rsid w:val="00A96EB1"/>
    <w:rsid w:val="00A97C02"/>
    <w:rsid w:val="00AA13DB"/>
    <w:rsid w:val="00AA2571"/>
    <w:rsid w:val="00AA2D27"/>
    <w:rsid w:val="00AA32FE"/>
    <w:rsid w:val="00AA41DA"/>
    <w:rsid w:val="00AA5EA6"/>
    <w:rsid w:val="00AB4A3C"/>
    <w:rsid w:val="00AB6141"/>
    <w:rsid w:val="00AB7740"/>
    <w:rsid w:val="00AC1B51"/>
    <w:rsid w:val="00AC37F0"/>
    <w:rsid w:val="00AC65B1"/>
    <w:rsid w:val="00AC7A61"/>
    <w:rsid w:val="00AD07E0"/>
    <w:rsid w:val="00AD28BA"/>
    <w:rsid w:val="00AD56AF"/>
    <w:rsid w:val="00AD5D04"/>
    <w:rsid w:val="00AD7E43"/>
    <w:rsid w:val="00AE3B71"/>
    <w:rsid w:val="00AE5BA1"/>
    <w:rsid w:val="00AE5C6D"/>
    <w:rsid w:val="00AE5CE3"/>
    <w:rsid w:val="00AF23F0"/>
    <w:rsid w:val="00AF51BE"/>
    <w:rsid w:val="00AF57F2"/>
    <w:rsid w:val="00AF7C02"/>
    <w:rsid w:val="00B008FB"/>
    <w:rsid w:val="00B0138B"/>
    <w:rsid w:val="00B02DE8"/>
    <w:rsid w:val="00B063AF"/>
    <w:rsid w:val="00B130DD"/>
    <w:rsid w:val="00B154BD"/>
    <w:rsid w:val="00B21365"/>
    <w:rsid w:val="00B21849"/>
    <w:rsid w:val="00B25A4D"/>
    <w:rsid w:val="00B25FD8"/>
    <w:rsid w:val="00B2612A"/>
    <w:rsid w:val="00B26885"/>
    <w:rsid w:val="00B2780B"/>
    <w:rsid w:val="00B31307"/>
    <w:rsid w:val="00B3136B"/>
    <w:rsid w:val="00B328D9"/>
    <w:rsid w:val="00B33B03"/>
    <w:rsid w:val="00B344D9"/>
    <w:rsid w:val="00B36E24"/>
    <w:rsid w:val="00B41080"/>
    <w:rsid w:val="00B42CC1"/>
    <w:rsid w:val="00B431F7"/>
    <w:rsid w:val="00B43744"/>
    <w:rsid w:val="00B43C0F"/>
    <w:rsid w:val="00B44C7C"/>
    <w:rsid w:val="00B4605A"/>
    <w:rsid w:val="00B462C1"/>
    <w:rsid w:val="00B46490"/>
    <w:rsid w:val="00B5182F"/>
    <w:rsid w:val="00B52337"/>
    <w:rsid w:val="00B570FD"/>
    <w:rsid w:val="00B643AD"/>
    <w:rsid w:val="00B662AB"/>
    <w:rsid w:val="00B6630C"/>
    <w:rsid w:val="00B66439"/>
    <w:rsid w:val="00B67BB6"/>
    <w:rsid w:val="00B67BDE"/>
    <w:rsid w:val="00B7022C"/>
    <w:rsid w:val="00B70670"/>
    <w:rsid w:val="00B71411"/>
    <w:rsid w:val="00B75D55"/>
    <w:rsid w:val="00B81BC6"/>
    <w:rsid w:val="00B83808"/>
    <w:rsid w:val="00B841DC"/>
    <w:rsid w:val="00B84979"/>
    <w:rsid w:val="00B84E04"/>
    <w:rsid w:val="00B8618B"/>
    <w:rsid w:val="00B863AB"/>
    <w:rsid w:val="00B876E9"/>
    <w:rsid w:val="00B931C5"/>
    <w:rsid w:val="00B962BF"/>
    <w:rsid w:val="00B97051"/>
    <w:rsid w:val="00BB0B6D"/>
    <w:rsid w:val="00BB32F1"/>
    <w:rsid w:val="00BB4F10"/>
    <w:rsid w:val="00BC0F09"/>
    <w:rsid w:val="00BC19B0"/>
    <w:rsid w:val="00BC3B77"/>
    <w:rsid w:val="00BC69EF"/>
    <w:rsid w:val="00BC6A2D"/>
    <w:rsid w:val="00BD52E3"/>
    <w:rsid w:val="00BD5530"/>
    <w:rsid w:val="00BD747C"/>
    <w:rsid w:val="00BD7BB1"/>
    <w:rsid w:val="00BE1DD6"/>
    <w:rsid w:val="00BE20BB"/>
    <w:rsid w:val="00BE287A"/>
    <w:rsid w:val="00BE33FF"/>
    <w:rsid w:val="00BE3EBB"/>
    <w:rsid w:val="00BE4A84"/>
    <w:rsid w:val="00BE4AC4"/>
    <w:rsid w:val="00BE5FB3"/>
    <w:rsid w:val="00BE7116"/>
    <w:rsid w:val="00BF08F9"/>
    <w:rsid w:val="00C04542"/>
    <w:rsid w:val="00C04AB3"/>
    <w:rsid w:val="00C06FF7"/>
    <w:rsid w:val="00C15254"/>
    <w:rsid w:val="00C2073B"/>
    <w:rsid w:val="00C2198B"/>
    <w:rsid w:val="00C227C7"/>
    <w:rsid w:val="00C22A8E"/>
    <w:rsid w:val="00C25494"/>
    <w:rsid w:val="00C332C0"/>
    <w:rsid w:val="00C363F9"/>
    <w:rsid w:val="00C36917"/>
    <w:rsid w:val="00C45618"/>
    <w:rsid w:val="00C4616E"/>
    <w:rsid w:val="00C472F3"/>
    <w:rsid w:val="00C5028F"/>
    <w:rsid w:val="00C52E1E"/>
    <w:rsid w:val="00C53313"/>
    <w:rsid w:val="00C537C3"/>
    <w:rsid w:val="00C53DBF"/>
    <w:rsid w:val="00C567DE"/>
    <w:rsid w:val="00C56F86"/>
    <w:rsid w:val="00C613E6"/>
    <w:rsid w:val="00C6288C"/>
    <w:rsid w:val="00C66D8C"/>
    <w:rsid w:val="00C73828"/>
    <w:rsid w:val="00C73CAF"/>
    <w:rsid w:val="00C75095"/>
    <w:rsid w:val="00C75398"/>
    <w:rsid w:val="00C80567"/>
    <w:rsid w:val="00C84C97"/>
    <w:rsid w:val="00C87F2C"/>
    <w:rsid w:val="00C910DC"/>
    <w:rsid w:val="00C94E4D"/>
    <w:rsid w:val="00CA32FC"/>
    <w:rsid w:val="00CA3FDE"/>
    <w:rsid w:val="00CB39D7"/>
    <w:rsid w:val="00CB3CF3"/>
    <w:rsid w:val="00CB3E2D"/>
    <w:rsid w:val="00CB58AD"/>
    <w:rsid w:val="00CC2828"/>
    <w:rsid w:val="00CC4EEF"/>
    <w:rsid w:val="00CC596D"/>
    <w:rsid w:val="00CC6D45"/>
    <w:rsid w:val="00CC6DB6"/>
    <w:rsid w:val="00CC6F2C"/>
    <w:rsid w:val="00CD14C6"/>
    <w:rsid w:val="00CD191C"/>
    <w:rsid w:val="00CD3176"/>
    <w:rsid w:val="00CD5B43"/>
    <w:rsid w:val="00CD6A37"/>
    <w:rsid w:val="00CE6144"/>
    <w:rsid w:val="00CE7399"/>
    <w:rsid w:val="00CF3B25"/>
    <w:rsid w:val="00CF40F1"/>
    <w:rsid w:val="00CF6493"/>
    <w:rsid w:val="00D00142"/>
    <w:rsid w:val="00D02522"/>
    <w:rsid w:val="00D029C1"/>
    <w:rsid w:val="00D052E2"/>
    <w:rsid w:val="00D05BAE"/>
    <w:rsid w:val="00D066E9"/>
    <w:rsid w:val="00D1360F"/>
    <w:rsid w:val="00D1380F"/>
    <w:rsid w:val="00D159E5"/>
    <w:rsid w:val="00D21037"/>
    <w:rsid w:val="00D242C0"/>
    <w:rsid w:val="00D24C19"/>
    <w:rsid w:val="00D25674"/>
    <w:rsid w:val="00D25E76"/>
    <w:rsid w:val="00D30342"/>
    <w:rsid w:val="00D32C0F"/>
    <w:rsid w:val="00D3403B"/>
    <w:rsid w:val="00D362DC"/>
    <w:rsid w:val="00D4002D"/>
    <w:rsid w:val="00D40383"/>
    <w:rsid w:val="00D437B1"/>
    <w:rsid w:val="00D450B5"/>
    <w:rsid w:val="00D4582A"/>
    <w:rsid w:val="00D5252C"/>
    <w:rsid w:val="00D52D69"/>
    <w:rsid w:val="00D53401"/>
    <w:rsid w:val="00D5553E"/>
    <w:rsid w:val="00D568BC"/>
    <w:rsid w:val="00D61CAB"/>
    <w:rsid w:val="00D63CFD"/>
    <w:rsid w:val="00D645CF"/>
    <w:rsid w:val="00D65868"/>
    <w:rsid w:val="00D66F3E"/>
    <w:rsid w:val="00D73368"/>
    <w:rsid w:val="00D75700"/>
    <w:rsid w:val="00D77FFB"/>
    <w:rsid w:val="00D80CF0"/>
    <w:rsid w:val="00D810BA"/>
    <w:rsid w:val="00D81343"/>
    <w:rsid w:val="00D8287E"/>
    <w:rsid w:val="00D841AD"/>
    <w:rsid w:val="00D855A4"/>
    <w:rsid w:val="00D874A8"/>
    <w:rsid w:val="00D90081"/>
    <w:rsid w:val="00D90777"/>
    <w:rsid w:val="00D92C30"/>
    <w:rsid w:val="00D93652"/>
    <w:rsid w:val="00D95994"/>
    <w:rsid w:val="00DA10E5"/>
    <w:rsid w:val="00DA1D06"/>
    <w:rsid w:val="00DA2065"/>
    <w:rsid w:val="00DA2B69"/>
    <w:rsid w:val="00DA2FE2"/>
    <w:rsid w:val="00DB3149"/>
    <w:rsid w:val="00DB32C4"/>
    <w:rsid w:val="00DB34CC"/>
    <w:rsid w:val="00DB793A"/>
    <w:rsid w:val="00DC23D3"/>
    <w:rsid w:val="00DC260C"/>
    <w:rsid w:val="00DC4B44"/>
    <w:rsid w:val="00DC4DCE"/>
    <w:rsid w:val="00DC68ED"/>
    <w:rsid w:val="00DC749B"/>
    <w:rsid w:val="00DD0B9D"/>
    <w:rsid w:val="00DD0D90"/>
    <w:rsid w:val="00DD1CBB"/>
    <w:rsid w:val="00DD65E7"/>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30B51"/>
    <w:rsid w:val="00E319CE"/>
    <w:rsid w:val="00E31DD4"/>
    <w:rsid w:val="00E41357"/>
    <w:rsid w:val="00E437C2"/>
    <w:rsid w:val="00E4479E"/>
    <w:rsid w:val="00E55A3A"/>
    <w:rsid w:val="00E6025B"/>
    <w:rsid w:val="00E621CA"/>
    <w:rsid w:val="00E638CC"/>
    <w:rsid w:val="00E63DD9"/>
    <w:rsid w:val="00E67DCC"/>
    <w:rsid w:val="00E70F53"/>
    <w:rsid w:val="00E74388"/>
    <w:rsid w:val="00E74D95"/>
    <w:rsid w:val="00E75B16"/>
    <w:rsid w:val="00E81EAF"/>
    <w:rsid w:val="00E8336B"/>
    <w:rsid w:val="00E85DE4"/>
    <w:rsid w:val="00E86C86"/>
    <w:rsid w:val="00E920D1"/>
    <w:rsid w:val="00E92970"/>
    <w:rsid w:val="00E941E1"/>
    <w:rsid w:val="00E96B65"/>
    <w:rsid w:val="00E96D56"/>
    <w:rsid w:val="00EA0572"/>
    <w:rsid w:val="00EA193D"/>
    <w:rsid w:val="00EA1F14"/>
    <w:rsid w:val="00EA48E7"/>
    <w:rsid w:val="00EA4D76"/>
    <w:rsid w:val="00EA5D03"/>
    <w:rsid w:val="00EA6298"/>
    <w:rsid w:val="00EB2C0D"/>
    <w:rsid w:val="00EB6E1A"/>
    <w:rsid w:val="00EB739B"/>
    <w:rsid w:val="00EC0BCA"/>
    <w:rsid w:val="00EC1324"/>
    <w:rsid w:val="00EC1C7A"/>
    <w:rsid w:val="00EC46F0"/>
    <w:rsid w:val="00EC4F46"/>
    <w:rsid w:val="00EC5394"/>
    <w:rsid w:val="00EC5417"/>
    <w:rsid w:val="00EC7F26"/>
    <w:rsid w:val="00ED0BEC"/>
    <w:rsid w:val="00ED3111"/>
    <w:rsid w:val="00ED63B0"/>
    <w:rsid w:val="00EE1375"/>
    <w:rsid w:val="00EE1D4B"/>
    <w:rsid w:val="00EE5BD4"/>
    <w:rsid w:val="00EE60ED"/>
    <w:rsid w:val="00EE7FD2"/>
    <w:rsid w:val="00EF19E4"/>
    <w:rsid w:val="00EF45CD"/>
    <w:rsid w:val="00EF631B"/>
    <w:rsid w:val="00EF6E96"/>
    <w:rsid w:val="00EF70E2"/>
    <w:rsid w:val="00F019D1"/>
    <w:rsid w:val="00F0249B"/>
    <w:rsid w:val="00F03223"/>
    <w:rsid w:val="00F06494"/>
    <w:rsid w:val="00F104DE"/>
    <w:rsid w:val="00F1173D"/>
    <w:rsid w:val="00F11F00"/>
    <w:rsid w:val="00F12422"/>
    <w:rsid w:val="00F1467F"/>
    <w:rsid w:val="00F14E12"/>
    <w:rsid w:val="00F26229"/>
    <w:rsid w:val="00F263A9"/>
    <w:rsid w:val="00F278EA"/>
    <w:rsid w:val="00F307CA"/>
    <w:rsid w:val="00F329FB"/>
    <w:rsid w:val="00F3482B"/>
    <w:rsid w:val="00F374B2"/>
    <w:rsid w:val="00F407B9"/>
    <w:rsid w:val="00F408E6"/>
    <w:rsid w:val="00F41556"/>
    <w:rsid w:val="00F44939"/>
    <w:rsid w:val="00F464EC"/>
    <w:rsid w:val="00F52ADB"/>
    <w:rsid w:val="00F602CE"/>
    <w:rsid w:val="00F62CF6"/>
    <w:rsid w:val="00F66108"/>
    <w:rsid w:val="00F73787"/>
    <w:rsid w:val="00F778E2"/>
    <w:rsid w:val="00F80A3F"/>
    <w:rsid w:val="00F85750"/>
    <w:rsid w:val="00F8639B"/>
    <w:rsid w:val="00F86B44"/>
    <w:rsid w:val="00F873BF"/>
    <w:rsid w:val="00F94D3C"/>
    <w:rsid w:val="00F95A46"/>
    <w:rsid w:val="00F95FBF"/>
    <w:rsid w:val="00FA2432"/>
    <w:rsid w:val="00FA3490"/>
    <w:rsid w:val="00FA53FE"/>
    <w:rsid w:val="00FA57E1"/>
    <w:rsid w:val="00FB0D1D"/>
    <w:rsid w:val="00FB114A"/>
    <w:rsid w:val="00FB4AA4"/>
    <w:rsid w:val="00FB5D13"/>
    <w:rsid w:val="00FB695F"/>
    <w:rsid w:val="00FC50C5"/>
    <w:rsid w:val="00FC5226"/>
    <w:rsid w:val="00FC56D3"/>
    <w:rsid w:val="00FC7596"/>
    <w:rsid w:val="00FC79F6"/>
    <w:rsid w:val="00FD25A1"/>
    <w:rsid w:val="00FD48FC"/>
    <w:rsid w:val="00FE0AE9"/>
    <w:rsid w:val="00FE0CCE"/>
    <w:rsid w:val="00FE4167"/>
    <w:rsid w:val="00FE4A2F"/>
    <w:rsid w:val="00FE50F9"/>
    <w:rsid w:val="00FE5CEA"/>
    <w:rsid w:val="00FE6BAE"/>
    <w:rsid w:val="00FF0137"/>
    <w:rsid w:val="00FF2E3D"/>
    <w:rsid w:val="13FAA7CC"/>
    <w:rsid w:val="24E30820"/>
    <w:rsid w:val="317A7FF7"/>
    <w:rsid w:val="3A0AB04C"/>
    <w:rsid w:val="471FBE3A"/>
    <w:rsid w:val="5210AF0E"/>
    <w:rsid w:val="5B5F2296"/>
    <w:rsid w:val="60605900"/>
    <w:rsid w:val="6178387E"/>
    <w:rsid w:val="69D01CE7"/>
    <w:rsid w:val="72207615"/>
    <w:rsid w:val="785CCC88"/>
    <w:rsid w:val="7D7DF760"/>
    <w:rsid w:val="7DF1E30F"/>
    <w:rsid w:val="7F94F613"/>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character" w:styleId="Mencinsinresolver">
    <w:name w:val="Unresolved Mention"/>
    <w:basedOn w:val="Fuentedeprrafopredeter"/>
    <w:uiPriority w:val="99"/>
    <w:semiHidden/>
    <w:unhideWhenUsed/>
    <w:rsid w:val="00DB3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21976500">
      <w:bodyDiv w:val="1"/>
      <w:marLeft w:val="0"/>
      <w:marRight w:val="0"/>
      <w:marTop w:val="0"/>
      <w:marBottom w:val="0"/>
      <w:divBdr>
        <w:top w:val="none" w:sz="0" w:space="0" w:color="auto"/>
        <w:left w:val="none" w:sz="0" w:space="0" w:color="auto"/>
        <w:bottom w:val="none" w:sz="0" w:space="0" w:color="auto"/>
        <w:right w:val="none" w:sz="0" w:space="0" w:color="auto"/>
      </w:divBdr>
    </w:div>
    <w:div w:id="39792359">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25130246">
      <w:bodyDiv w:val="1"/>
      <w:marLeft w:val="0"/>
      <w:marRight w:val="0"/>
      <w:marTop w:val="0"/>
      <w:marBottom w:val="0"/>
      <w:divBdr>
        <w:top w:val="none" w:sz="0" w:space="0" w:color="auto"/>
        <w:left w:val="none" w:sz="0" w:space="0" w:color="auto"/>
        <w:bottom w:val="none" w:sz="0" w:space="0" w:color="auto"/>
        <w:right w:val="none" w:sz="0" w:space="0" w:color="auto"/>
      </w:divBdr>
    </w:div>
    <w:div w:id="156968669">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195507699">
      <w:bodyDiv w:val="1"/>
      <w:marLeft w:val="0"/>
      <w:marRight w:val="0"/>
      <w:marTop w:val="0"/>
      <w:marBottom w:val="0"/>
      <w:divBdr>
        <w:top w:val="none" w:sz="0" w:space="0" w:color="auto"/>
        <w:left w:val="none" w:sz="0" w:space="0" w:color="auto"/>
        <w:bottom w:val="none" w:sz="0" w:space="0" w:color="auto"/>
        <w:right w:val="none" w:sz="0" w:space="0" w:color="auto"/>
      </w:divBdr>
    </w:div>
    <w:div w:id="241372873">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24286755">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59820632">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397555354">
      <w:bodyDiv w:val="1"/>
      <w:marLeft w:val="0"/>
      <w:marRight w:val="0"/>
      <w:marTop w:val="0"/>
      <w:marBottom w:val="0"/>
      <w:divBdr>
        <w:top w:val="none" w:sz="0" w:space="0" w:color="auto"/>
        <w:left w:val="none" w:sz="0" w:space="0" w:color="auto"/>
        <w:bottom w:val="none" w:sz="0" w:space="0" w:color="auto"/>
        <w:right w:val="none" w:sz="0" w:space="0" w:color="auto"/>
      </w:divBdr>
    </w:div>
    <w:div w:id="398984847">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29945245">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44437549">
      <w:bodyDiv w:val="1"/>
      <w:marLeft w:val="0"/>
      <w:marRight w:val="0"/>
      <w:marTop w:val="0"/>
      <w:marBottom w:val="0"/>
      <w:divBdr>
        <w:top w:val="none" w:sz="0" w:space="0" w:color="auto"/>
        <w:left w:val="none" w:sz="0" w:space="0" w:color="auto"/>
        <w:bottom w:val="none" w:sz="0" w:space="0" w:color="auto"/>
        <w:right w:val="none" w:sz="0" w:space="0" w:color="auto"/>
      </w:divBdr>
    </w:div>
    <w:div w:id="653948313">
      <w:bodyDiv w:val="1"/>
      <w:marLeft w:val="0"/>
      <w:marRight w:val="0"/>
      <w:marTop w:val="0"/>
      <w:marBottom w:val="0"/>
      <w:divBdr>
        <w:top w:val="none" w:sz="0" w:space="0" w:color="auto"/>
        <w:left w:val="none" w:sz="0" w:space="0" w:color="auto"/>
        <w:bottom w:val="none" w:sz="0" w:space="0" w:color="auto"/>
        <w:right w:val="none" w:sz="0" w:space="0" w:color="auto"/>
      </w:divBdr>
    </w:div>
    <w:div w:id="671761018">
      <w:bodyDiv w:val="1"/>
      <w:marLeft w:val="0"/>
      <w:marRight w:val="0"/>
      <w:marTop w:val="0"/>
      <w:marBottom w:val="0"/>
      <w:divBdr>
        <w:top w:val="none" w:sz="0" w:space="0" w:color="auto"/>
        <w:left w:val="none" w:sz="0" w:space="0" w:color="auto"/>
        <w:bottom w:val="none" w:sz="0" w:space="0" w:color="auto"/>
        <w:right w:val="none" w:sz="0" w:space="0" w:color="auto"/>
      </w:divBdr>
    </w:div>
    <w:div w:id="691617025">
      <w:bodyDiv w:val="1"/>
      <w:marLeft w:val="0"/>
      <w:marRight w:val="0"/>
      <w:marTop w:val="0"/>
      <w:marBottom w:val="0"/>
      <w:divBdr>
        <w:top w:val="none" w:sz="0" w:space="0" w:color="auto"/>
        <w:left w:val="none" w:sz="0" w:space="0" w:color="auto"/>
        <w:bottom w:val="none" w:sz="0" w:space="0" w:color="auto"/>
        <w:right w:val="none" w:sz="0" w:space="0" w:color="auto"/>
      </w:divBdr>
    </w:div>
    <w:div w:id="697857945">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54476291">
      <w:bodyDiv w:val="1"/>
      <w:marLeft w:val="0"/>
      <w:marRight w:val="0"/>
      <w:marTop w:val="0"/>
      <w:marBottom w:val="0"/>
      <w:divBdr>
        <w:top w:val="none" w:sz="0" w:space="0" w:color="auto"/>
        <w:left w:val="none" w:sz="0" w:space="0" w:color="auto"/>
        <w:bottom w:val="none" w:sz="0" w:space="0" w:color="auto"/>
        <w:right w:val="none" w:sz="0" w:space="0" w:color="auto"/>
      </w:divBdr>
    </w:div>
    <w:div w:id="762723423">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51336456">
      <w:bodyDiv w:val="1"/>
      <w:marLeft w:val="0"/>
      <w:marRight w:val="0"/>
      <w:marTop w:val="0"/>
      <w:marBottom w:val="0"/>
      <w:divBdr>
        <w:top w:val="none" w:sz="0" w:space="0" w:color="auto"/>
        <w:left w:val="none" w:sz="0" w:space="0" w:color="auto"/>
        <w:bottom w:val="none" w:sz="0" w:space="0" w:color="auto"/>
        <w:right w:val="none" w:sz="0" w:space="0" w:color="auto"/>
      </w:divBdr>
    </w:div>
    <w:div w:id="861668984">
      <w:bodyDiv w:val="1"/>
      <w:marLeft w:val="0"/>
      <w:marRight w:val="0"/>
      <w:marTop w:val="0"/>
      <w:marBottom w:val="0"/>
      <w:divBdr>
        <w:top w:val="none" w:sz="0" w:space="0" w:color="auto"/>
        <w:left w:val="none" w:sz="0" w:space="0" w:color="auto"/>
        <w:bottom w:val="none" w:sz="0" w:space="0" w:color="auto"/>
        <w:right w:val="none" w:sz="0" w:space="0" w:color="auto"/>
      </w:divBdr>
    </w:div>
    <w:div w:id="877011385">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01986547">
      <w:bodyDiv w:val="1"/>
      <w:marLeft w:val="0"/>
      <w:marRight w:val="0"/>
      <w:marTop w:val="0"/>
      <w:marBottom w:val="0"/>
      <w:divBdr>
        <w:top w:val="none" w:sz="0" w:space="0" w:color="auto"/>
        <w:left w:val="none" w:sz="0" w:space="0" w:color="auto"/>
        <w:bottom w:val="none" w:sz="0" w:space="0" w:color="auto"/>
        <w:right w:val="none" w:sz="0" w:space="0" w:color="auto"/>
      </w:divBdr>
    </w:div>
    <w:div w:id="940377825">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8287491">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49304804">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8098086">
      <w:bodyDiv w:val="1"/>
      <w:marLeft w:val="0"/>
      <w:marRight w:val="0"/>
      <w:marTop w:val="0"/>
      <w:marBottom w:val="0"/>
      <w:divBdr>
        <w:top w:val="none" w:sz="0" w:space="0" w:color="auto"/>
        <w:left w:val="none" w:sz="0" w:space="0" w:color="auto"/>
        <w:bottom w:val="none" w:sz="0" w:space="0" w:color="auto"/>
        <w:right w:val="none" w:sz="0" w:space="0" w:color="auto"/>
      </w:divBdr>
    </w:div>
    <w:div w:id="1078941052">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23617596">
      <w:bodyDiv w:val="1"/>
      <w:marLeft w:val="0"/>
      <w:marRight w:val="0"/>
      <w:marTop w:val="0"/>
      <w:marBottom w:val="0"/>
      <w:divBdr>
        <w:top w:val="none" w:sz="0" w:space="0" w:color="auto"/>
        <w:left w:val="none" w:sz="0" w:space="0" w:color="auto"/>
        <w:bottom w:val="none" w:sz="0" w:space="0" w:color="auto"/>
        <w:right w:val="none" w:sz="0" w:space="0" w:color="auto"/>
      </w:divBdr>
    </w:div>
    <w:div w:id="1125081220">
      <w:bodyDiv w:val="1"/>
      <w:marLeft w:val="0"/>
      <w:marRight w:val="0"/>
      <w:marTop w:val="0"/>
      <w:marBottom w:val="0"/>
      <w:divBdr>
        <w:top w:val="none" w:sz="0" w:space="0" w:color="auto"/>
        <w:left w:val="none" w:sz="0" w:space="0" w:color="auto"/>
        <w:bottom w:val="none" w:sz="0" w:space="0" w:color="auto"/>
        <w:right w:val="none" w:sz="0" w:space="0" w:color="auto"/>
      </w:divBdr>
    </w:div>
    <w:div w:id="1146242665">
      <w:bodyDiv w:val="1"/>
      <w:marLeft w:val="0"/>
      <w:marRight w:val="0"/>
      <w:marTop w:val="0"/>
      <w:marBottom w:val="0"/>
      <w:divBdr>
        <w:top w:val="none" w:sz="0" w:space="0" w:color="auto"/>
        <w:left w:val="none" w:sz="0" w:space="0" w:color="auto"/>
        <w:bottom w:val="none" w:sz="0" w:space="0" w:color="auto"/>
        <w:right w:val="none" w:sz="0" w:space="0" w:color="auto"/>
      </w:divBdr>
    </w:div>
    <w:div w:id="1154029575">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264921985">
      <w:bodyDiv w:val="1"/>
      <w:marLeft w:val="0"/>
      <w:marRight w:val="0"/>
      <w:marTop w:val="0"/>
      <w:marBottom w:val="0"/>
      <w:divBdr>
        <w:top w:val="none" w:sz="0" w:space="0" w:color="auto"/>
        <w:left w:val="none" w:sz="0" w:space="0" w:color="auto"/>
        <w:bottom w:val="none" w:sz="0" w:space="0" w:color="auto"/>
        <w:right w:val="none" w:sz="0" w:space="0" w:color="auto"/>
      </w:divBdr>
    </w:div>
    <w:div w:id="1339117952">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0059582">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383597674">
      <w:bodyDiv w:val="1"/>
      <w:marLeft w:val="0"/>
      <w:marRight w:val="0"/>
      <w:marTop w:val="0"/>
      <w:marBottom w:val="0"/>
      <w:divBdr>
        <w:top w:val="none" w:sz="0" w:space="0" w:color="auto"/>
        <w:left w:val="none" w:sz="0" w:space="0" w:color="auto"/>
        <w:bottom w:val="none" w:sz="0" w:space="0" w:color="auto"/>
        <w:right w:val="none" w:sz="0" w:space="0" w:color="auto"/>
      </w:divBdr>
    </w:div>
    <w:div w:id="138447581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33550237">
      <w:bodyDiv w:val="1"/>
      <w:marLeft w:val="0"/>
      <w:marRight w:val="0"/>
      <w:marTop w:val="0"/>
      <w:marBottom w:val="0"/>
      <w:divBdr>
        <w:top w:val="none" w:sz="0" w:space="0" w:color="auto"/>
        <w:left w:val="none" w:sz="0" w:space="0" w:color="auto"/>
        <w:bottom w:val="none" w:sz="0" w:space="0" w:color="auto"/>
        <w:right w:val="none" w:sz="0" w:space="0" w:color="auto"/>
      </w:divBdr>
    </w:div>
    <w:div w:id="1439913515">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83961523">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15994891">
      <w:bodyDiv w:val="1"/>
      <w:marLeft w:val="0"/>
      <w:marRight w:val="0"/>
      <w:marTop w:val="0"/>
      <w:marBottom w:val="0"/>
      <w:divBdr>
        <w:top w:val="none" w:sz="0" w:space="0" w:color="auto"/>
        <w:left w:val="none" w:sz="0" w:space="0" w:color="auto"/>
        <w:bottom w:val="none" w:sz="0" w:space="0" w:color="auto"/>
        <w:right w:val="none" w:sz="0" w:space="0" w:color="auto"/>
      </w:divBdr>
    </w:div>
    <w:div w:id="1516533187">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43790547">
      <w:bodyDiv w:val="1"/>
      <w:marLeft w:val="0"/>
      <w:marRight w:val="0"/>
      <w:marTop w:val="0"/>
      <w:marBottom w:val="0"/>
      <w:divBdr>
        <w:top w:val="none" w:sz="0" w:space="0" w:color="auto"/>
        <w:left w:val="none" w:sz="0" w:space="0" w:color="auto"/>
        <w:bottom w:val="none" w:sz="0" w:space="0" w:color="auto"/>
        <w:right w:val="none" w:sz="0" w:space="0" w:color="auto"/>
      </w:divBdr>
    </w:div>
    <w:div w:id="1549101166">
      <w:bodyDiv w:val="1"/>
      <w:marLeft w:val="0"/>
      <w:marRight w:val="0"/>
      <w:marTop w:val="0"/>
      <w:marBottom w:val="0"/>
      <w:divBdr>
        <w:top w:val="none" w:sz="0" w:space="0" w:color="auto"/>
        <w:left w:val="none" w:sz="0" w:space="0" w:color="auto"/>
        <w:bottom w:val="none" w:sz="0" w:space="0" w:color="auto"/>
        <w:right w:val="none" w:sz="0" w:space="0" w:color="auto"/>
      </w:divBdr>
    </w:div>
    <w:div w:id="1563296943">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6737908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24380439">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687439317">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35733130">
      <w:bodyDiv w:val="1"/>
      <w:marLeft w:val="0"/>
      <w:marRight w:val="0"/>
      <w:marTop w:val="0"/>
      <w:marBottom w:val="0"/>
      <w:divBdr>
        <w:top w:val="none" w:sz="0" w:space="0" w:color="auto"/>
        <w:left w:val="none" w:sz="0" w:space="0" w:color="auto"/>
        <w:bottom w:val="none" w:sz="0" w:space="0" w:color="auto"/>
        <w:right w:val="none" w:sz="0" w:space="0" w:color="auto"/>
      </w:divBdr>
    </w:div>
    <w:div w:id="1768689927">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8859363">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57887196">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3490133">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6991769">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11963589">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39672742">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5254599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2003122551">
      <w:bodyDiv w:val="1"/>
      <w:marLeft w:val="0"/>
      <w:marRight w:val="0"/>
      <w:marTop w:val="0"/>
      <w:marBottom w:val="0"/>
      <w:divBdr>
        <w:top w:val="none" w:sz="0" w:space="0" w:color="auto"/>
        <w:left w:val="none" w:sz="0" w:space="0" w:color="auto"/>
        <w:bottom w:val="none" w:sz="0" w:space="0" w:color="auto"/>
        <w:right w:val="none" w:sz="0" w:space="0" w:color="auto"/>
      </w:divBdr>
    </w:div>
    <w:div w:id="2040085188">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051297407">
      <w:bodyDiv w:val="1"/>
      <w:marLeft w:val="0"/>
      <w:marRight w:val="0"/>
      <w:marTop w:val="0"/>
      <w:marBottom w:val="0"/>
      <w:divBdr>
        <w:top w:val="none" w:sz="0" w:space="0" w:color="auto"/>
        <w:left w:val="none" w:sz="0" w:space="0" w:color="auto"/>
        <w:bottom w:val="none" w:sz="0" w:space="0" w:color="auto"/>
        <w:right w:val="none" w:sz="0" w:space="0" w:color="auto"/>
      </w:divBdr>
    </w:div>
    <w:div w:id="2064519742">
      <w:bodyDiv w:val="1"/>
      <w:marLeft w:val="0"/>
      <w:marRight w:val="0"/>
      <w:marTop w:val="0"/>
      <w:marBottom w:val="0"/>
      <w:divBdr>
        <w:top w:val="none" w:sz="0" w:space="0" w:color="auto"/>
        <w:left w:val="none" w:sz="0" w:space="0" w:color="auto"/>
        <w:bottom w:val="none" w:sz="0" w:space="0" w:color="auto"/>
        <w:right w:val="none" w:sz="0" w:space="0" w:color="auto"/>
      </w:divBdr>
    </w:div>
    <w:div w:id="2065830715">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21AC9F85-765D-41DA-A2C2-615296679CAB}"/>
</file>

<file path=customXml/itemProps3.xml><?xml version="1.0" encoding="utf-8"?>
<ds:datastoreItem xmlns:ds="http://schemas.openxmlformats.org/officeDocument/2006/customXml" ds:itemID="{7A4452FC-A9D3-445D-8911-E60D78B6577D}"/>
</file>

<file path=customXml/itemProps4.xml><?xml version="1.0" encoding="utf-8"?>
<ds:datastoreItem xmlns:ds="http://schemas.openxmlformats.org/officeDocument/2006/customXml" ds:itemID="{AF4E7B9A-1E23-4780-8914-9DD0896925B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953</cp:revision>
  <cp:lastPrinted>2024-11-08T15:32:00Z</cp:lastPrinted>
  <dcterms:created xsi:type="dcterms:W3CDTF">2022-12-22T22:59:00Z</dcterms:created>
  <dcterms:modified xsi:type="dcterms:W3CDTF">2025-11-11T14:20:02Z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