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19133F" w:rsidR="000341A4" w:rsidP="00EA7580" w:rsidRDefault="000341A4" w14:paraId="6752CB7C" w14:textId="77777777">
      <w:pPr>
        <w:pStyle w:val="Puesto"/>
        <w:tabs>
          <w:tab w:val="left" w:pos="2730"/>
          <w:tab w:val="center" w:pos="4419"/>
        </w:tabs>
        <w:jc w:val="both"/>
        <w:outlineLvl w:val="0"/>
        <w:rPr>
          <w:rStyle w:val="Textoennegrita"/>
          <w:lang w:val="es-ES"/>
        </w:rPr>
      </w:pPr>
    </w:p>
    <w:p w:rsidRPr="0019133F" w:rsidR="000341A4" w:rsidP="00EA7580" w:rsidRDefault="000341A4" w14:paraId="56329F19" w14:textId="77777777">
      <w:pPr>
        <w:pStyle w:val="Puesto"/>
        <w:tabs>
          <w:tab w:val="left" w:pos="2730"/>
          <w:tab w:val="center" w:pos="4419"/>
        </w:tabs>
        <w:jc w:val="both"/>
        <w:outlineLvl w:val="0"/>
        <w:rPr>
          <w:rStyle w:val="Textoennegrita"/>
          <w:lang w:val="es-ES"/>
        </w:rPr>
      </w:pPr>
    </w:p>
    <w:p w:rsidRPr="0019133F" w:rsidR="001A4E48" w:rsidP="00EA7580" w:rsidRDefault="00D00142" w14:paraId="783043A4" w14:textId="155898F9">
      <w:pPr>
        <w:pStyle w:val="Puesto"/>
        <w:tabs>
          <w:tab w:val="left" w:pos="2730"/>
          <w:tab w:val="center" w:pos="4419"/>
        </w:tabs>
        <w:outlineLvl w:val="0"/>
        <w:rPr>
          <w:rStyle w:val="Textoennegrita"/>
          <w:b/>
          <w:bCs/>
          <w:lang w:val="es-ES"/>
        </w:rPr>
      </w:pPr>
      <w:r w:rsidRPr="0019133F">
        <w:rPr>
          <w:rStyle w:val="Textoennegrita"/>
          <w:b/>
          <w:bCs/>
          <w:lang w:val="es-ES"/>
        </w:rPr>
        <w:t>RESOLUCION N°</w:t>
      </w:r>
      <w:r w:rsidRPr="0019133F" w:rsidR="000341A4">
        <w:rPr>
          <w:rStyle w:val="Textoennegrita"/>
          <w:b/>
          <w:bCs/>
          <w:lang w:val="es-ES"/>
        </w:rPr>
        <w:t xml:space="preserve"> </w:t>
      </w:r>
      <w:r w:rsidRPr="0019133F" w:rsidR="005E0729">
        <w:rPr>
          <w:rStyle w:val="Textoennegrita"/>
          <w:b/>
          <w:bCs/>
          <w:lang w:val="es-ES"/>
        </w:rPr>
        <w:t>2</w:t>
      </w:r>
      <w:r w:rsidRPr="0019133F" w:rsidR="0066411D">
        <w:rPr>
          <w:rStyle w:val="Textoennegrita"/>
          <w:b/>
          <w:bCs/>
          <w:lang w:val="es-ES"/>
        </w:rPr>
        <w:t>21</w:t>
      </w:r>
      <w:r w:rsidRPr="0019133F">
        <w:rPr>
          <w:rStyle w:val="Textoennegrita"/>
          <w:b/>
          <w:bCs/>
          <w:lang w:val="es-ES"/>
        </w:rPr>
        <w:t>/2</w:t>
      </w:r>
      <w:r w:rsidRPr="0019133F" w:rsidR="004B168E">
        <w:rPr>
          <w:rStyle w:val="Textoennegrita"/>
          <w:b/>
          <w:bCs/>
          <w:lang w:val="es-ES"/>
        </w:rPr>
        <w:t>4</w:t>
      </w:r>
    </w:p>
    <w:p w:rsidRPr="0019133F" w:rsidR="0019133F" w:rsidP="0019133F" w:rsidRDefault="0019133F" w14:paraId="7FBAC4E7" w14:textId="77777777">
      <w:pPr>
        <w:jc w:val="both"/>
        <w:rPr>
          <w:rFonts w:ascii="Times New Roman" w:hAnsi="Times New Roman"/>
          <w:b/>
          <w:bCs/>
          <w:sz w:val="24"/>
          <w:szCs w:val="24"/>
        </w:rPr>
      </w:pPr>
      <w:r w:rsidRPr="0019133F">
        <w:rPr>
          <w:rFonts w:ascii="Times New Roman" w:hAnsi="Times New Roman"/>
          <w:b/>
          <w:bCs/>
          <w:sz w:val="24"/>
          <w:szCs w:val="24"/>
        </w:rPr>
        <w:t>VISTOS:</w:t>
      </w:r>
    </w:p>
    <w:p w:rsidRPr="0019133F" w:rsidR="0019133F" w:rsidP="592A7D99" w:rsidRDefault="0019133F" w14:paraId="76DBCD8D" w14:textId="032A5755">
      <w:pPr>
        <w:jc w:val="both"/>
        <w:rPr>
          <w:rFonts w:ascii="Times New Roman" w:hAnsi="Times New Roman"/>
          <w:b w:val="1"/>
          <w:bCs w:val="1"/>
          <w:sz w:val="24"/>
          <w:szCs w:val="24"/>
          <w:lang w:val="es-MX"/>
        </w:rPr>
      </w:pPr>
      <w:r w:rsidRPr="592A7D99" w:rsidR="0019133F">
        <w:rPr>
          <w:rFonts w:ascii="Times New Roman" w:hAnsi="Times New Roman"/>
          <w:sz w:val="24"/>
          <w:szCs w:val="24"/>
        </w:rPr>
        <w:t xml:space="preserve">Que, con fecha 12 de agosto de 2024, don </w:t>
      </w:r>
      <w:r w:rsidRPr="592A7D99" w:rsidR="5A42D10B">
        <w:rPr>
          <w:rFonts w:ascii="Times New Roman" w:hAnsi="Times New Roman"/>
          <w:sz w:val="24"/>
          <w:szCs w:val="24"/>
        </w:rPr>
        <w:t>...................................................................</w:t>
      </w:r>
      <w:r w:rsidRPr="592A7D99" w:rsidR="0019133F">
        <w:rPr>
          <w:rFonts w:ascii="Times New Roman" w:hAnsi="Times New Roman"/>
          <w:sz w:val="24"/>
          <w:szCs w:val="24"/>
        </w:rPr>
        <w:t xml:space="preserve"> interpone reclamación ante esta Defensoría del Asegurado (DEFASEG), solicitando que </w:t>
      </w:r>
      <w:r w:rsidRPr="592A7D99" w:rsidR="3EE9AABA">
        <w:rPr>
          <w:rFonts w:ascii="Times New Roman" w:hAnsi="Times New Roman"/>
          <w:b w:val="1"/>
          <w:bCs w:val="1"/>
          <w:sz w:val="24"/>
          <w:szCs w:val="24"/>
          <w:lang w:val="es-MX"/>
        </w:rPr>
        <w:t>......................................</w:t>
      </w:r>
      <w:r w:rsidRPr="592A7D99" w:rsidR="0019133F">
        <w:rPr>
          <w:rFonts w:ascii="Times New Roman" w:hAnsi="Times New Roman"/>
          <w:b w:val="1"/>
          <w:bCs w:val="1"/>
          <w:sz w:val="24"/>
          <w:szCs w:val="24"/>
          <w:lang w:val="es-MX"/>
        </w:rPr>
        <w:t xml:space="preserve"> </w:t>
      </w:r>
      <w:r w:rsidRPr="592A7D99" w:rsidR="0019133F">
        <w:rPr>
          <w:rFonts w:ascii="Times New Roman" w:hAnsi="Times New Roman"/>
          <w:sz w:val="24"/>
          <w:szCs w:val="24"/>
          <w:lang w:val="es-MX"/>
        </w:rPr>
        <w:t xml:space="preserve">(en adelante </w:t>
      </w:r>
      <w:r w:rsidRPr="592A7D99" w:rsidR="1F0F7304">
        <w:rPr>
          <w:rFonts w:ascii="Times New Roman" w:hAnsi="Times New Roman"/>
          <w:sz w:val="24"/>
          <w:szCs w:val="24"/>
          <w:lang w:val="es-MX"/>
        </w:rPr>
        <w:t>.................</w:t>
      </w:r>
      <w:r w:rsidRPr="592A7D99" w:rsidR="0019133F">
        <w:rPr>
          <w:rFonts w:ascii="Times New Roman" w:hAnsi="Times New Roman"/>
          <w:sz w:val="24"/>
          <w:szCs w:val="24"/>
          <w:lang w:val="es-MX"/>
        </w:rPr>
        <w:t xml:space="preserve">) </w:t>
      </w:r>
      <w:r w:rsidRPr="592A7D99" w:rsidR="0019133F">
        <w:rPr>
          <w:rFonts w:ascii="Times New Roman" w:hAnsi="Times New Roman"/>
          <w:sz w:val="24"/>
          <w:szCs w:val="24"/>
        </w:rPr>
        <w:t xml:space="preserve">otorgue cobertura por invalidez total y permanente conforme al Seguro de Vida Ley Cesante Póliza </w:t>
      </w:r>
      <w:r w:rsidRPr="592A7D99" w:rsidR="5A82A1EB">
        <w:rPr>
          <w:rFonts w:ascii="Times New Roman" w:hAnsi="Times New Roman"/>
          <w:sz w:val="24"/>
          <w:szCs w:val="24"/>
        </w:rPr>
        <w:t>.....................</w:t>
      </w:r>
      <w:r w:rsidRPr="592A7D99" w:rsidR="0019133F">
        <w:rPr>
          <w:rFonts w:ascii="Times New Roman" w:hAnsi="Times New Roman"/>
          <w:sz w:val="24"/>
          <w:szCs w:val="24"/>
        </w:rPr>
        <w:t xml:space="preserve">. </w:t>
      </w:r>
    </w:p>
    <w:p w:rsidRPr="0019133F" w:rsidR="0019133F" w:rsidP="0019133F" w:rsidRDefault="0019133F" w14:paraId="1416B0C2" w14:textId="77777777">
      <w:pPr>
        <w:jc w:val="both"/>
        <w:rPr>
          <w:rFonts w:ascii="Times New Roman" w:hAnsi="Times New Roman" w:eastAsia="Arial Unicode MS"/>
          <w:sz w:val="24"/>
          <w:szCs w:val="24"/>
        </w:rPr>
      </w:pPr>
      <w:r w:rsidRPr="0019133F">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19133F" w:rsidR="0019133F" w:rsidP="0019133F" w:rsidRDefault="0019133F" w14:paraId="033F391A" w14:textId="77E8806B">
      <w:pPr>
        <w:tabs>
          <w:tab w:val="num" w:pos="720"/>
        </w:tabs>
        <w:jc w:val="both"/>
        <w:rPr>
          <w:rFonts w:ascii="Times New Roman" w:hAnsi="Times New Roman"/>
          <w:sz w:val="24"/>
          <w:szCs w:val="24"/>
        </w:rPr>
      </w:pPr>
      <w:r w:rsidRPr="592A7D99" w:rsidR="0019133F">
        <w:rPr>
          <w:rFonts w:ascii="Times New Roman" w:hAnsi="Times New Roman"/>
          <w:sz w:val="24"/>
          <w:szCs w:val="24"/>
        </w:rPr>
        <w:t xml:space="preserve">Que, habiéndosele corrido traslado de la respectiva reclamación, </w:t>
      </w:r>
      <w:r w:rsidRPr="592A7D99" w:rsidR="1F0F7304">
        <w:rPr>
          <w:rFonts w:ascii="Times New Roman" w:hAnsi="Times New Roman"/>
          <w:sz w:val="24"/>
          <w:szCs w:val="24"/>
        </w:rPr>
        <w:t>.................</w:t>
      </w:r>
      <w:r w:rsidRPr="592A7D99" w:rsidR="00BF2DF8">
        <w:rPr>
          <w:rFonts w:ascii="Times New Roman" w:hAnsi="Times New Roman"/>
          <w:sz w:val="24"/>
          <w:szCs w:val="24"/>
        </w:rPr>
        <w:t xml:space="preserve"> </w:t>
      </w:r>
      <w:r w:rsidRPr="592A7D99" w:rsidR="0019133F">
        <w:rPr>
          <w:rFonts w:ascii="Times New Roman" w:hAnsi="Times New Roman"/>
          <w:sz w:val="24"/>
          <w:szCs w:val="24"/>
        </w:rPr>
        <w:t>cumplió con presentar sus respectivos descargos y la documentación solicitada;</w:t>
      </w:r>
    </w:p>
    <w:p w:rsidRPr="0019133F" w:rsidR="0019133F" w:rsidP="0019133F" w:rsidRDefault="0019133F" w14:paraId="24A32963" w14:textId="77777777">
      <w:pPr>
        <w:tabs>
          <w:tab w:val="num" w:pos="720"/>
        </w:tabs>
        <w:jc w:val="both"/>
        <w:rPr>
          <w:rFonts w:ascii="Times New Roman" w:hAnsi="Times New Roman"/>
          <w:sz w:val="24"/>
          <w:szCs w:val="24"/>
        </w:rPr>
      </w:pPr>
      <w:r w:rsidRPr="0019133F">
        <w:rPr>
          <w:rFonts w:ascii="Times New Roman" w:hAnsi="Times New Roman"/>
          <w:sz w:val="24"/>
          <w:szCs w:val="24"/>
        </w:rPr>
        <w:t>Que, el 21 de octubre de 2024 se realizó la audiencia de vista con la sola participación de la compañía de seguros, oportunidad en la cual la aseguradora sustentó su respectiva posición, absolviendo las diversas preguntas que le fueron formuladas; dejándose constancia de la inasistencia de la parte reclamante, pese a haber sido oportunamente convocada, conforme consta en la correspondiente acta;</w:t>
      </w:r>
    </w:p>
    <w:p w:rsidRPr="0019133F" w:rsidR="0019133F" w:rsidP="0019133F" w:rsidRDefault="0019133F" w14:paraId="6077B5CD" w14:textId="4E88FE81">
      <w:pPr>
        <w:jc w:val="both"/>
        <w:rPr>
          <w:rFonts w:ascii="Times New Roman" w:hAnsi="Times New Roman"/>
          <w:sz w:val="24"/>
          <w:szCs w:val="24"/>
        </w:rPr>
      </w:pPr>
      <w:r w:rsidRPr="592A7D99" w:rsidR="0019133F">
        <w:rPr>
          <w:rFonts w:ascii="Times New Roman" w:hAnsi="Times New Roman"/>
          <w:sz w:val="24"/>
          <w:szCs w:val="24"/>
        </w:rPr>
        <w:t xml:space="preserve">Que, el reclamante expresa su disconformidad con el rechazo de cobertura, solicitando que la DEFASEG se sirva atender su caso, considerando los antecedentes y fundamentos enunciados resumidamente a continuación: a) Presentó su solicitud de otorgamiento de la cobertura de invalidez total y permanente del seguro de vida ley, siendo que con fecha 05/12/2023 le informaron que la misma estaba en evaluación y que se encontraba dentro de plazo, el mismo que vencía el 18/01/2024; b) con fecha 01/02/2024 exhortó a </w:t>
      </w:r>
      <w:r w:rsidRPr="592A7D99" w:rsidR="1F0F7304">
        <w:rPr>
          <w:rFonts w:ascii="Times New Roman" w:hAnsi="Times New Roman"/>
          <w:sz w:val="24"/>
          <w:szCs w:val="24"/>
        </w:rPr>
        <w:t>.................</w:t>
      </w:r>
      <w:r w:rsidRPr="592A7D99" w:rsidR="0019133F">
        <w:rPr>
          <w:rFonts w:ascii="Times New Roman" w:hAnsi="Times New Roman"/>
          <w:sz w:val="24"/>
          <w:szCs w:val="24"/>
        </w:rPr>
        <w:t xml:space="preserve"> a efectuar la liquidación correspondiente al no contar con observaciones a su solicitud, lo cual reitera con fecha 16/02/2024, pues ya se había vencido en exceso el plazo de ley para atender su reclamo;  c) pese a encontrarse fuera de plazo, mediante carta de fecha 29/02/2024 le requieren la presentación de la historia clínica del centro médico donde fue evaluado, así como el informe médico rehabilitador o de especialidad de fecha especializada; d) luego de varias comunicaciones infructuosas, mediante carta de fecha 18/07/2024 rechazan la cobertura debido a que el diagnóstico de EVC (etiología es alteración metabólica y cardiovascular asociado a sus antecedentes de diabetes mellitus y HTA, es un traumatismo único a nivel, no ocasiona oclusión de la circulación cerebral por un trombo o un ateroma), es por complicaciones tardías de enfermedades crónicas existentes, y no por accidente; e) el Decreto Legislativo 688 que regula el seguro de ley señala que el trabajador que sufra un accidente que le ocasione invalidez total y permanente tendrá derecho a cobrar el capital asegurado en sustitución del que hubiera originado su fallecimiento; f) el seguro de vida ley no contiene ninguna exclusión, como podría ser la de enfermedad preexistente, lo que pretende hacer creer la aseguradora al negar la cobertura; g) conforme corrobora la copia certificada de la denuncia policial a raíz de un accidente (golpe en la cabeza que generó un accidente cerebro vascular), se ha determinado su incapacidad permanente total, lo que se verifica en el certificado médico de calificación de invalidez 0009-2024; por lo que frente al accidente que le ocasionó su discapacidad debe activarse la cobertura de su seguro; h) no </w:t>
      </w:r>
      <w:r w:rsidRPr="592A7D99" w:rsidR="0019133F">
        <w:rPr>
          <w:rFonts w:ascii="Times New Roman" w:hAnsi="Times New Roman"/>
          <w:sz w:val="24"/>
          <w:szCs w:val="24"/>
        </w:rPr>
        <w:t xml:space="preserve">siendo procedente que la aseguradora se ampare de forma irregular en enfermedades preexistentes que obran en su historia clínica; por ello solicita a la DEFASEG revoque la carta de rechazo y disponga que </w:t>
      </w:r>
      <w:r w:rsidRPr="592A7D99" w:rsidR="1F0F7304">
        <w:rPr>
          <w:rFonts w:ascii="Times New Roman" w:hAnsi="Times New Roman"/>
          <w:sz w:val="24"/>
          <w:szCs w:val="24"/>
        </w:rPr>
        <w:t>.................</w:t>
      </w:r>
      <w:r w:rsidRPr="592A7D99" w:rsidR="0019133F">
        <w:rPr>
          <w:rFonts w:ascii="Times New Roman" w:hAnsi="Times New Roman"/>
          <w:sz w:val="24"/>
          <w:szCs w:val="24"/>
        </w:rPr>
        <w:t xml:space="preserve"> otorgue la cobertura de seguro, sancionando pecuniariamente a </w:t>
      </w:r>
      <w:r w:rsidRPr="592A7D99" w:rsidR="1F0F7304">
        <w:rPr>
          <w:rFonts w:ascii="Times New Roman" w:hAnsi="Times New Roman"/>
          <w:sz w:val="24"/>
          <w:szCs w:val="24"/>
        </w:rPr>
        <w:t>.................</w:t>
      </w:r>
      <w:r w:rsidRPr="592A7D99" w:rsidR="0019133F">
        <w:rPr>
          <w:rFonts w:ascii="Times New Roman" w:hAnsi="Times New Roman"/>
          <w:sz w:val="24"/>
          <w:szCs w:val="24"/>
        </w:rPr>
        <w:t xml:space="preserve"> por no actuar con probidad, lealtad y buena fe en su procedimiento, negando injustificadamente una cobertura que a todas luces es amparable a favor del administrado.</w:t>
      </w:r>
    </w:p>
    <w:p w:rsidRPr="0019133F" w:rsidR="0019133F" w:rsidP="592A7D99" w:rsidRDefault="0019133F" w14:paraId="51FF2978" w14:textId="0FA04EAE">
      <w:pPr>
        <w:jc w:val="both"/>
        <w:rPr>
          <w:rFonts w:ascii="Times New Roman" w:hAnsi="Times New Roman"/>
          <w:sz w:val="24"/>
          <w:szCs w:val="24"/>
        </w:rPr>
      </w:pPr>
      <w:r w:rsidRPr="592A7D99" w:rsidR="0019133F">
        <w:rPr>
          <w:rFonts w:ascii="Times New Roman" w:hAnsi="Times New Roman"/>
          <w:sz w:val="24"/>
          <w:szCs w:val="24"/>
        </w:rPr>
        <w:t xml:space="preserve">Que, por su parte, </w:t>
      </w:r>
      <w:r w:rsidRPr="592A7D99" w:rsidR="1F0F7304">
        <w:rPr>
          <w:rFonts w:ascii="Times New Roman" w:hAnsi="Times New Roman"/>
          <w:sz w:val="24"/>
          <w:szCs w:val="24"/>
        </w:rPr>
        <w:t>.................</w:t>
      </w:r>
      <w:r w:rsidRPr="592A7D99" w:rsidR="0019133F">
        <w:rPr>
          <w:rFonts w:ascii="Times New Roman" w:hAnsi="Times New Roman"/>
          <w:sz w:val="24"/>
          <w:szCs w:val="24"/>
        </w:rPr>
        <w:t xml:space="preserve"> solicita que la reclamación sea declarada infundada, atendiendo resumidamente a lo siguiente a) el 21/11/2019 el reclamante sufrió un golpe en la cabeza al romperse la hamaca donde se encontraba; posteriormente presentó una invalidez total permanente que atribuye a dicho hecho, razón por la cual solicitó la activación de la cobertura de su seguro de vida ley cesantes – Póliza </w:t>
      </w:r>
      <w:r w:rsidRPr="592A7D99" w:rsidR="5A82A1EB">
        <w:rPr>
          <w:rFonts w:ascii="Times New Roman" w:hAnsi="Times New Roman"/>
          <w:sz w:val="24"/>
          <w:szCs w:val="24"/>
        </w:rPr>
        <w:t>.....................</w:t>
      </w:r>
      <w:r w:rsidRPr="592A7D99" w:rsidR="0019133F">
        <w:rPr>
          <w:rFonts w:ascii="Times New Roman" w:hAnsi="Times New Roman"/>
          <w:sz w:val="24"/>
          <w:szCs w:val="24"/>
        </w:rPr>
        <w:t xml:space="preserve">; b) rechazaron la solicitud el 18/07/2024 toda vez que la invalidez total y permanente alegada no respondía al siniestro ocurrido el 21/11/2019, sino que se produjo por complicaciones de su enfermedad ya existente; c) la denuncia en la que consta el accidente sufrido en noviembre de 2019,  fue realizada el 30/06/2022, luego de dicha declaración el reclamante solicitó la activación del seguro lo que motivó que </w:t>
      </w:r>
      <w:r w:rsidRPr="592A7D99" w:rsidR="1F0F7304">
        <w:rPr>
          <w:rFonts w:ascii="Times New Roman" w:hAnsi="Times New Roman"/>
          <w:sz w:val="24"/>
          <w:szCs w:val="24"/>
        </w:rPr>
        <w:t>.................</w:t>
      </w:r>
      <w:r w:rsidRPr="592A7D99" w:rsidR="0019133F">
        <w:rPr>
          <w:rFonts w:ascii="Times New Roman" w:hAnsi="Times New Roman"/>
          <w:sz w:val="24"/>
          <w:szCs w:val="24"/>
        </w:rPr>
        <w:t xml:space="preserve"> emita el Informe de auditoría médica de fecha 18/01/2024 donde se concluyó que no se podía determinar que la invalidez que padece sea producto de la caída del 21/11/2019, sino que ella podía deberse a enfermedades crónicas, por lo que se le solicitó efectuar una evaluación por médico rehabilitador y la revisión de su historia clínica, lo que le fue requerido por carta de fecha 29/02/2024; d) posteriormente se le requirió el informe del médico rehabilitador con competencias en evaluación médica de invalidez, con fecha actualizada; e) el 16/05/2024 se emitió el certificado médico de calificación de invalidez donde se certificó que el reclamante tenía secuela de ECV hemiplejia espástica e hipertensión arterial; verificándose en la historia clínica que contaba con hipertensión arterial desde antes de la caída de noviembre de 2019; f) asimismo se verificó que la secuela de ECV era una enfermedad cardiovascular que podía ocurrir a raíz de la diabetes que el aseg</w:t>
      </w:r>
    </w:p>
    <w:p w:rsidRPr="0019133F" w:rsidR="0019133F" w:rsidP="592A7D99" w:rsidRDefault="0019133F" w14:paraId="5C746004" w14:textId="495F17EE">
      <w:pPr/>
      <w:r>
        <w:br w:type="page"/>
      </w:r>
    </w:p>
    <w:p w:rsidRPr="0019133F" w:rsidR="0019133F" w:rsidP="592A7D99" w:rsidRDefault="0019133F" w14:paraId="34DE7C15" w14:textId="2C259C58">
      <w:pPr>
        <w:pStyle w:val="Normal"/>
        <w:jc w:val="both"/>
        <w:rPr>
          <w:rFonts w:ascii="Times New Roman" w:hAnsi="Times New Roman"/>
          <w:sz w:val="24"/>
          <w:szCs w:val="24"/>
        </w:rPr>
      </w:pPr>
    </w:p>
    <w:p w:rsidRPr="0019133F" w:rsidR="0019133F" w:rsidP="592A7D99" w:rsidRDefault="0019133F" w14:paraId="59B4E3FA" w14:textId="245328C5">
      <w:pPr>
        <w:pStyle w:val="Normal"/>
        <w:jc w:val="both"/>
        <w:rPr>
          <w:rFonts w:ascii="Times New Roman" w:hAnsi="Times New Roman"/>
          <w:sz w:val="24"/>
          <w:szCs w:val="24"/>
        </w:rPr>
      </w:pPr>
    </w:p>
    <w:p w:rsidRPr="0019133F" w:rsidR="0019133F" w:rsidP="592A7D99" w:rsidRDefault="0019133F" w14:paraId="1B92F199" w14:textId="08ABF3A5">
      <w:pPr>
        <w:pStyle w:val="Normal"/>
        <w:jc w:val="both"/>
        <w:rPr>
          <w:rFonts w:ascii="Times New Roman" w:hAnsi="Times New Roman"/>
          <w:sz w:val="24"/>
          <w:szCs w:val="24"/>
        </w:rPr>
      </w:pPr>
      <w:r w:rsidRPr="592A7D99" w:rsidR="0019133F">
        <w:rPr>
          <w:rFonts w:ascii="Times New Roman" w:hAnsi="Times New Roman"/>
          <w:sz w:val="24"/>
          <w:szCs w:val="24"/>
        </w:rPr>
        <w:t xml:space="preserve">urado padecía; g) respecto a la ceguera mencionada como parte del diagnóstico, el reclamante sufrió de catarata desde hace más de siete años, y que fue atendido por glaucoma </w:t>
      </w:r>
      <w:r w:rsidRPr="592A7D99" w:rsidR="0019133F">
        <w:rPr>
          <w:rFonts w:ascii="Times New Roman" w:hAnsi="Times New Roman"/>
          <w:sz w:val="24"/>
          <w:szCs w:val="24"/>
        </w:rPr>
        <w:t>neovascular</w:t>
      </w:r>
      <w:r w:rsidRPr="592A7D99" w:rsidR="0019133F">
        <w:rPr>
          <w:rFonts w:ascii="Times New Roman" w:hAnsi="Times New Roman"/>
          <w:sz w:val="24"/>
          <w:szCs w:val="24"/>
        </w:rPr>
        <w:t xml:space="preserve"> por retinopatía diabética, por lo que la misma no podía ser producto de la caída de hamaca, sino de la diabetes que padecía; h) fue por ello que rechazaron el seguro en tanto la invalidez se dio por complicaciones de su enfermedad ya existente y no por el accidente reportado, por lo que no correspondía activar la cobertura de vida ley; i) añaden que el artículo 5 del decreto legislativo 688 establece que corresponde otorgar cobertura a aquellos colaboradores que sufrieron un accidente y que padezcan determinados diagnósticos, tales como fractura incurable de la columna vertebral, pérdida total de la visión en ambos ojos o de ambas manos, pies, etc.; sin embargo, no existe documento alguno que señale, de manera concluyente, que la ceguera en el ojo derecho y una disminución de agudeza visual en el ojo izquierdo sucedió por el accidente del 21 de noviembre de 2019; j) de acuerdo a lo establecido en la ley del contrato de seguro, la cobertura se interpreta literalmente y en consecuencia han procedido conforme a ley y a la póliza de seguros.</w:t>
      </w:r>
    </w:p>
    <w:p w:rsidRPr="0019133F" w:rsidR="0019133F" w:rsidP="0019133F" w:rsidRDefault="0019133F" w14:paraId="35632265" w14:textId="77777777">
      <w:pPr>
        <w:jc w:val="both"/>
        <w:rPr>
          <w:rFonts w:ascii="Times New Roman" w:hAnsi="Times New Roman"/>
          <w:sz w:val="24"/>
          <w:szCs w:val="24"/>
        </w:rPr>
      </w:pPr>
      <w:r w:rsidRPr="0019133F">
        <w:rPr>
          <w:rFonts w:ascii="Times New Roman" w:hAnsi="Times New Roman"/>
          <w:sz w:val="24"/>
          <w:szCs w:val="24"/>
        </w:rPr>
        <w:t>Que el expediente se encuentra en condición para que este colegiado expida su pronunciamiento.</w:t>
      </w:r>
    </w:p>
    <w:p w:rsidRPr="0019133F" w:rsidR="0019133F" w:rsidP="0019133F" w:rsidRDefault="0019133F" w14:paraId="372B42C0" w14:textId="77777777">
      <w:pPr>
        <w:jc w:val="both"/>
        <w:rPr>
          <w:rFonts w:ascii="Times New Roman" w:hAnsi="Times New Roman"/>
          <w:sz w:val="24"/>
          <w:szCs w:val="24"/>
        </w:rPr>
      </w:pPr>
    </w:p>
    <w:p w:rsidRPr="00476C8E" w:rsidR="0019133F" w:rsidP="00476C8E" w:rsidRDefault="0019133F" w14:paraId="2498B286" w14:textId="4CE36BC1">
      <w:pPr>
        <w:jc w:val="both"/>
        <w:outlineLvl w:val="0"/>
        <w:rPr>
          <w:rFonts w:ascii="Times New Roman" w:hAnsi="Times New Roman"/>
          <w:sz w:val="24"/>
          <w:szCs w:val="24"/>
        </w:rPr>
      </w:pPr>
      <w:r w:rsidRPr="0019133F">
        <w:rPr>
          <w:rStyle w:val="Textoennegrita"/>
          <w:rFonts w:ascii="Times New Roman" w:hAnsi="Times New Roman" w:eastAsiaTheme="majorEastAsia"/>
          <w:sz w:val="24"/>
          <w:szCs w:val="24"/>
        </w:rPr>
        <w:lastRenderedPageBreak/>
        <w:t>CONSIDERANDO:</w:t>
      </w:r>
    </w:p>
    <w:p w:rsidRPr="0019133F" w:rsidR="0019133F" w:rsidP="0019133F" w:rsidRDefault="0019133F" w14:paraId="110576BB" w14:textId="77777777">
      <w:pPr>
        <w:jc w:val="both"/>
        <w:rPr>
          <w:rStyle w:val="Textoennegrita"/>
          <w:rFonts w:ascii="Times New Roman" w:hAnsi="Times New Roman" w:eastAsiaTheme="majorEastAsia"/>
          <w:b w:val="0"/>
          <w:bCs w:val="0"/>
          <w:sz w:val="24"/>
          <w:szCs w:val="24"/>
        </w:rPr>
      </w:pPr>
      <w:r w:rsidRPr="0019133F">
        <w:rPr>
          <w:rFonts w:ascii="Times New Roman" w:hAnsi="Times New Roman"/>
          <w:b/>
          <w:sz w:val="24"/>
          <w:szCs w:val="24"/>
          <w:u w:val="single"/>
        </w:rPr>
        <w:t>PRIMERO</w:t>
      </w:r>
      <w:r w:rsidRPr="0019133F">
        <w:rPr>
          <w:rFonts w:ascii="Times New Roman" w:hAnsi="Times New Roman"/>
          <w:sz w:val="24"/>
          <w:szCs w:val="24"/>
        </w:rPr>
        <w:t>: Conforme al Reglamento de la Defensoría del Asegurado,</w:t>
      </w:r>
      <w:r w:rsidRPr="0019133F">
        <w:rPr>
          <w:rFonts w:ascii="Times New Roman" w:hAnsi="Times New Roman"/>
          <w:b/>
          <w:bCs/>
          <w:sz w:val="24"/>
          <w:szCs w:val="24"/>
        </w:rPr>
        <w:t xml:space="preserve"> </w:t>
      </w:r>
      <w:r w:rsidRPr="00BF2DF8">
        <w:rPr>
          <w:rStyle w:val="Textoennegrita"/>
          <w:rFonts w:ascii="Times New Roman" w:hAnsi="Times New Roman" w:eastAsiaTheme="majorEastAsia"/>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9133F" w:rsidR="0019133F" w:rsidP="0019133F" w:rsidRDefault="0019133F" w14:paraId="7301F19C" w14:textId="77777777">
      <w:pPr>
        <w:jc w:val="both"/>
        <w:rPr>
          <w:rFonts w:ascii="Times New Roman" w:hAnsi="Times New Roman"/>
          <w:sz w:val="24"/>
          <w:szCs w:val="24"/>
        </w:rPr>
      </w:pPr>
      <w:r w:rsidRPr="0019133F">
        <w:rPr>
          <w:rFonts w:ascii="Times New Roman" w:hAnsi="Times New Roman"/>
          <w:b/>
          <w:sz w:val="24"/>
          <w:szCs w:val="24"/>
          <w:u w:val="single"/>
        </w:rPr>
        <w:t>SEGUNDO</w:t>
      </w:r>
      <w:r w:rsidRPr="0019133F">
        <w:rPr>
          <w:rFonts w:ascii="Times New Roman" w:hAnsi="Times New Roman"/>
          <w:sz w:val="24"/>
          <w:szCs w:val="24"/>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9133F" w:rsidR="0019133F" w:rsidP="0019133F" w:rsidRDefault="0019133F" w14:paraId="6407EAF0" w14:textId="77777777">
      <w:pPr>
        <w:contextualSpacing/>
        <w:jc w:val="both"/>
        <w:rPr>
          <w:rFonts w:ascii="Times New Roman" w:hAnsi="Times New Roman"/>
          <w:sz w:val="24"/>
          <w:szCs w:val="24"/>
        </w:rPr>
      </w:pPr>
      <w:r w:rsidRPr="0019133F">
        <w:rPr>
          <w:rStyle w:val="Textoennegrita"/>
          <w:rFonts w:ascii="Times New Roman" w:hAnsi="Times New Roman" w:eastAsiaTheme="majorEastAsia"/>
          <w:sz w:val="24"/>
          <w:szCs w:val="24"/>
          <w:u w:val="single"/>
        </w:rPr>
        <w:t>TERCERO</w:t>
      </w:r>
      <w:r w:rsidRPr="0019133F">
        <w:rPr>
          <w:rStyle w:val="Textoennegrita"/>
          <w:rFonts w:ascii="Times New Roman" w:hAnsi="Times New Roman" w:eastAsiaTheme="majorEastAsia"/>
          <w:sz w:val="24"/>
          <w:szCs w:val="24"/>
        </w:rPr>
        <w:t>:</w:t>
      </w:r>
      <w:r w:rsidRPr="0019133F">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19133F" w:rsidR="0019133F" w:rsidP="0019133F" w:rsidRDefault="0019133F" w14:paraId="1ECCD534" w14:textId="77777777">
      <w:pPr>
        <w:contextualSpacing/>
        <w:jc w:val="both"/>
        <w:rPr>
          <w:rFonts w:ascii="Times New Roman" w:hAnsi="Times New Roman"/>
          <w:b/>
          <w:sz w:val="24"/>
          <w:szCs w:val="24"/>
          <w:u w:val="single"/>
        </w:rPr>
      </w:pPr>
    </w:p>
    <w:p w:rsidRPr="0019133F" w:rsidR="0019133F" w:rsidP="0019133F" w:rsidRDefault="0019133F" w14:paraId="331BE177" w14:textId="77777777">
      <w:pPr>
        <w:jc w:val="both"/>
        <w:rPr>
          <w:rFonts w:ascii="Times New Roman" w:hAnsi="Times New Roman"/>
          <w:bCs/>
          <w:sz w:val="24"/>
          <w:szCs w:val="24"/>
        </w:rPr>
      </w:pPr>
      <w:r w:rsidRPr="0019133F">
        <w:rPr>
          <w:rFonts w:ascii="Times New Roman" w:hAnsi="Times New Roman"/>
          <w:b/>
          <w:sz w:val="24"/>
          <w:szCs w:val="24"/>
          <w:u w:val="single"/>
        </w:rPr>
        <w:t>CUARTO</w:t>
      </w:r>
      <w:r w:rsidRPr="0019133F">
        <w:rPr>
          <w:rFonts w:ascii="Times New Roman" w:hAnsi="Times New Roman"/>
          <w:b/>
          <w:sz w:val="24"/>
          <w:szCs w:val="24"/>
        </w:rPr>
        <w:t>:</w:t>
      </w:r>
      <w:r w:rsidRPr="0019133F">
        <w:rPr>
          <w:rFonts w:ascii="Times New Roman" w:hAnsi="Times New Roman"/>
          <w:sz w:val="24"/>
          <w:szCs w:val="24"/>
        </w:rPr>
        <w:t xml:space="preserve"> </w:t>
      </w:r>
      <w:r w:rsidRPr="004B5ED6">
        <w:rPr>
          <w:rStyle w:val="Textoennegrita"/>
          <w:rFonts w:ascii="Times New Roman" w:hAnsi="Times New Roman" w:eastAsiaTheme="majorEastAsia"/>
          <w:b w:val="0"/>
          <w:bCs w:val="0"/>
          <w:sz w:val="24"/>
          <w:szCs w:val="24"/>
        </w:rPr>
        <w:t>Que, en materia procesal</w:t>
      </w:r>
      <w:r w:rsidRPr="004B5ED6">
        <w:rPr>
          <w:rFonts w:ascii="Times New Roman" w:hAnsi="Times New Roman"/>
          <w:b/>
          <w:bCs/>
          <w:sz w:val="24"/>
          <w:szCs w:val="24"/>
        </w:rPr>
        <w:t>,</w:t>
      </w:r>
      <w:r w:rsidRPr="0019133F">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19133F" w:rsidR="0019133F" w:rsidP="0019133F" w:rsidRDefault="0019133F" w14:paraId="1774E89F" w14:textId="77777777">
      <w:pPr>
        <w:jc w:val="both"/>
        <w:rPr>
          <w:rFonts w:ascii="Times New Roman" w:hAnsi="Times New Roman"/>
          <w:sz w:val="24"/>
          <w:szCs w:val="24"/>
        </w:rPr>
      </w:pPr>
      <w:r w:rsidRPr="0019133F">
        <w:rPr>
          <w:rStyle w:val="Textoennegrita"/>
          <w:rFonts w:ascii="Times New Roman" w:hAnsi="Times New Roman" w:eastAsiaTheme="majorEastAsia"/>
          <w:sz w:val="24"/>
          <w:szCs w:val="24"/>
          <w:u w:val="single"/>
        </w:rPr>
        <w:t>QUINTO</w:t>
      </w:r>
      <w:r w:rsidRPr="0019133F">
        <w:rPr>
          <w:rStyle w:val="Textoennegrita"/>
          <w:rFonts w:ascii="Times New Roman" w:hAnsi="Times New Roman" w:eastAsiaTheme="majorEastAsia"/>
          <w:sz w:val="24"/>
          <w:szCs w:val="24"/>
        </w:rPr>
        <w:t xml:space="preserve">: </w:t>
      </w:r>
      <w:r w:rsidRPr="0019133F">
        <w:rPr>
          <w:rFonts w:ascii="Times New Roman" w:hAnsi="Times New Roman"/>
          <w:sz w:val="24"/>
          <w:szCs w:val="24"/>
        </w:rPr>
        <w:t>Que, de acuerdo a los términos contenidos en el rechazo, la reclamación y en la respectiva absolución, así como a lo tratado en la audiencia de vista, la solución de la presente controversia consiste en determinar si el rechazo de cobertura resulta procedente.</w:t>
      </w:r>
    </w:p>
    <w:p w:rsidRPr="0019133F" w:rsidR="0019133F" w:rsidP="0019133F" w:rsidRDefault="0019133F" w14:paraId="354C0AC6" w14:textId="77777777">
      <w:pPr>
        <w:jc w:val="both"/>
        <w:rPr>
          <w:rFonts w:ascii="Times New Roman" w:hAnsi="Times New Roman"/>
          <w:sz w:val="24"/>
          <w:szCs w:val="24"/>
        </w:rPr>
      </w:pPr>
      <w:r w:rsidRPr="0019133F">
        <w:rPr>
          <w:rFonts w:ascii="Times New Roman" w:hAnsi="Times New Roman"/>
          <w:sz w:val="24"/>
          <w:szCs w:val="24"/>
        </w:rPr>
        <w:t xml:space="preserve">Teniendo en cuenta que el reclamante ha invocado la demora en el pronunciamiento de la compañía, se analizará adicionalmente, si se ha producido un supuesto de siniestro consentido, además de verificar si se ha configurado el supuesto de exclusión invocado.  </w:t>
      </w:r>
    </w:p>
    <w:p w:rsidRPr="0019133F" w:rsidR="0019133F" w:rsidP="0019133F" w:rsidRDefault="0019133F" w14:paraId="39261C9F" w14:textId="77777777">
      <w:pPr>
        <w:tabs>
          <w:tab w:val="left" w:pos="2160"/>
        </w:tabs>
        <w:jc w:val="both"/>
        <w:rPr>
          <w:rFonts w:ascii="Times New Roman" w:hAnsi="Times New Roman"/>
          <w:sz w:val="24"/>
          <w:szCs w:val="24"/>
        </w:rPr>
      </w:pPr>
      <w:r w:rsidRPr="0019133F">
        <w:rPr>
          <w:rFonts w:ascii="Times New Roman" w:hAnsi="Times New Roman"/>
          <w:b/>
          <w:sz w:val="24"/>
          <w:szCs w:val="24"/>
          <w:u w:val="single"/>
        </w:rPr>
        <w:t>SEXTO</w:t>
      </w:r>
      <w:r w:rsidRPr="0019133F">
        <w:rPr>
          <w:rFonts w:ascii="Times New Roman" w:hAnsi="Times New Roman"/>
          <w:b/>
          <w:sz w:val="24"/>
          <w:szCs w:val="24"/>
        </w:rPr>
        <w:t>:</w:t>
      </w:r>
      <w:r w:rsidRPr="0019133F">
        <w:rPr>
          <w:rFonts w:ascii="Times New Roman" w:hAnsi="Times New Roman"/>
          <w:sz w:val="24"/>
          <w:szCs w:val="24"/>
        </w:rPr>
        <w:t xml:space="preserve">  El seguro de vida ley, es un seguro de vida obligatorio que se rige por el Decreto Legislativo No. 688, y sus normas modificatorias, y que por ley debe contemplar las siguientes coberturas:</w:t>
      </w:r>
    </w:p>
    <w:p w:rsidRPr="0019133F" w:rsidR="0019133F" w:rsidP="0019133F" w:rsidRDefault="0019133F" w14:paraId="0624D5DC" w14:textId="6442523C">
      <w:pPr>
        <w:tabs>
          <w:tab w:val="left" w:pos="2160"/>
        </w:tabs>
        <w:jc w:val="both"/>
        <w:rPr>
          <w:rFonts w:ascii="Times New Roman" w:hAnsi="Times New Roman"/>
          <w:sz w:val="24"/>
          <w:szCs w:val="24"/>
        </w:rPr>
      </w:pPr>
      <w:r w:rsidRPr="592A7D99" w:rsidR="0019133F">
        <w:rPr>
          <w:rFonts w:ascii="Times New Roman" w:hAnsi="Times New Roman"/>
          <w:sz w:val="24"/>
          <w:szCs w:val="24"/>
        </w:rPr>
        <w:t>a) Muerte Natural</w:t>
      </w:r>
      <w:r w:rsidRPr="592A7D99" w:rsidR="0E3F3424">
        <w:rPr>
          <w:rFonts w:ascii="Times New Roman" w:hAnsi="Times New Roman"/>
          <w:sz w:val="24"/>
          <w:szCs w:val="24"/>
        </w:rPr>
        <w:t>.</w:t>
      </w:r>
    </w:p>
    <w:p w:rsidRPr="0019133F" w:rsidR="0019133F" w:rsidP="0019133F" w:rsidRDefault="0019133F" w14:paraId="4E2D0115" w14:textId="72D16B5C">
      <w:pPr>
        <w:tabs>
          <w:tab w:val="left" w:pos="2160"/>
        </w:tabs>
        <w:jc w:val="both"/>
        <w:rPr>
          <w:rFonts w:ascii="Times New Roman" w:hAnsi="Times New Roman"/>
          <w:sz w:val="24"/>
          <w:szCs w:val="24"/>
        </w:rPr>
      </w:pPr>
      <w:r w:rsidRPr="592A7D99" w:rsidR="0019133F">
        <w:rPr>
          <w:rFonts w:ascii="Times New Roman" w:hAnsi="Times New Roman"/>
          <w:sz w:val="24"/>
          <w:szCs w:val="24"/>
        </w:rPr>
        <w:t>b) Muerte Accidental</w:t>
      </w:r>
      <w:r w:rsidRPr="592A7D99" w:rsidR="30D81DFA">
        <w:rPr>
          <w:rFonts w:ascii="Times New Roman" w:hAnsi="Times New Roman"/>
          <w:sz w:val="24"/>
          <w:szCs w:val="24"/>
        </w:rPr>
        <w:t>.</w:t>
      </w:r>
    </w:p>
    <w:p w:rsidRPr="0019133F" w:rsidR="0019133F" w:rsidP="0019133F" w:rsidRDefault="0019133F" w14:paraId="2F8F6A42" w14:textId="53B7F152">
      <w:pPr>
        <w:tabs>
          <w:tab w:val="left" w:pos="2160"/>
        </w:tabs>
        <w:jc w:val="both"/>
        <w:rPr>
          <w:rFonts w:ascii="Times New Roman" w:hAnsi="Times New Roman"/>
          <w:sz w:val="24"/>
          <w:szCs w:val="24"/>
        </w:rPr>
      </w:pPr>
      <w:r w:rsidRPr="592A7D99" w:rsidR="0019133F">
        <w:rPr>
          <w:rFonts w:ascii="Times New Roman" w:hAnsi="Times New Roman"/>
          <w:sz w:val="24"/>
          <w:szCs w:val="24"/>
        </w:rPr>
        <w:t>c) Invalidez Total o Permanente originada por accidente.</w:t>
      </w:r>
    </w:p>
    <w:p w:rsidRPr="0019133F" w:rsidR="0019133F" w:rsidP="0019133F" w:rsidRDefault="0019133F" w14:paraId="2BEC2179" w14:textId="77777777">
      <w:pPr>
        <w:tabs>
          <w:tab w:val="left" w:pos="2160"/>
        </w:tabs>
        <w:jc w:val="both"/>
        <w:rPr>
          <w:rFonts w:ascii="Times New Roman" w:hAnsi="Times New Roman"/>
          <w:sz w:val="24"/>
          <w:szCs w:val="24"/>
        </w:rPr>
      </w:pPr>
    </w:p>
    <w:p w:rsidRPr="0019133F" w:rsidR="0019133F" w:rsidP="0019133F" w:rsidRDefault="0019133F" w14:paraId="1CCCDAFA" w14:textId="77777777">
      <w:pPr>
        <w:tabs>
          <w:tab w:val="left" w:pos="2160"/>
        </w:tabs>
        <w:jc w:val="both"/>
        <w:rPr>
          <w:rFonts w:ascii="Times New Roman" w:hAnsi="Times New Roman"/>
          <w:sz w:val="24"/>
          <w:szCs w:val="24"/>
          <w:lang w:val="es-419"/>
        </w:rPr>
      </w:pPr>
      <w:r w:rsidRPr="0019133F">
        <w:rPr>
          <w:rFonts w:ascii="Times New Roman" w:hAnsi="Times New Roman"/>
          <w:sz w:val="24"/>
          <w:szCs w:val="24"/>
          <w:lang w:val="es-419"/>
        </w:rPr>
        <w:t xml:space="preserve">En materia de seguros es aceptado que la cobertura se puede delimitar tanto positiva como negativamente.  Lo primero ocurre a través de los riesgos aceptados por la aseguradora y contratados por el asegurado, en cuyo caso se está ante una póliza de riesgos nombrados, lo </w:t>
      </w:r>
      <w:r w:rsidRPr="0019133F">
        <w:rPr>
          <w:rFonts w:ascii="Times New Roman" w:hAnsi="Times New Roman"/>
          <w:sz w:val="24"/>
          <w:szCs w:val="24"/>
          <w:lang w:val="es-419"/>
        </w:rPr>
        <w:lastRenderedPageBreak/>
        <w:t>cual corresponde a una relación taxativa de supuestos cubiertos por el seguro.  Y lo segundo se produce a través del régimen de exclusiones, identificándose los supuestos que serán rechazados de la cobertura, las exclusiones se deben aplicar literalmente, descansando su carga probatoria en la aseguradora.</w:t>
      </w:r>
    </w:p>
    <w:p w:rsidRPr="0019133F" w:rsidR="0019133F" w:rsidP="0019133F" w:rsidRDefault="0019133F" w14:paraId="080CC6F6" w14:textId="46E906DB">
      <w:pPr>
        <w:tabs>
          <w:tab w:val="left" w:pos="2160"/>
        </w:tabs>
        <w:jc w:val="both"/>
        <w:rPr>
          <w:rFonts w:ascii="Times New Roman" w:hAnsi="Times New Roman"/>
          <w:sz w:val="24"/>
          <w:szCs w:val="24"/>
        </w:rPr>
      </w:pPr>
      <w:r w:rsidRPr="0019133F">
        <w:rPr>
          <w:rFonts w:ascii="Times New Roman" w:hAnsi="Times New Roman"/>
          <w:sz w:val="24"/>
          <w:szCs w:val="24"/>
        </w:rPr>
        <w:t>En el caso de la cobertura de Invalidez Total o Permanente originada por accidente, la póliza de seguro y el artículo 5 del Decreto Legislativo 688, expresamente establecen que no se cubre cualquier situación de invalidez total o permanente por accidente, sino únicamente aquella que corresponda a los supuestos establecidos en la ley. A continuación, se transcribe lo establecido en el referido artículo 5:</w:t>
      </w:r>
    </w:p>
    <w:p w:rsidRPr="0019133F" w:rsidR="0019133F" w:rsidP="0019133F" w:rsidRDefault="0019133F" w14:paraId="6D398C54" w14:textId="77777777">
      <w:pPr>
        <w:tabs>
          <w:tab w:val="left" w:pos="2160"/>
        </w:tabs>
        <w:ind w:left="720"/>
        <w:jc w:val="both"/>
        <w:rPr>
          <w:rFonts w:ascii="Times New Roman" w:hAnsi="Times New Roman"/>
          <w:i/>
          <w:iCs/>
          <w:sz w:val="24"/>
          <w:szCs w:val="24"/>
        </w:rPr>
      </w:pPr>
      <w:r w:rsidRPr="0019133F">
        <w:rPr>
          <w:rFonts w:ascii="Times New Roman" w:hAnsi="Times New Roman"/>
          <w:b/>
          <w:bCs/>
          <w:i/>
          <w:iCs/>
          <w:sz w:val="24"/>
          <w:szCs w:val="24"/>
        </w:rPr>
        <w:t> “Artículo 5.- </w:t>
      </w:r>
      <w:r w:rsidRPr="0019133F">
        <w:rPr>
          <w:rFonts w:ascii="Times New Roman" w:hAnsi="Times New Roman"/>
          <w:i/>
          <w:iCs/>
          <w:sz w:val="24"/>
          <w:szCs w:val="24"/>
        </w:rPr>
        <w:t>Se considera invalidez total y permanente originada por accidente, la alienación mental absoluta e incurable, el descerebramiento que impida efectuar trabajo u ocupación por el resto de la vida, la fractura incurable de la columna vertebral que determine la invalidez total y permanente, la pérdida total de la visión de ambos ojos, o de ambas manos, o de ambos pies, o de una mano y un pie y otros que se puedan establecer por Decreto Supremo”.</w:t>
      </w:r>
    </w:p>
    <w:p w:rsidRPr="0019133F" w:rsidR="0019133F" w:rsidP="0019133F" w:rsidRDefault="0019133F" w14:paraId="611B9A0E" w14:textId="3C95C2BA">
      <w:pPr>
        <w:tabs>
          <w:tab w:val="left" w:pos="2160"/>
        </w:tabs>
        <w:jc w:val="both"/>
        <w:rPr>
          <w:rFonts w:ascii="Times New Roman" w:hAnsi="Times New Roman"/>
          <w:sz w:val="24"/>
          <w:szCs w:val="24"/>
        </w:rPr>
      </w:pPr>
      <w:r w:rsidRPr="0019133F">
        <w:rPr>
          <w:rFonts w:ascii="Times New Roman" w:hAnsi="Times New Roman"/>
          <w:sz w:val="24"/>
          <w:szCs w:val="24"/>
        </w:rPr>
        <w:t>Por lo tanto, el hecho que una invalidez corresponda a situaciones que no provengan de un accidente, o que no correspondan a las nombradas en el referido artículo 5, no quiere decir, que estemos ante una exclusión de cobertura, sino que nos encontramos ante supuestos que se encuentran fuera de la cobertura del segur</w:t>
      </w:r>
      <w:r w:rsidR="004B5ED6">
        <w:rPr>
          <w:rFonts w:ascii="Times New Roman" w:hAnsi="Times New Roman"/>
          <w:sz w:val="24"/>
          <w:szCs w:val="24"/>
        </w:rPr>
        <w:t>o</w:t>
      </w:r>
      <w:r w:rsidRPr="0019133F">
        <w:rPr>
          <w:rFonts w:ascii="Times New Roman" w:hAnsi="Times New Roman"/>
          <w:sz w:val="24"/>
          <w:szCs w:val="24"/>
        </w:rPr>
        <w:t>. En otras palabras, existiendo una delimitación positiva del riesgo, que establece taxativamente cuáles son los supuestos cubiertos por el seguro, el evento reclamado no corresponde a alguno de ellos.</w:t>
      </w:r>
    </w:p>
    <w:p w:rsidRPr="0019133F" w:rsidR="0019133F" w:rsidP="0019133F" w:rsidRDefault="0019133F" w14:paraId="32126E48" w14:textId="0616A6F4">
      <w:pPr>
        <w:tabs>
          <w:tab w:val="left" w:pos="2160"/>
        </w:tabs>
        <w:jc w:val="both"/>
        <w:rPr>
          <w:rFonts w:ascii="Times New Roman" w:hAnsi="Times New Roman"/>
          <w:sz w:val="24"/>
          <w:szCs w:val="24"/>
        </w:rPr>
      </w:pPr>
      <w:r w:rsidRPr="0019133F">
        <w:rPr>
          <w:rFonts w:ascii="Times New Roman" w:hAnsi="Times New Roman"/>
          <w:sz w:val="24"/>
          <w:szCs w:val="24"/>
        </w:rPr>
        <w:t>Ello es consistente con la séptima regla de interpretación del contrato de seguro, establecida en la Ley 29946, Ley del Contrato de Seguro, que señala:</w:t>
      </w:r>
    </w:p>
    <w:p w:rsidRPr="004B5ED6" w:rsidR="0019133F" w:rsidP="004B5ED6" w:rsidRDefault="0019133F" w14:paraId="703CB93E" w14:textId="30B1AB0B">
      <w:pPr>
        <w:tabs>
          <w:tab w:val="left" w:pos="2160"/>
        </w:tabs>
        <w:ind w:left="720"/>
        <w:jc w:val="both"/>
        <w:rPr>
          <w:rFonts w:ascii="Times New Roman" w:hAnsi="Times New Roman"/>
          <w:i/>
          <w:iCs/>
          <w:sz w:val="24"/>
          <w:szCs w:val="24"/>
        </w:rPr>
      </w:pPr>
      <w:r w:rsidRPr="0019133F">
        <w:rPr>
          <w:rFonts w:ascii="Times New Roman" w:hAnsi="Times New Roman"/>
          <w:b/>
          <w:bCs/>
          <w:i/>
          <w:iCs/>
          <w:sz w:val="24"/>
          <w:szCs w:val="24"/>
        </w:rPr>
        <w:t>“Séptima.</w:t>
      </w:r>
      <w:r w:rsidRPr="0019133F">
        <w:rPr>
          <w:rFonts w:ascii="Times New Roman" w:hAnsi="Times New Roman"/>
          <w:i/>
          <w:iCs/>
          <w:sz w:val="24"/>
          <w:szCs w:val="24"/>
        </w:rPr>
        <w:t xml:space="preserve"> La cobertura, exclusiones y, en general, la extensión del riesgo así como los derechos de los beneficiarios, previstos en el contrato de seguro, deben interpretarse literalmente”.</w:t>
      </w:r>
    </w:p>
    <w:p w:rsidRPr="0019133F" w:rsidR="0019133F" w:rsidP="0019133F" w:rsidRDefault="0019133F" w14:paraId="649B60B4" w14:textId="77777777">
      <w:pPr>
        <w:tabs>
          <w:tab w:val="left" w:pos="2160"/>
        </w:tabs>
        <w:jc w:val="both"/>
        <w:rPr>
          <w:rFonts w:ascii="Times New Roman" w:hAnsi="Times New Roman"/>
          <w:sz w:val="24"/>
          <w:szCs w:val="24"/>
        </w:rPr>
      </w:pPr>
      <w:r w:rsidRPr="0019133F">
        <w:rPr>
          <w:rFonts w:ascii="Times New Roman" w:hAnsi="Times New Roman"/>
          <w:sz w:val="24"/>
          <w:szCs w:val="24"/>
        </w:rPr>
        <w:t>En efecto, el Decreto Legislativo Nº 688, ha delimitado el riesgo positivamente, sin contemplar exclusiones; y solo otorga la cobertura de invalidez, cuando esta sea consecuencia de un accidente -no de una enfermedad- y además corresponda a alguno de los supuestos taxativamente previstos en la ley, es decir corresponda a: (1) la alienación mental absoluta e incurable, (2) el descerebramiento que impida efectuar trabajo u ocupación por el resto de la vida, (3) la fractura incurable de la columna vertebral, (4) la pérdida total de la visión de ambos ojos; (5) la pérdida total de ambas manos o de ambos pies, o de una mano y un pie; (6) otros que se puedan establecer por Decreto Supremo.</w:t>
      </w:r>
    </w:p>
    <w:p w:rsidRPr="0019133F" w:rsidR="0019133F" w:rsidP="0019133F" w:rsidRDefault="0019133F" w14:paraId="37D9C9DC" w14:textId="77777777">
      <w:pPr>
        <w:tabs>
          <w:tab w:val="left" w:pos="2160"/>
        </w:tabs>
        <w:jc w:val="both"/>
        <w:rPr>
          <w:rFonts w:ascii="Times New Roman" w:hAnsi="Times New Roman"/>
          <w:sz w:val="24"/>
          <w:szCs w:val="24"/>
        </w:rPr>
      </w:pPr>
    </w:p>
    <w:p w:rsidRPr="0019133F" w:rsidR="0019133F" w:rsidP="0019133F" w:rsidRDefault="0019133F" w14:paraId="602AC02D" w14:textId="6493C226">
      <w:pPr>
        <w:tabs>
          <w:tab w:val="left" w:pos="2160"/>
        </w:tabs>
        <w:jc w:val="both"/>
        <w:rPr>
          <w:rFonts w:ascii="Times New Roman" w:hAnsi="Times New Roman"/>
          <w:sz w:val="24"/>
          <w:szCs w:val="24"/>
        </w:rPr>
      </w:pPr>
      <w:r w:rsidRPr="0019133F">
        <w:rPr>
          <w:rFonts w:ascii="Times New Roman" w:hAnsi="Times New Roman"/>
          <w:sz w:val="24"/>
          <w:szCs w:val="24"/>
        </w:rPr>
        <w:t xml:space="preserve">En este sentido, si la invalidez es consecuencia de una </w:t>
      </w:r>
      <w:r w:rsidRPr="0019133F">
        <w:rPr>
          <w:rFonts w:ascii="Times New Roman" w:hAnsi="Times New Roman"/>
          <w:b/>
          <w:bCs/>
          <w:sz w:val="24"/>
          <w:szCs w:val="24"/>
          <w:u w:val="single"/>
        </w:rPr>
        <w:t>enfermedad,</w:t>
      </w:r>
      <w:r w:rsidRPr="0019133F">
        <w:rPr>
          <w:rFonts w:ascii="Times New Roman" w:hAnsi="Times New Roman"/>
          <w:sz w:val="24"/>
          <w:szCs w:val="24"/>
        </w:rPr>
        <w:t xml:space="preserve"> aun cuando ocasione la pérdida total de ambos ojos, no procederá la cobertura de seguro, pues el siniestro no fue consecuencia de un </w:t>
      </w:r>
      <w:r w:rsidRPr="0019133F">
        <w:rPr>
          <w:rFonts w:ascii="Times New Roman" w:hAnsi="Times New Roman"/>
          <w:b/>
          <w:bCs/>
          <w:sz w:val="24"/>
          <w:szCs w:val="24"/>
          <w:u w:val="single"/>
        </w:rPr>
        <w:t>accidente</w:t>
      </w:r>
      <w:r w:rsidRPr="0019133F">
        <w:rPr>
          <w:rFonts w:ascii="Times New Roman" w:hAnsi="Times New Roman"/>
          <w:sz w:val="24"/>
          <w:szCs w:val="24"/>
        </w:rPr>
        <w:t>, que es lo cubierto por la ley.</w:t>
      </w:r>
    </w:p>
    <w:p w:rsidRPr="0019133F" w:rsidR="0019133F" w:rsidP="0019133F" w:rsidRDefault="0019133F" w14:paraId="2ECA704E" w14:textId="34FF55B6">
      <w:pPr>
        <w:tabs>
          <w:tab w:val="left" w:pos="2160"/>
        </w:tabs>
        <w:jc w:val="both"/>
        <w:rPr>
          <w:rFonts w:ascii="Times New Roman" w:hAnsi="Times New Roman"/>
          <w:sz w:val="24"/>
          <w:szCs w:val="24"/>
        </w:rPr>
      </w:pPr>
      <w:r w:rsidRPr="0019133F">
        <w:rPr>
          <w:rFonts w:ascii="Times New Roman" w:hAnsi="Times New Roman"/>
          <w:sz w:val="24"/>
          <w:szCs w:val="24"/>
        </w:rPr>
        <w:lastRenderedPageBreak/>
        <w:t xml:space="preserve">Del mismo modo, si la invalidez es consecuencia de un accidente, pero no se configura por </w:t>
      </w:r>
      <w:r w:rsidRPr="0019133F">
        <w:rPr>
          <w:rFonts w:ascii="Times New Roman" w:hAnsi="Times New Roman"/>
          <w:b/>
          <w:bCs/>
          <w:sz w:val="24"/>
          <w:szCs w:val="24"/>
          <w:u w:val="single"/>
        </w:rPr>
        <w:t>alguno de los supuestos taxativamente previstos en la ley</w:t>
      </w:r>
      <w:r w:rsidRPr="0019133F">
        <w:rPr>
          <w:rFonts w:ascii="Times New Roman" w:hAnsi="Times New Roman"/>
          <w:sz w:val="24"/>
          <w:szCs w:val="24"/>
        </w:rPr>
        <w:t>, tampoco procederá la cobertura del seguro, al no haberse materializado el riesgo asegurado.</w:t>
      </w:r>
    </w:p>
    <w:p w:rsidRPr="0019133F" w:rsidR="0019133F" w:rsidP="0019133F" w:rsidRDefault="0019133F" w14:paraId="55D727A7" w14:textId="5CFC0C91">
      <w:pPr>
        <w:tabs>
          <w:tab w:val="left" w:pos="2160"/>
        </w:tabs>
        <w:jc w:val="both"/>
        <w:rPr>
          <w:rFonts w:ascii="Times New Roman" w:hAnsi="Times New Roman"/>
          <w:sz w:val="24"/>
          <w:szCs w:val="24"/>
        </w:rPr>
      </w:pPr>
      <w:r w:rsidRPr="0019133F">
        <w:rPr>
          <w:rFonts w:ascii="Times New Roman" w:hAnsi="Times New Roman"/>
          <w:sz w:val="24"/>
          <w:szCs w:val="24"/>
        </w:rPr>
        <w:t>El dictamen presentado por el reclamante para acreditar la invalidez señala lo siguiente:</w:t>
      </w:r>
    </w:p>
    <w:p w:rsidRPr="0019133F" w:rsidR="0019133F" w:rsidP="0019133F" w:rsidRDefault="0019133F" w14:paraId="3A191506" w14:textId="6F4E18F1">
      <w:pPr>
        <w:tabs>
          <w:tab w:val="left" w:pos="2160"/>
        </w:tabs>
        <w:jc w:val="both"/>
      </w:pPr>
      <w:r w:rsidR="6C317782">
        <w:rPr/>
        <w:t>...................................................................................................................</w:t>
      </w:r>
    </w:p>
    <w:p w:rsidRPr="0019133F" w:rsidR="0019133F" w:rsidP="0019133F" w:rsidRDefault="0019133F" w14:paraId="6F485B79" w14:textId="77777777">
      <w:pPr>
        <w:tabs>
          <w:tab w:val="left" w:pos="2160"/>
        </w:tabs>
        <w:jc w:val="both"/>
        <w:rPr>
          <w:rFonts w:ascii="Times New Roman" w:hAnsi="Times New Roman"/>
          <w:sz w:val="24"/>
          <w:szCs w:val="24"/>
        </w:rPr>
      </w:pPr>
    </w:p>
    <w:p w:rsidRPr="0019133F" w:rsidR="0019133F" w:rsidP="0019133F" w:rsidRDefault="0019133F" w14:paraId="40A9CEE4" w14:textId="7EE455AF">
      <w:pPr>
        <w:tabs>
          <w:tab w:val="left" w:pos="2160"/>
        </w:tabs>
        <w:jc w:val="both"/>
        <w:rPr>
          <w:rFonts w:ascii="Times New Roman" w:hAnsi="Times New Roman"/>
          <w:sz w:val="24"/>
          <w:szCs w:val="24"/>
        </w:rPr>
      </w:pPr>
      <w:r w:rsidRPr="592A7D99" w:rsidR="0019133F">
        <w:rPr>
          <w:rFonts w:ascii="Times New Roman" w:hAnsi="Times New Roman"/>
          <w:sz w:val="24"/>
          <w:szCs w:val="24"/>
        </w:rPr>
        <w:t>Asimismo, presenta un certificado de discapacidad severa de fecha 2 de setiembre de 2021, que da cuenta de los siguientes diagnósticos:</w:t>
      </w:r>
    </w:p>
    <w:p w:rsidR="592A7D99" w:rsidP="592A7D99" w:rsidRDefault="592A7D99" w14:paraId="4F198A87" w14:textId="11355B94">
      <w:pPr>
        <w:tabs>
          <w:tab w:val="left" w:leader="none" w:pos="2160"/>
        </w:tabs>
        <w:jc w:val="both"/>
      </w:pPr>
    </w:p>
    <w:p w:rsidRPr="0019133F" w:rsidR="0019133F" w:rsidP="0019133F" w:rsidRDefault="0019133F" w14:paraId="4A164579" w14:textId="4AB26D25">
      <w:pPr>
        <w:tabs>
          <w:tab w:val="left" w:pos="2160"/>
        </w:tabs>
        <w:jc w:val="both"/>
        <w:rPr>
          <w:rFonts w:ascii="Times New Roman" w:hAnsi="Times New Roman"/>
          <w:sz w:val="24"/>
          <w:szCs w:val="24"/>
        </w:rPr>
      </w:pPr>
      <w:r w:rsidRPr="592A7D99" w:rsidR="6DB0DEC8">
        <w:rPr>
          <w:rFonts w:ascii="Times New Roman" w:hAnsi="Times New Roman"/>
          <w:sz w:val="24"/>
          <w:szCs w:val="24"/>
        </w:rPr>
        <w:t>...................................................................................................................</w:t>
      </w:r>
      <w:r w:rsidRPr="592A7D99" w:rsidR="56728DE6">
        <w:rPr>
          <w:rFonts w:ascii="Times New Roman" w:hAnsi="Times New Roman"/>
          <w:sz w:val="24"/>
          <w:szCs w:val="24"/>
        </w:rPr>
        <w:t>...</w:t>
      </w:r>
    </w:p>
    <w:p w:rsidRPr="0019133F" w:rsidR="0019133F" w:rsidP="0019133F" w:rsidRDefault="0019133F" w14:paraId="53741B8E" w14:textId="77777777">
      <w:pPr>
        <w:tabs>
          <w:tab w:val="left" w:pos="2160"/>
        </w:tabs>
        <w:jc w:val="both"/>
        <w:rPr>
          <w:rFonts w:ascii="Times New Roman" w:hAnsi="Times New Roman"/>
          <w:sz w:val="24"/>
          <w:szCs w:val="24"/>
        </w:rPr>
      </w:pPr>
    </w:p>
    <w:p w:rsidRPr="0019133F" w:rsidR="0019133F" w:rsidP="0019133F" w:rsidRDefault="0019133F" w14:paraId="6DC8B181" w14:textId="6B7BC458">
      <w:pPr>
        <w:tabs>
          <w:tab w:val="left" w:pos="2160"/>
        </w:tabs>
        <w:jc w:val="both"/>
      </w:pPr>
      <w:r w:rsidR="56728DE6">
        <w:rPr/>
        <w:t>..................................................................................................................................</w:t>
      </w:r>
    </w:p>
    <w:p w:rsidRPr="0019133F" w:rsidR="0019133F" w:rsidP="0019133F" w:rsidRDefault="0019133F" w14:paraId="2C7E9103" w14:textId="752BCC4E">
      <w:pPr>
        <w:tabs>
          <w:tab w:val="left" w:pos="2160"/>
        </w:tabs>
        <w:jc w:val="both"/>
        <w:rPr>
          <w:rFonts w:ascii="Times New Roman" w:hAnsi="Times New Roman"/>
          <w:sz w:val="24"/>
          <w:szCs w:val="24"/>
        </w:rPr>
      </w:pPr>
      <w:r w:rsidRPr="0019133F">
        <w:rPr>
          <w:rFonts w:ascii="Times New Roman" w:hAnsi="Times New Roman"/>
          <w:sz w:val="24"/>
          <w:szCs w:val="24"/>
        </w:rPr>
        <w:t xml:space="preserve">Es decir, no queda duda que estamos una invalidez permanente total. No obstante, corresponde determinar si ella es consecuencia de un accidente; y, si corresponde a los supuestos previstos en la ley y la póliza de seguro, que recoge lo señalado en la ley. </w:t>
      </w:r>
    </w:p>
    <w:p w:rsidRPr="0019133F" w:rsidR="0019133F" w:rsidP="0019133F" w:rsidRDefault="0019133F" w14:paraId="77C8507C" w14:textId="6C7E7454">
      <w:pPr>
        <w:tabs>
          <w:tab w:val="left" w:pos="2160"/>
        </w:tabs>
        <w:jc w:val="both"/>
        <w:rPr>
          <w:rFonts w:ascii="Times New Roman" w:hAnsi="Times New Roman"/>
          <w:sz w:val="24"/>
          <w:szCs w:val="24"/>
        </w:rPr>
      </w:pPr>
      <w:r w:rsidRPr="0019133F">
        <w:rPr>
          <w:rFonts w:ascii="Times New Roman" w:hAnsi="Times New Roman"/>
          <w:sz w:val="24"/>
          <w:szCs w:val="24"/>
        </w:rPr>
        <w:t xml:space="preserve">En lo que respecta a si estamos ante un accidente o no, el certificado de invalidez solo da cuenta del accidente cerebro vascular, el cual se puede producir por un coagulo que bloquea o tapa un vaso sanguíneo en el cerebro, o por un vaso sanguíneo que se rompe y sangra en el cerebro. Las causas de dicho coagulo o rotura pueden ser múltiples, por lo que en medicina se habla de factores de riesgo que pueden producir un ACV y dentro de ello se mencionan </w:t>
      </w:r>
      <w:r w:rsidRPr="0019133F">
        <w:rPr>
          <w:rFonts w:ascii="Times New Roman" w:hAnsi="Times New Roman"/>
          <w:sz w:val="24"/>
          <w:szCs w:val="24"/>
        </w:rPr>
        <w:lastRenderedPageBreak/>
        <w:t>una serie de enfermedades o condiciones, como la presión arterial alta, la diabetes, enfermedades del corazón, edad, etc.</w:t>
      </w:r>
      <w:r w:rsidRPr="0019133F">
        <w:rPr>
          <w:rStyle w:val="Refdenotaalpie"/>
          <w:rFonts w:ascii="Times New Roman" w:hAnsi="Times New Roman"/>
          <w:sz w:val="24"/>
          <w:szCs w:val="24"/>
        </w:rPr>
        <w:footnoteReference w:id="2"/>
      </w:r>
    </w:p>
    <w:p w:rsidRPr="0019133F" w:rsidR="0019133F" w:rsidP="0019133F" w:rsidRDefault="0019133F" w14:paraId="47B61097" w14:textId="3E77A73D">
      <w:pPr>
        <w:tabs>
          <w:tab w:val="left" w:pos="2160"/>
        </w:tabs>
        <w:jc w:val="both"/>
        <w:rPr>
          <w:rFonts w:ascii="Times New Roman" w:hAnsi="Times New Roman"/>
          <w:sz w:val="24"/>
          <w:szCs w:val="24"/>
        </w:rPr>
      </w:pPr>
      <w:r w:rsidRPr="0019133F">
        <w:rPr>
          <w:rFonts w:ascii="Times New Roman" w:hAnsi="Times New Roman"/>
          <w:sz w:val="24"/>
          <w:szCs w:val="24"/>
        </w:rPr>
        <w:t>En este caso, el reclamante refiere que el ACV se produce luego de una caída de una hamaca producida en noviembre de 2019, y como prueba de ello adjunta una denuncia policial que da cuenta de dicha caída. Sin embargo, dicha denuncia fue formulada dos años y medio después, siendo solo una declaración del reclamante, no constatada por terceras personas, como se aprecia a continuación:</w:t>
      </w:r>
    </w:p>
    <w:p w:rsidRPr="0019133F" w:rsidR="0019133F" w:rsidP="004B5ED6" w:rsidRDefault="0019133F" w14:paraId="2EA740A8" w14:textId="024604FD">
      <w:pPr>
        <w:tabs>
          <w:tab w:val="left" w:pos="2160"/>
        </w:tabs>
        <w:jc w:val="center"/>
      </w:pPr>
      <w:r w:rsidR="3C69D339">
        <w:rPr/>
        <w:t>..............................................................................................................................................</w:t>
      </w:r>
    </w:p>
    <w:p w:rsidRPr="0019133F" w:rsidR="0019133F" w:rsidP="0019133F" w:rsidRDefault="0019133F" w14:paraId="616831AA" w14:textId="77777777">
      <w:pPr>
        <w:tabs>
          <w:tab w:val="left" w:pos="2160"/>
        </w:tabs>
        <w:jc w:val="both"/>
        <w:rPr>
          <w:rFonts w:ascii="Times New Roman" w:hAnsi="Times New Roman"/>
          <w:sz w:val="24"/>
          <w:szCs w:val="24"/>
        </w:rPr>
      </w:pPr>
    </w:p>
    <w:p w:rsidRPr="0019133F" w:rsidR="0019133F" w:rsidP="0019133F" w:rsidRDefault="0019133F" w14:paraId="2090C5E9" w14:textId="4AA018B7">
      <w:pPr>
        <w:tabs>
          <w:tab w:val="left" w:pos="2160"/>
        </w:tabs>
        <w:jc w:val="both"/>
        <w:rPr>
          <w:rFonts w:ascii="Times New Roman" w:hAnsi="Times New Roman"/>
          <w:sz w:val="24"/>
          <w:szCs w:val="24"/>
        </w:rPr>
      </w:pPr>
      <w:r w:rsidRPr="0019133F">
        <w:rPr>
          <w:rFonts w:ascii="Times New Roman" w:hAnsi="Times New Roman"/>
          <w:sz w:val="24"/>
          <w:szCs w:val="24"/>
        </w:rPr>
        <w:lastRenderedPageBreak/>
        <w:t>En la historia clínica se verifica que el reclamante padecía de diabetes e hipertensión arterial, por lo que la aseguradora considera que la causa del ACV no fue producto de la caída de la hamaca sino de las enfermedades que padecía el asegurado.</w:t>
      </w:r>
    </w:p>
    <w:p w:rsidRPr="0019133F" w:rsidR="0019133F" w:rsidP="0019133F" w:rsidRDefault="0019133F" w14:paraId="7A918E12" w14:textId="5A9261B6">
      <w:pPr>
        <w:tabs>
          <w:tab w:val="left" w:pos="2160"/>
        </w:tabs>
        <w:jc w:val="both"/>
        <w:rPr>
          <w:rFonts w:ascii="Times New Roman" w:hAnsi="Times New Roman"/>
          <w:sz w:val="24"/>
          <w:szCs w:val="24"/>
        </w:rPr>
      </w:pPr>
      <w:r w:rsidRPr="0019133F">
        <w:rPr>
          <w:rFonts w:ascii="Times New Roman" w:hAnsi="Times New Roman"/>
          <w:sz w:val="24"/>
          <w:szCs w:val="24"/>
        </w:rPr>
        <w:t>En opinión de este colegiado, la denuncia policial por si sola, no es suficiente para acreditar que el ACV haya sido producto de una caída accidental, dado que la misma es solo una constatación formulada más de dos años después, por el propio asegurado, que no genera convicción, pues revisadas las atenciones clínicas del 27 de noviembre de 2019, no se hace referencia alguna a dicha caída, por el contrario se menciona la referencia la diabetes, dándose cuenta en la atención del 28/11/2019 (a fojas 19 de la historia clínica) de lo siguiente,:</w:t>
      </w:r>
    </w:p>
    <w:p w:rsidRPr="0019133F" w:rsidR="0019133F" w:rsidP="004B5ED6" w:rsidRDefault="0019133F" w14:paraId="65201888" w14:textId="7AFAB986">
      <w:pPr>
        <w:tabs>
          <w:tab w:val="left" w:pos="2160"/>
        </w:tabs>
        <w:ind w:left="-426"/>
        <w:jc w:val="both"/>
      </w:pPr>
      <w:r w:rsidR="5183B61F">
        <w:rPr/>
        <w:t>..............................................................................................................................................................</w:t>
      </w:r>
    </w:p>
    <w:p w:rsidRPr="0019133F" w:rsidR="0019133F" w:rsidP="0019133F" w:rsidRDefault="0019133F" w14:paraId="67EC05FE" w14:textId="3375333C">
      <w:pPr>
        <w:tabs>
          <w:tab w:val="left" w:pos="2160"/>
        </w:tabs>
        <w:jc w:val="both"/>
        <w:rPr>
          <w:rFonts w:ascii="Times New Roman" w:hAnsi="Times New Roman"/>
          <w:sz w:val="24"/>
          <w:szCs w:val="24"/>
        </w:rPr>
      </w:pPr>
      <w:r w:rsidRPr="0019133F">
        <w:rPr>
          <w:rFonts w:ascii="Times New Roman" w:hAnsi="Times New Roman"/>
          <w:sz w:val="24"/>
          <w:szCs w:val="24"/>
        </w:rPr>
        <w:t>Y posteriormente, en la misma historia clínica a fojas 23:</w:t>
      </w:r>
    </w:p>
    <w:p w:rsidRPr="0019133F" w:rsidR="0019133F" w:rsidP="0019133F" w:rsidRDefault="0019133F" w14:paraId="20DF5B98" w14:textId="5D276978">
      <w:pPr>
        <w:tabs>
          <w:tab w:val="left" w:pos="2160"/>
        </w:tabs>
        <w:jc w:val="both"/>
      </w:pPr>
      <w:r w:rsidR="2CEC53C9">
        <w:rPr/>
        <w:t>.............................................................................................................................................................</w:t>
      </w:r>
    </w:p>
    <w:p w:rsidRPr="0019133F" w:rsidR="0019133F" w:rsidP="0019133F" w:rsidRDefault="0019133F" w14:paraId="57F04999" w14:textId="1293C6BA">
      <w:pPr>
        <w:tabs>
          <w:tab w:val="left" w:pos="2160"/>
        </w:tabs>
        <w:jc w:val="both"/>
        <w:rPr>
          <w:rFonts w:ascii="Times New Roman" w:hAnsi="Times New Roman"/>
          <w:sz w:val="24"/>
          <w:szCs w:val="24"/>
        </w:rPr>
      </w:pPr>
      <w:r w:rsidRPr="0019133F">
        <w:rPr>
          <w:rFonts w:ascii="Times New Roman" w:hAnsi="Times New Roman"/>
          <w:sz w:val="24"/>
          <w:szCs w:val="24"/>
        </w:rPr>
        <w:t>Ahora bien, aun cuando se hubiera concluido que la causa del ACV sí fue por la caída de la hamaca, las consecuencias de la misma debieran corresponder a alguno de los supuestos de cobertura previstos en el artículo 5 del Decreto Legislativo 688, lo que tampoco está totalmente acreditado; por lo que el rechazo de cobertura sustentado en que no se ha configurado un riesgo cubierto por el seguro, resulta legítimo</w:t>
      </w:r>
    </w:p>
    <w:p w:rsidRPr="0019133F" w:rsidR="0019133F" w:rsidP="0019133F" w:rsidRDefault="0019133F" w14:paraId="32B8546E" w14:textId="4DAE2AFC">
      <w:pPr>
        <w:jc w:val="both"/>
        <w:rPr>
          <w:rFonts w:ascii="Times New Roman" w:hAnsi="Times New Roman"/>
          <w:sz w:val="24"/>
          <w:szCs w:val="24"/>
        </w:rPr>
      </w:pPr>
      <w:r w:rsidRPr="0019133F">
        <w:rPr>
          <w:rFonts w:ascii="Times New Roman" w:hAnsi="Times New Roman"/>
          <w:b/>
          <w:bCs/>
          <w:sz w:val="24"/>
          <w:szCs w:val="24"/>
          <w:u w:val="single"/>
        </w:rPr>
        <w:t>SETIMO:</w:t>
      </w:r>
      <w:r w:rsidRPr="0019133F">
        <w:rPr>
          <w:rFonts w:ascii="Times New Roman" w:hAnsi="Times New Roman"/>
          <w:sz w:val="24"/>
          <w:szCs w:val="24"/>
        </w:rPr>
        <w:t xml:space="preserve"> De otro lado, el reclamante ha invocado la demora en el pronunciamiento de la compañía, por lo que corresponde analizar si se ha configurado la figura del siniestro consentido.</w:t>
      </w:r>
    </w:p>
    <w:p w:rsidRPr="0019133F" w:rsidR="0019133F" w:rsidP="0019133F" w:rsidRDefault="0019133F" w14:paraId="6089292C" w14:textId="69E16E4E">
      <w:pPr>
        <w:jc w:val="both"/>
        <w:rPr>
          <w:rFonts w:ascii="Times New Roman" w:hAnsi="Times New Roman"/>
          <w:bCs/>
          <w:sz w:val="24"/>
          <w:szCs w:val="24"/>
          <w:lang w:val="es-MX"/>
        </w:rPr>
      </w:pPr>
      <w:r w:rsidRPr="0019133F">
        <w:rPr>
          <w:rFonts w:ascii="Times New Roman" w:hAnsi="Times New Roman"/>
          <w:sz w:val="24"/>
          <w:szCs w:val="24"/>
        </w:rPr>
        <w:t xml:space="preserve">Al respecto, </w:t>
      </w:r>
      <w:r w:rsidRPr="0019133F">
        <w:rPr>
          <w:rFonts w:ascii="Times New Roman" w:hAnsi="Times New Roman"/>
          <w:bCs/>
          <w:sz w:val="24"/>
          <w:szCs w:val="24"/>
          <w:lang w:val="es-MX"/>
        </w:rPr>
        <w:t xml:space="preserve">siendo que a través de la presente resolución se concluye que no se ha acreditado la ocurrencia del siniestro, en tanto no se ha producido un riesgo cubierto por la póliza, dicha figura no resulta aplicable a este caso. </w:t>
      </w:r>
    </w:p>
    <w:p w:rsidRPr="004B5ED6" w:rsidR="0019133F" w:rsidP="0019133F" w:rsidRDefault="0019133F" w14:paraId="7F25D2B4" w14:textId="11834817">
      <w:pPr>
        <w:jc w:val="both"/>
        <w:rPr>
          <w:rFonts w:ascii="Times New Roman" w:hAnsi="Times New Roman"/>
          <w:bCs/>
          <w:sz w:val="24"/>
          <w:szCs w:val="24"/>
          <w:lang w:val="es-MX"/>
        </w:rPr>
      </w:pPr>
      <w:r w:rsidRPr="0019133F">
        <w:rPr>
          <w:rFonts w:ascii="Times New Roman" w:hAnsi="Times New Roman"/>
          <w:bCs/>
          <w:sz w:val="24"/>
          <w:szCs w:val="24"/>
          <w:lang w:val="es-MX"/>
        </w:rPr>
        <w:t xml:space="preserve">En efecto, la figura del siniestro consentido </w:t>
      </w:r>
      <w:r w:rsidRPr="0019133F">
        <w:rPr>
          <w:rFonts w:ascii="Times New Roman" w:hAnsi="Times New Roman"/>
          <w:sz w:val="24"/>
          <w:szCs w:val="24"/>
        </w:rPr>
        <w:t xml:space="preserve">solo aplica respecto de eventos que se enmarcan dentro de la cobertura del seguro, pues </w:t>
      </w:r>
      <w:r w:rsidRPr="0019133F">
        <w:rPr>
          <w:rFonts w:ascii="Times New Roman" w:hAnsi="Times New Roman"/>
          <w:bCs/>
          <w:sz w:val="24"/>
          <w:szCs w:val="24"/>
          <w:lang w:val="es-MX"/>
        </w:rPr>
        <w:t xml:space="preserve">presupone la existencia misma de un siniestro cubierto por el seguro, así como presupone la existencia de un contrato de seguro válido y vigente. Partiendo de dichos supuestos, la compañía dispone de un plazo de 30 días de presentada toda la documentación para pronunciarse sobre la cobertura reclamada, cuando no existe convenio de ajuste; de modo tal que si pretende invocar alguna causal de exclusión, el incumplimiento de alguna carga u otro supuesto que libere a la aseguradora de su obligación, la aseguradora debe invocarla dentro del plazo de 30 días que la ley le otorga, pues vencido </w:t>
      </w:r>
      <w:r w:rsidRPr="0019133F">
        <w:rPr>
          <w:rFonts w:ascii="Times New Roman" w:hAnsi="Times New Roman"/>
          <w:bCs/>
          <w:sz w:val="24"/>
          <w:szCs w:val="24"/>
          <w:lang w:val="es-MX"/>
        </w:rPr>
        <w:lastRenderedPageBreak/>
        <w:t xml:space="preserve">el mismo se da por aceptado el siniestro en las condiciones previstas por ley. No obstante, ello no ocurre cuando el contrato es nulo, se reclama una cobertura inexistente, o cuando se concluye  que el riesgo asegurado no se produjo, pues no se puede aplicar la consecuencia de la norma (el pago de un siniestro) a un supuesto no cubierto por la póliza. En estos casos, la demora en la atención de un reclamo, sería -de haberse producido- un aspecto de idoneidad de servicio respecto del cual el reclamante puede acudir a otras instancias si lo considera pertinente, pero no podría determinar el otorgamiento de una cobertura, pues para que ello ocurra debe haber existido previamente un riesgo asegurado por la póliza. La no aplicación de la figura del siniestro consentido en dichos supuestos es un aspecto reconocido por esta Defensoría en reiterados precedentes. </w:t>
      </w:r>
    </w:p>
    <w:p w:rsidRPr="0019133F" w:rsidR="0019133F" w:rsidP="0019133F" w:rsidRDefault="0019133F" w14:paraId="534A3358" w14:textId="4DB119EB">
      <w:pPr>
        <w:tabs>
          <w:tab w:val="left" w:pos="2160"/>
        </w:tabs>
        <w:jc w:val="both"/>
        <w:rPr>
          <w:rFonts w:ascii="Times New Roman" w:hAnsi="Times New Roman"/>
          <w:sz w:val="24"/>
          <w:szCs w:val="24"/>
        </w:rPr>
      </w:pPr>
      <w:r w:rsidRPr="0019133F">
        <w:rPr>
          <w:rFonts w:ascii="Times New Roman" w:hAnsi="Times New Roman"/>
          <w:sz w:val="24"/>
          <w:szCs w:val="24"/>
        </w:rPr>
        <w:t xml:space="preserve">Atendiendo a lo expresado, este colegiado concluye su apreciación razonada y conjunta al amparo de lo establecido en su Reglamento, por lo que </w:t>
      </w:r>
    </w:p>
    <w:p w:rsidRPr="004B5ED6" w:rsidR="0019133F" w:rsidP="0019133F" w:rsidRDefault="0019133F" w14:paraId="0EC59A00" w14:textId="32EE7CBA">
      <w:pPr>
        <w:jc w:val="both"/>
        <w:rPr>
          <w:rFonts w:ascii="Times New Roman" w:hAnsi="Times New Roman"/>
          <w:b/>
          <w:sz w:val="24"/>
          <w:szCs w:val="24"/>
        </w:rPr>
      </w:pPr>
      <w:r w:rsidRPr="0019133F">
        <w:rPr>
          <w:rFonts w:ascii="Times New Roman" w:hAnsi="Times New Roman"/>
          <w:b/>
          <w:sz w:val="24"/>
          <w:szCs w:val="24"/>
        </w:rPr>
        <w:t>RESUELVE:</w:t>
      </w:r>
    </w:p>
    <w:p w:rsidRPr="0019133F" w:rsidR="0019133F" w:rsidP="0019133F" w:rsidRDefault="0019133F" w14:paraId="4DB19A76" w14:textId="716C59D6">
      <w:pPr>
        <w:jc w:val="both"/>
        <w:rPr>
          <w:rFonts w:ascii="Times New Roman" w:hAnsi="Times New Roman"/>
          <w:sz w:val="24"/>
          <w:szCs w:val="24"/>
        </w:rPr>
      </w:pPr>
      <w:r w:rsidRPr="592A7D99" w:rsidR="0019133F">
        <w:rPr>
          <w:rFonts w:ascii="Times New Roman" w:hAnsi="Times New Roman" w:eastAsia="Arial Unicode MS"/>
          <w:sz w:val="24"/>
          <w:szCs w:val="24"/>
        </w:rPr>
        <w:t xml:space="preserve">Declarar </w:t>
      </w:r>
      <w:r w:rsidRPr="592A7D99" w:rsidR="0019133F">
        <w:rPr>
          <w:rFonts w:ascii="Times New Roman" w:hAnsi="Times New Roman" w:eastAsia="Arial Unicode MS"/>
          <w:b w:val="1"/>
          <w:bCs w:val="1"/>
          <w:sz w:val="24"/>
          <w:szCs w:val="24"/>
        </w:rPr>
        <w:t>INFUNDADA</w:t>
      </w:r>
      <w:r w:rsidRPr="592A7D99" w:rsidR="0019133F">
        <w:rPr>
          <w:rFonts w:ascii="Times New Roman" w:hAnsi="Times New Roman" w:eastAsia="Arial Unicode MS"/>
          <w:sz w:val="24"/>
          <w:szCs w:val="24"/>
        </w:rPr>
        <w:t xml:space="preserve"> la reclamación interpuesta por don </w:t>
      </w:r>
      <w:r w:rsidRPr="592A7D99" w:rsidR="5A42D10B">
        <w:rPr>
          <w:rFonts w:ascii="Times New Roman" w:hAnsi="Times New Roman"/>
          <w:sz w:val="24"/>
          <w:szCs w:val="24"/>
        </w:rPr>
        <w:t>...................................................................</w:t>
      </w:r>
      <w:r w:rsidRPr="592A7D99" w:rsidR="0019133F">
        <w:rPr>
          <w:rFonts w:ascii="Times New Roman" w:hAnsi="Times New Roman"/>
          <w:sz w:val="24"/>
          <w:szCs w:val="24"/>
        </w:rPr>
        <w:t xml:space="preserve"> contra </w:t>
      </w:r>
      <w:r w:rsidRPr="592A7D99" w:rsidR="3EE9AABA">
        <w:rPr>
          <w:rFonts w:ascii="Times New Roman" w:hAnsi="Times New Roman"/>
          <w:sz w:val="24"/>
          <w:szCs w:val="24"/>
        </w:rPr>
        <w:t>......................................</w:t>
      </w:r>
      <w:r w:rsidRPr="592A7D99" w:rsidR="0019133F">
        <w:rPr>
          <w:rFonts w:ascii="Times New Roman" w:hAnsi="Times New Roman"/>
          <w:sz w:val="24"/>
          <w:szCs w:val="24"/>
        </w:rPr>
        <w:t xml:space="preserve"> respecto al Seguro de Vida Ley Cesantes, dejando a salvo el derecho del reclamante de acudir ante las instancias que considere pertinentes.</w:t>
      </w:r>
    </w:p>
    <w:p w:rsidRPr="0019133F" w:rsidR="007E21A6" w:rsidP="00F3482B" w:rsidRDefault="00D00142" w14:paraId="2DE1D337" w14:textId="09022972">
      <w:pPr>
        <w:jc w:val="right"/>
        <w:rPr>
          <w:rFonts w:ascii="Times New Roman" w:hAnsi="Times New Roman"/>
          <w:sz w:val="24"/>
          <w:szCs w:val="24"/>
        </w:rPr>
      </w:pPr>
      <w:r w:rsidRPr="0019133F">
        <w:rPr>
          <w:rFonts w:ascii="Times New Roman" w:hAnsi="Times New Roman"/>
          <w:sz w:val="24"/>
          <w:szCs w:val="24"/>
        </w:rPr>
        <w:t>Lima,</w:t>
      </w:r>
      <w:r w:rsidRPr="0019133F" w:rsidR="0034229F">
        <w:rPr>
          <w:rFonts w:ascii="Times New Roman" w:hAnsi="Times New Roman"/>
          <w:sz w:val="24"/>
          <w:szCs w:val="24"/>
        </w:rPr>
        <w:t xml:space="preserve"> </w:t>
      </w:r>
      <w:r w:rsidRPr="0019133F" w:rsidR="008774B2">
        <w:rPr>
          <w:rFonts w:ascii="Times New Roman" w:hAnsi="Times New Roman"/>
          <w:sz w:val="24"/>
          <w:szCs w:val="24"/>
        </w:rPr>
        <w:t>11</w:t>
      </w:r>
      <w:r w:rsidRPr="0019133F" w:rsidR="008B7675">
        <w:rPr>
          <w:rFonts w:ascii="Times New Roman" w:hAnsi="Times New Roman"/>
          <w:sz w:val="24"/>
          <w:szCs w:val="24"/>
        </w:rPr>
        <w:t xml:space="preserve"> </w:t>
      </w:r>
      <w:r w:rsidRPr="0019133F">
        <w:rPr>
          <w:rFonts w:ascii="Times New Roman" w:hAnsi="Times New Roman"/>
          <w:sz w:val="24"/>
          <w:szCs w:val="24"/>
        </w:rPr>
        <w:t>de</w:t>
      </w:r>
      <w:r w:rsidRPr="0019133F" w:rsidR="00D874A8">
        <w:rPr>
          <w:rFonts w:ascii="Times New Roman" w:hAnsi="Times New Roman"/>
          <w:sz w:val="24"/>
          <w:szCs w:val="24"/>
        </w:rPr>
        <w:t xml:space="preserve"> </w:t>
      </w:r>
      <w:r w:rsidRPr="0019133F" w:rsidR="008B7675">
        <w:rPr>
          <w:rFonts w:ascii="Times New Roman" w:hAnsi="Times New Roman"/>
          <w:sz w:val="24"/>
          <w:szCs w:val="24"/>
        </w:rPr>
        <w:t>noviembre</w:t>
      </w:r>
      <w:r w:rsidRPr="0019133F" w:rsidR="000A7BCF">
        <w:rPr>
          <w:rFonts w:ascii="Times New Roman" w:hAnsi="Times New Roman"/>
          <w:sz w:val="24"/>
          <w:szCs w:val="24"/>
        </w:rPr>
        <w:t xml:space="preserve"> </w:t>
      </w:r>
      <w:r w:rsidRPr="0019133F">
        <w:rPr>
          <w:rFonts w:ascii="Times New Roman" w:hAnsi="Times New Roman"/>
          <w:sz w:val="24"/>
          <w:szCs w:val="24"/>
        </w:rPr>
        <w:t>de 202</w:t>
      </w:r>
      <w:r w:rsidRPr="0019133F" w:rsidR="00BF08F9">
        <w:rPr>
          <w:rFonts w:ascii="Times New Roman" w:hAnsi="Times New Roman"/>
          <w:sz w:val="24"/>
          <w:szCs w:val="24"/>
        </w:rPr>
        <w:t>4</w:t>
      </w:r>
    </w:p>
    <w:p w:rsidRPr="0019133F" w:rsidR="00922F8A" w:rsidP="001A4E48" w:rsidRDefault="00922F8A" w14:paraId="370F6A9B" w14:textId="45F0A5A9">
      <w:pPr>
        <w:jc w:val="center"/>
        <w:rPr>
          <w:rFonts w:ascii="Times New Roman" w:hAnsi="Times New Roman"/>
          <w:b/>
          <w:bCs/>
          <w:i/>
          <w:iCs/>
          <w:sz w:val="24"/>
          <w:szCs w:val="24"/>
          <w:lang w:val="es-ES_tradnl"/>
        </w:rPr>
      </w:pPr>
      <w:r w:rsidRPr="0019133F">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19133F" w:rsidR="00922F8A" w:rsidP="00922F8A" w:rsidRDefault="00922F8A" w14:paraId="0EA87B59"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Rolando Eyzaguirre Maccan – Presidente</w:t>
      </w:r>
    </w:p>
    <w:p w:rsidRPr="0019133F" w:rsidR="00922F8A" w:rsidP="00922F8A" w:rsidRDefault="00922F8A" w14:paraId="7090BA3B"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María Eugenia Valdez Fernández Baca – Vocal</w:t>
      </w:r>
    </w:p>
    <w:p w:rsidRPr="0019133F" w:rsidR="00922F8A" w:rsidP="00922F8A" w:rsidRDefault="00922F8A" w14:paraId="7B454C69"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Omar Alfaro Villanueva – Vocal</w:t>
      </w:r>
    </w:p>
    <w:p w:rsidRPr="0019133F" w:rsidR="00922F8A" w:rsidP="00922F8A" w:rsidRDefault="00922F8A" w14:paraId="2C915666" w14:textId="77777777">
      <w:pPr>
        <w:spacing w:line="240" w:lineRule="auto"/>
        <w:jc w:val="center"/>
        <w:rPr>
          <w:rFonts w:ascii="Times New Roman" w:hAnsi="Times New Roman"/>
          <w:sz w:val="24"/>
          <w:szCs w:val="24"/>
          <w:lang w:val="es-MX"/>
        </w:rPr>
      </w:pPr>
      <w:r w:rsidRPr="0019133F">
        <w:rPr>
          <w:rFonts w:ascii="Times New Roman" w:hAnsi="Times New Roman"/>
          <w:b/>
          <w:bCs/>
          <w:sz w:val="24"/>
          <w:szCs w:val="24"/>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F0683" w:rsidP="00722F1A" w:rsidRDefault="007F0683" w14:paraId="335CE0A9" w14:textId="77777777">
      <w:pPr>
        <w:spacing w:after="0" w:line="240" w:lineRule="auto"/>
      </w:pPr>
      <w:r>
        <w:separator/>
      </w:r>
    </w:p>
  </w:endnote>
  <w:endnote w:type="continuationSeparator" w:id="0">
    <w:p w:rsidR="007F0683" w:rsidP="00722F1A" w:rsidRDefault="007F0683" w14:paraId="27E848BB" w14:textId="77777777">
      <w:pPr>
        <w:spacing w:after="0" w:line="240" w:lineRule="auto"/>
      </w:pPr>
      <w:r>
        <w:continuationSeparator/>
      </w:r>
    </w:p>
  </w:endnote>
  <w:endnote w:type="continuationNotice" w:id="1">
    <w:p w:rsidR="007F0683" w:rsidRDefault="007F0683" w14:paraId="10113D5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F0683" w:rsidP="00722F1A" w:rsidRDefault="007F0683" w14:paraId="099343A1" w14:textId="77777777">
      <w:pPr>
        <w:spacing w:after="0" w:line="240" w:lineRule="auto"/>
      </w:pPr>
      <w:r>
        <w:separator/>
      </w:r>
    </w:p>
  </w:footnote>
  <w:footnote w:type="continuationSeparator" w:id="0">
    <w:p w:rsidR="007F0683" w:rsidP="00722F1A" w:rsidRDefault="007F0683" w14:paraId="2C22D310" w14:textId="77777777">
      <w:pPr>
        <w:spacing w:after="0" w:line="240" w:lineRule="auto"/>
      </w:pPr>
      <w:r>
        <w:continuationSeparator/>
      </w:r>
    </w:p>
  </w:footnote>
  <w:footnote w:type="continuationNotice" w:id="1">
    <w:p w:rsidR="007F0683" w:rsidRDefault="007F0683" w14:paraId="7C08F345" w14:textId="77777777">
      <w:pPr>
        <w:spacing w:after="0" w:line="240" w:lineRule="auto"/>
      </w:pPr>
    </w:p>
  </w:footnote>
  <w:footnote w:id="2">
    <w:p w:rsidRPr="00680B63" w:rsidR="0019133F" w:rsidP="0019133F" w:rsidRDefault="0019133F" w14:paraId="720EAB84" w14:textId="77777777">
      <w:pPr>
        <w:pStyle w:val="Textonotapie"/>
      </w:pPr>
      <w:r>
        <w:rPr>
          <w:rStyle w:val="Refdenotaalpie"/>
        </w:rPr>
        <w:footnoteRef/>
      </w:r>
      <w:r>
        <w:t xml:space="preserve"> </w:t>
      </w:r>
      <w:r w:rsidRPr="00633D61">
        <w:t>https://medlineplus.gov/spanish/stroke.html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9"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3"/>
  </w:num>
  <w:num w:numId="3" w16cid:durableId="1340812648">
    <w:abstractNumId w:val="9"/>
  </w:num>
  <w:num w:numId="4" w16cid:durableId="4280408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1"/>
  </w:num>
  <w:num w:numId="8" w16cid:durableId="1157187982">
    <w:abstractNumId w:val="6"/>
  </w:num>
  <w:num w:numId="9" w16cid:durableId="1430198479">
    <w:abstractNumId w:val="4"/>
  </w:num>
  <w:num w:numId="10" w16cid:durableId="1888687822">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595E"/>
    <w:rsid w:val="00446F01"/>
    <w:rsid w:val="00454B7E"/>
    <w:rsid w:val="00454FD1"/>
    <w:rsid w:val="0045636B"/>
    <w:rsid w:val="004571A0"/>
    <w:rsid w:val="004646D6"/>
    <w:rsid w:val="00464821"/>
    <w:rsid w:val="00466D00"/>
    <w:rsid w:val="00467F3C"/>
    <w:rsid w:val="0047277D"/>
    <w:rsid w:val="004727BA"/>
    <w:rsid w:val="004739D5"/>
    <w:rsid w:val="00476C8E"/>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3CAF"/>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05DE"/>
    <w:rsid w:val="00FC50C5"/>
    <w:rsid w:val="00FC5226"/>
    <w:rsid w:val="00FC56D3"/>
    <w:rsid w:val="00FC7596"/>
    <w:rsid w:val="00FC79F6"/>
    <w:rsid w:val="00FD25A1"/>
    <w:rsid w:val="00FD48FC"/>
    <w:rsid w:val="00FE0AE9"/>
    <w:rsid w:val="00FE0CCE"/>
    <w:rsid w:val="00FE4167"/>
    <w:rsid w:val="00FE4A2F"/>
    <w:rsid w:val="00FE50F9"/>
    <w:rsid w:val="00FE5CEA"/>
    <w:rsid w:val="00FE6BAE"/>
    <w:rsid w:val="00FF0137"/>
    <w:rsid w:val="00FF2E3D"/>
    <w:rsid w:val="0780AD4C"/>
    <w:rsid w:val="0DE6CD13"/>
    <w:rsid w:val="0E3F3424"/>
    <w:rsid w:val="1D3A9AC7"/>
    <w:rsid w:val="1F0F7304"/>
    <w:rsid w:val="2CEC53C9"/>
    <w:rsid w:val="30D81DFA"/>
    <w:rsid w:val="36A2B9D6"/>
    <w:rsid w:val="3C69D339"/>
    <w:rsid w:val="3EE9AABA"/>
    <w:rsid w:val="4760F3DC"/>
    <w:rsid w:val="49604E26"/>
    <w:rsid w:val="4A5CA400"/>
    <w:rsid w:val="4BF8CB6A"/>
    <w:rsid w:val="506EA1E5"/>
    <w:rsid w:val="5183B61F"/>
    <w:rsid w:val="5193D2C1"/>
    <w:rsid w:val="56728DE6"/>
    <w:rsid w:val="592A7D99"/>
    <w:rsid w:val="5A42D10B"/>
    <w:rsid w:val="5A82A1EB"/>
    <w:rsid w:val="5B264B36"/>
    <w:rsid w:val="6C317782"/>
    <w:rsid w:val="6DB0DEC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BE79408-D510-4569-AD63-367068C7B974}"/>
</file>

<file path=customXml/itemProps3.xml><?xml version="1.0" encoding="utf-8"?>
<ds:datastoreItem xmlns:ds="http://schemas.openxmlformats.org/officeDocument/2006/customXml" ds:itemID="{A3DC1058-8E8F-4983-A4AD-A62894792AE6}"/>
</file>

<file path=customXml/itemProps4.xml><?xml version="1.0" encoding="utf-8"?>
<ds:datastoreItem xmlns:ds="http://schemas.openxmlformats.org/officeDocument/2006/customXml" ds:itemID="{BC0E451B-539C-4F1A-81F1-05A107E1F33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976</cp:revision>
  <cp:lastPrinted>2024-11-18T20:15:00Z</cp:lastPrinted>
  <dcterms:created xsi:type="dcterms:W3CDTF">2022-12-22T22:59:00Z</dcterms:created>
  <dcterms:modified xsi:type="dcterms:W3CDTF">2025-11-11T21:46:51Z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