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9133F" w:rsidR="000341A4" w:rsidP="00EA7580" w:rsidRDefault="000341A4" w14:paraId="6752CB7C" w14:textId="77777777">
      <w:pPr>
        <w:pStyle w:val="Puesto"/>
        <w:tabs>
          <w:tab w:val="left" w:pos="2730"/>
          <w:tab w:val="center" w:pos="4419"/>
        </w:tabs>
        <w:jc w:val="both"/>
        <w:outlineLvl w:val="0"/>
        <w:rPr>
          <w:rStyle w:val="Textoennegrita"/>
          <w:lang w:val="es-ES"/>
        </w:rPr>
      </w:pPr>
    </w:p>
    <w:p w:rsidRPr="0019133F" w:rsidR="000341A4" w:rsidP="00EA7580" w:rsidRDefault="000341A4" w14:paraId="56329F19" w14:textId="77777777">
      <w:pPr>
        <w:pStyle w:val="Puesto"/>
        <w:tabs>
          <w:tab w:val="left" w:pos="2730"/>
          <w:tab w:val="center" w:pos="4419"/>
        </w:tabs>
        <w:jc w:val="both"/>
        <w:outlineLvl w:val="0"/>
        <w:rPr>
          <w:rStyle w:val="Textoennegrita"/>
          <w:lang w:val="es-ES"/>
        </w:rPr>
      </w:pPr>
    </w:p>
    <w:p w:rsidRPr="0019133F" w:rsidR="001A4E48" w:rsidP="00EA7580" w:rsidRDefault="00D00142" w14:paraId="783043A4" w14:textId="17D9882D">
      <w:pPr>
        <w:pStyle w:val="Puesto"/>
        <w:tabs>
          <w:tab w:val="left" w:pos="2730"/>
          <w:tab w:val="center" w:pos="4419"/>
        </w:tabs>
        <w:outlineLvl w:val="0"/>
        <w:rPr>
          <w:rStyle w:val="Textoennegrita"/>
          <w:b/>
          <w:bCs/>
          <w:lang w:val="es-ES"/>
        </w:rPr>
      </w:pPr>
      <w:r w:rsidRPr="0019133F">
        <w:rPr>
          <w:rStyle w:val="Textoennegrita"/>
          <w:b/>
          <w:bCs/>
          <w:lang w:val="es-ES"/>
        </w:rPr>
        <w:t xml:space="preserve">RESOLUCION </w:t>
      </w:r>
      <w:proofErr w:type="spellStart"/>
      <w:r w:rsidRPr="0019133F">
        <w:rPr>
          <w:rStyle w:val="Textoennegrita"/>
          <w:b/>
          <w:bCs/>
          <w:lang w:val="es-ES"/>
        </w:rPr>
        <w:t>N°</w:t>
      </w:r>
      <w:proofErr w:type="spellEnd"/>
      <w:r w:rsidRPr="0019133F" w:rsidR="000341A4">
        <w:rPr>
          <w:rStyle w:val="Textoennegrita"/>
          <w:b/>
          <w:bCs/>
          <w:lang w:val="es-ES"/>
        </w:rPr>
        <w:t xml:space="preserve"> </w:t>
      </w:r>
      <w:r w:rsidRPr="0019133F" w:rsidR="005E0729">
        <w:rPr>
          <w:rStyle w:val="Textoennegrita"/>
          <w:b/>
          <w:bCs/>
          <w:lang w:val="es-ES"/>
        </w:rPr>
        <w:t>2</w:t>
      </w:r>
      <w:r w:rsidRPr="0019133F" w:rsidR="0066411D">
        <w:rPr>
          <w:rStyle w:val="Textoennegrita"/>
          <w:b/>
          <w:bCs/>
          <w:lang w:val="es-ES"/>
        </w:rPr>
        <w:t>2</w:t>
      </w:r>
      <w:r w:rsidR="00E571C5">
        <w:rPr>
          <w:rStyle w:val="Textoennegrita"/>
          <w:b/>
          <w:bCs/>
          <w:lang w:val="es-ES"/>
        </w:rPr>
        <w:t>2</w:t>
      </w:r>
      <w:r w:rsidRPr="0019133F">
        <w:rPr>
          <w:rStyle w:val="Textoennegrita"/>
          <w:b/>
          <w:bCs/>
          <w:lang w:val="es-ES"/>
        </w:rPr>
        <w:t>/2</w:t>
      </w:r>
      <w:r w:rsidRPr="0019133F" w:rsidR="004B168E">
        <w:rPr>
          <w:rStyle w:val="Textoennegrita"/>
          <w:b/>
          <w:bCs/>
          <w:lang w:val="es-ES"/>
        </w:rPr>
        <w:t>4</w:t>
      </w:r>
    </w:p>
    <w:p w:rsidRPr="006E0A3E" w:rsidR="006E0A3E" w:rsidP="006E0A3E" w:rsidRDefault="006E0A3E" w14:paraId="3D75A83C" w14:textId="77777777">
      <w:pPr>
        <w:jc w:val="both"/>
        <w:rPr>
          <w:rFonts w:ascii="Times New Roman" w:hAnsi="Times New Roman"/>
          <w:sz w:val="24"/>
          <w:szCs w:val="24"/>
          <w:lang w:val="es-ES"/>
        </w:rPr>
      </w:pPr>
      <w:r w:rsidRPr="006E0A3E">
        <w:rPr>
          <w:rFonts w:ascii="Times New Roman" w:hAnsi="Times New Roman"/>
          <w:b/>
          <w:bCs/>
          <w:sz w:val="24"/>
          <w:szCs w:val="24"/>
          <w:lang w:val="es-ES"/>
        </w:rPr>
        <w:t>VISTOS:</w:t>
      </w:r>
    </w:p>
    <w:p w:rsidRPr="006E0A3E" w:rsidR="006E0A3E" w:rsidP="006E0A3E" w:rsidRDefault="006E0A3E" w14:paraId="267E40DB" w14:textId="392DE473">
      <w:pPr>
        <w:jc w:val="both"/>
        <w:rPr>
          <w:rFonts w:ascii="Times New Roman" w:hAnsi="Times New Roman"/>
          <w:sz w:val="24"/>
          <w:szCs w:val="24"/>
        </w:rPr>
      </w:pPr>
      <w:r w:rsidRPr="2B8C2BDC" w:rsidR="006E0A3E">
        <w:rPr>
          <w:rFonts w:ascii="Times New Roman" w:hAnsi="Times New Roman"/>
          <w:sz w:val="24"/>
          <w:szCs w:val="24"/>
        </w:rPr>
        <w:t xml:space="preserve">Que, doña </w:t>
      </w:r>
      <w:r w:rsidRPr="2B8C2BDC" w:rsidR="6027D782">
        <w:rPr>
          <w:rFonts w:ascii="Times New Roman" w:hAnsi="Times New Roman"/>
          <w:b w:val="1"/>
          <w:bCs w:val="1"/>
          <w:sz w:val="24"/>
          <w:szCs w:val="24"/>
          <w:lang w:val="en-US"/>
        </w:rPr>
        <w:t>.........................................................................</w:t>
      </w:r>
      <w:r w:rsidRPr="2B8C2BDC" w:rsidR="006E0A3E">
        <w:rPr>
          <w:rFonts w:ascii="Times New Roman" w:hAnsi="Times New Roman"/>
          <w:b w:val="1"/>
          <w:bCs w:val="1"/>
          <w:sz w:val="24"/>
          <w:szCs w:val="24"/>
        </w:rPr>
        <w:t xml:space="preserve"> </w:t>
      </w:r>
      <w:r w:rsidRPr="2B8C2BDC" w:rsidR="006E0A3E">
        <w:rPr>
          <w:rFonts w:ascii="Times New Roman" w:hAnsi="Times New Roman"/>
          <w:sz w:val="24"/>
          <w:szCs w:val="24"/>
        </w:rPr>
        <w:t xml:space="preserve">(en adelante, la reclamante) interpone reclamación ante esta Defensoría del Asegurado (DEFASEG), solicitando que </w:t>
      </w:r>
      <w:r w:rsidRPr="2B8C2BDC" w:rsidR="71EF8EDD">
        <w:rPr>
          <w:rFonts w:ascii="Times New Roman" w:hAnsi="Times New Roman"/>
          <w:b w:val="1"/>
          <w:bCs w:val="1"/>
          <w:sz w:val="24"/>
          <w:szCs w:val="24"/>
        </w:rPr>
        <w:t>.........................................................................</w:t>
      </w:r>
      <w:r w:rsidRPr="2B8C2BDC" w:rsidR="006E0A3E">
        <w:rPr>
          <w:rFonts w:ascii="Times New Roman" w:hAnsi="Times New Roman"/>
          <w:b w:val="1"/>
          <w:bCs w:val="1"/>
          <w:sz w:val="24"/>
          <w:szCs w:val="24"/>
        </w:rPr>
        <w:t xml:space="preserve"> </w:t>
      </w:r>
      <w:r w:rsidRPr="2B8C2BDC" w:rsidR="006E0A3E">
        <w:rPr>
          <w:rFonts w:ascii="Times New Roman" w:hAnsi="Times New Roman"/>
          <w:sz w:val="24"/>
          <w:szCs w:val="24"/>
        </w:rPr>
        <w:t>(en adelante, la aseguradora)</w:t>
      </w:r>
      <w:r w:rsidRPr="2B8C2BDC" w:rsidR="006E0A3E">
        <w:rPr>
          <w:rFonts w:ascii="Times New Roman" w:hAnsi="Times New Roman"/>
          <w:b w:val="1"/>
          <w:bCs w:val="1"/>
          <w:sz w:val="24"/>
          <w:szCs w:val="24"/>
        </w:rPr>
        <w:t xml:space="preserve"> </w:t>
      </w:r>
      <w:r w:rsidRPr="2B8C2BDC" w:rsidR="006E0A3E">
        <w:rPr>
          <w:rFonts w:ascii="Times New Roman" w:hAnsi="Times New Roman"/>
          <w:sz w:val="24"/>
          <w:szCs w:val="24"/>
        </w:rPr>
        <w:t xml:space="preserve">apruebe su solicitud de cobertura por concepto del siniestro sufrido el pasado 15 de abril de 2024, conforme al </w:t>
      </w:r>
      <w:r w:rsidRPr="2B8C2BDC" w:rsidR="006E0A3E">
        <w:rPr>
          <w:rFonts w:ascii="Times New Roman" w:hAnsi="Times New Roman"/>
          <w:sz w:val="24"/>
          <w:szCs w:val="24"/>
        </w:rPr>
        <w:t xml:space="preserve">Seguro de Protección de Tarjeta – Póliza </w:t>
      </w:r>
      <w:r w:rsidRPr="2B8C2BDC" w:rsidR="006E0A3E">
        <w:rPr>
          <w:rFonts w:ascii="Times New Roman" w:hAnsi="Times New Roman"/>
          <w:sz w:val="24"/>
          <w:szCs w:val="24"/>
        </w:rPr>
        <w:t>N°</w:t>
      </w:r>
      <w:r w:rsidRPr="2B8C2BDC" w:rsidR="006E0A3E">
        <w:rPr>
          <w:rFonts w:ascii="Times New Roman" w:hAnsi="Times New Roman"/>
          <w:sz w:val="24"/>
          <w:szCs w:val="24"/>
        </w:rPr>
        <w:t xml:space="preserve"> </w:t>
      </w:r>
      <w:r w:rsidRPr="2B8C2BDC" w:rsidR="7CF79CE6">
        <w:rPr>
          <w:rFonts w:ascii="Times New Roman" w:hAnsi="Times New Roman"/>
          <w:sz w:val="24"/>
          <w:szCs w:val="24"/>
        </w:rPr>
        <w:t>..........................</w:t>
      </w:r>
      <w:r w:rsidRPr="2B8C2BDC" w:rsidR="006E0A3E">
        <w:rPr>
          <w:rFonts w:ascii="Times New Roman" w:hAnsi="Times New Roman"/>
          <w:sz w:val="24"/>
          <w:szCs w:val="24"/>
        </w:rPr>
        <w:t xml:space="preserve"> (en adelante, la Póliza).</w:t>
      </w:r>
    </w:p>
    <w:p w:rsidRPr="006E0A3E" w:rsidR="006E0A3E" w:rsidP="006E0A3E" w:rsidRDefault="006E0A3E" w14:paraId="6B737367" w14:textId="77777777">
      <w:pPr>
        <w:jc w:val="both"/>
        <w:rPr>
          <w:rFonts w:ascii="Times New Roman" w:hAnsi="Times New Roman"/>
          <w:sz w:val="24"/>
          <w:szCs w:val="24"/>
        </w:rPr>
      </w:pPr>
      <w:r w:rsidRPr="006E0A3E">
        <w:rPr>
          <w:rFonts w:ascii="Times New Roman" w:hAnsi="Times New Roman"/>
          <w:sz w:val="24"/>
          <w:szCs w:val="24"/>
        </w:rPr>
        <w:t>Que, la señalada reclamación cumple con los requisitos de materia, cuantía y oportunidad establecidos en el Reglamento de la DEFASEG (http://www.defaseg.com.pe/reglamento);</w:t>
      </w:r>
    </w:p>
    <w:p w:rsidRPr="006E0A3E" w:rsidR="006E0A3E" w:rsidP="006E0A3E" w:rsidRDefault="006E0A3E" w14:paraId="12E9CA3D" w14:textId="77777777">
      <w:pPr>
        <w:jc w:val="both"/>
        <w:rPr>
          <w:rFonts w:ascii="Times New Roman" w:hAnsi="Times New Roman"/>
          <w:sz w:val="24"/>
          <w:szCs w:val="24"/>
        </w:rPr>
      </w:pPr>
      <w:r w:rsidRPr="006E0A3E">
        <w:rPr>
          <w:rFonts w:ascii="Times New Roman" w:hAnsi="Times New Roman"/>
          <w:sz w:val="24"/>
          <w:szCs w:val="24"/>
        </w:rPr>
        <w:t>Que, habiéndosele corrido traslado de la respectiva reclamación, la aseguradora presentó sus respectivos descargos y la documentación solicitada;</w:t>
      </w:r>
    </w:p>
    <w:p w:rsidRPr="006E0A3E" w:rsidR="006E0A3E" w:rsidP="006E0A3E" w:rsidRDefault="006E0A3E" w14:paraId="5848A40D" w14:textId="77777777">
      <w:pPr>
        <w:jc w:val="both"/>
        <w:rPr>
          <w:rFonts w:ascii="Times New Roman" w:hAnsi="Times New Roman"/>
          <w:sz w:val="24"/>
          <w:szCs w:val="24"/>
        </w:rPr>
      </w:pPr>
      <w:r w:rsidRPr="006E0A3E">
        <w:rPr>
          <w:rFonts w:ascii="Times New Roman" w:hAnsi="Times New Roman"/>
          <w:sz w:val="24"/>
          <w:szCs w:val="24"/>
        </w:rPr>
        <w:t>Que, el 09 de setiembre de 2024 se realizó la audiencia virtual de vista con la concurrencia de ambas partes, quienes tuvieron oportunidad de exponer sus respectivas posiciones tratándose de la materia reclamada, absolviendo las diversas preguntas que les fueron formuladas. Asimismo, en dicha ocasión se otorgó un plazo de tres (3) días hábiles a la reclamante, a fin de que presente: 1) Imagen (pantallazo) donde conste la llamada realizada al BBVA solicitando que no procesen los tres pagos por S/ 18,000.00 que fueron retenidos. 2) Constancia de bloqueo de la aplicación, tarjeta y/</w:t>
      </w:r>
      <w:proofErr w:type="spellStart"/>
      <w:r w:rsidRPr="006E0A3E">
        <w:rPr>
          <w:rFonts w:ascii="Times New Roman" w:hAnsi="Times New Roman"/>
          <w:sz w:val="24"/>
          <w:szCs w:val="24"/>
        </w:rPr>
        <w:t>o</w:t>
      </w:r>
      <w:proofErr w:type="spellEnd"/>
      <w:r w:rsidRPr="006E0A3E">
        <w:rPr>
          <w:rFonts w:ascii="Times New Roman" w:hAnsi="Times New Roman"/>
          <w:sz w:val="24"/>
          <w:szCs w:val="24"/>
        </w:rPr>
        <w:t xml:space="preserve"> operaciones, realizada a través de la web del BBVA. Del mismo modo, se le otorgó el mismo plazo a la aseguradora, a fin de que presente la grabación de la llamada de la reclamante al BBVA a través de la cual la reclamante solicita no procesar las tres operaciones bloqueadas;</w:t>
      </w:r>
    </w:p>
    <w:p w:rsidRPr="006E0A3E" w:rsidR="006E0A3E" w:rsidP="006E0A3E" w:rsidRDefault="006E0A3E" w14:paraId="724B8A6F" w14:textId="77777777">
      <w:pPr>
        <w:jc w:val="both"/>
        <w:rPr>
          <w:rFonts w:ascii="Times New Roman" w:hAnsi="Times New Roman"/>
          <w:sz w:val="24"/>
          <w:szCs w:val="24"/>
        </w:rPr>
      </w:pPr>
      <w:r w:rsidRPr="006E0A3E">
        <w:rPr>
          <w:rFonts w:ascii="Times New Roman" w:hAnsi="Times New Roman"/>
          <w:sz w:val="24"/>
          <w:szCs w:val="24"/>
        </w:rPr>
        <w:t>Que, sobre el particular, se deja constancia de que solo la reclamante cumple con absolver lo requerido, mediante comunicación del 10 de setiembre de 2024;</w:t>
      </w:r>
    </w:p>
    <w:p w:rsidRPr="006E0A3E" w:rsidR="006E0A3E" w:rsidP="006E0A3E" w:rsidRDefault="006E0A3E" w14:paraId="53C3398C" w14:textId="04440CA8">
      <w:pPr>
        <w:jc w:val="both"/>
        <w:rPr>
          <w:rFonts w:ascii="Times New Roman" w:hAnsi="Times New Roman"/>
          <w:sz w:val="24"/>
          <w:szCs w:val="24"/>
          <w:lang w:val="es-ES"/>
        </w:rPr>
      </w:pPr>
      <w:r w:rsidRPr="2B8C2BDC" w:rsidR="006E0A3E">
        <w:rPr>
          <w:rFonts w:ascii="Times New Roman" w:hAnsi="Times New Roman"/>
          <w:sz w:val="24"/>
          <w:szCs w:val="24"/>
          <w:lang w:val="es-ES"/>
        </w:rPr>
        <w:t xml:space="preserve">Que, en síntesis, la reclamante manifiesta lo siguiente: a) fue </w:t>
      </w:r>
      <w:r w:rsidRPr="2B8C2BDC" w:rsidR="006E0A3E">
        <w:rPr>
          <w:rFonts w:ascii="Times New Roman" w:hAnsi="Times New Roman"/>
          <w:sz w:val="24"/>
          <w:szCs w:val="24"/>
        </w:rPr>
        <w:t xml:space="preserve">víctima de una estafa y expresa su descontento con el banco por su falta de interés en el caso. Además, señala que la Aseguradora, a pesar de reconocer la estafa, se niega a validar el siniestro; b) el 15 de abril de 2024, la reclamante recibió una llamada de </w:t>
      </w:r>
      <w:r w:rsidRPr="2B8C2BDC" w:rsidR="05D7F919">
        <w:rPr>
          <w:rFonts w:ascii="Times New Roman" w:hAnsi="Times New Roman"/>
          <w:sz w:val="24"/>
          <w:szCs w:val="24"/>
        </w:rPr>
        <w:t>..........................</w:t>
      </w:r>
      <w:r w:rsidRPr="2B8C2BDC" w:rsidR="006E0A3E">
        <w:rPr>
          <w:rFonts w:ascii="Times New Roman" w:hAnsi="Times New Roman"/>
          <w:sz w:val="24"/>
          <w:szCs w:val="24"/>
        </w:rPr>
        <w:t xml:space="preserve">, supuesta asesora del BBVA, desde un número reconocido del banco. La mujer le ofreció un cambio de tarjeta, mencionando información personal detallada de la reclamante, y acordaron la entrega de un contrato en su domicilio; c) antes de la llegada del mensajero, la supuesta asesora la llamó para activar la nueva tarjeta, solicitándole que desbloqueara la actual en la </w:t>
      </w:r>
      <w:r w:rsidRPr="2B8C2BDC" w:rsidR="006E0A3E">
        <w:rPr>
          <w:rFonts w:ascii="Times New Roman" w:hAnsi="Times New Roman"/>
          <w:sz w:val="24"/>
          <w:szCs w:val="24"/>
        </w:rPr>
        <w:t>app</w:t>
      </w:r>
      <w:r w:rsidRPr="2B8C2BDC" w:rsidR="006E0A3E">
        <w:rPr>
          <w:rFonts w:ascii="Times New Roman" w:hAnsi="Times New Roman"/>
          <w:sz w:val="24"/>
          <w:szCs w:val="24"/>
        </w:rPr>
        <w:t xml:space="preserve"> del banco. Al hacerlo, la reclamante recibió un mensaje de texto indicando el bloqueo de su tarjeta por seguridad; d) inmediatamente, la reclamante llamó al banco y, al revisar la </w:t>
      </w:r>
      <w:r w:rsidRPr="2B8C2BDC" w:rsidR="006E0A3E">
        <w:rPr>
          <w:rFonts w:ascii="Times New Roman" w:hAnsi="Times New Roman"/>
          <w:sz w:val="24"/>
          <w:szCs w:val="24"/>
        </w:rPr>
        <w:t>app</w:t>
      </w:r>
      <w:r w:rsidRPr="2B8C2BDC" w:rsidR="006E0A3E">
        <w:rPr>
          <w:rFonts w:ascii="Times New Roman" w:hAnsi="Times New Roman"/>
          <w:sz w:val="24"/>
          <w:szCs w:val="24"/>
        </w:rPr>
        <w:t>, vio tres consumos retenidos por un total de S/ 18,000. Aunque pidió que no se procesaran estos movimientos, el banco procedió con ellos minutos después, a pesar de que su tarjeta ya estaba bloqueada; e) el 11 de mayo, apeló la decisión del banco y pidió la grabación como sustento. Insiste en que los movimientos, al estar retenidos, no debieron ser procesados; f) es una cliente responsable, con un historial de pagos al día, incluyendo un crédito hipotecario con el BBVA que canceló sin inconvenientes, pero siente que el banco no la ha tratado adecuadamente;</w:t>
      </w:r>
    </w:p>
    <w:p w:rsidRPr="006E0A3E" w:rsidR="006E0A3E" w:rsidP="006E0A3E" w:rsidRDefault="006E0A3E" w14:paraId="03838F9F" w14:textId="77777777">
      <w:pPr>
        <w:jc w:val="both"/>
        <w:rPr>
          <w:rFonts w:ascii="Times New Roman" w:hAnsi="Times New Roman"/>
          <w:sz w:val="24"/>
          <w:szCs w:val="24"/>
          <w:lang w:val="es-ES"/>
        </w:rPr>
      </w:pPr>
    </w:p>
    <w:p w:rsidRPr="006E0A3E" w:rsidR="006E0A3E" w:rsidP="006E0A3E" w:rsidRDefault="006E0A3E" w14:paraId="69297F7B" w14:textId="77777777">
      <w:pPr>
        <w:jc w:val="both"/>
        <w:rPr>
          <w:rFonts w:ascii="Times New Roman" w:hAnsi="Times New Roman"/>
          <w:sz w:val="24"/>
          <w:szCs w:val="24"/>
        </w:rPr>
      </w:pPr>
      <w:r w:rsidRPr="006E0A3E">
        <w:rPr>
          <w:rFonts w:ascii="Times New Roman" w:hAnsi="Times New Roman"/>
          <w:sz w:val="24"/>
          <w:szCs w:val="24"/>
          <w:lang w:val="es-ES"/>
        </w:rPr>
        <w:t xml:space="preserve">Que, por su parte, la aseguradora sustenta su posición resumidamente en lo siguiente: </w:t>
      </w:r>
      <w:r w:rsidRPr="006E0A3E">
        <w:rPr>
          <w:rFonts w:ascii="Times New Roman" w:hAnsi="Times New Roman"/>
          <w:sz w:val="24"/>
          <w:szCs w:val="24"/>
        </w:rPr>
        <w:t xml:space="preserve">a) la reclamante fue incluida como asegurada en el contrato de Seguro Protección de Tarjeta, celebrado entre ellos y el Banco BBVA. Según este acuerdo, la reclamante debía pagar la prima convenida, y la aseguradora se comprometía a cubrir la suma asegurada en caso de ocurrir los riesgos previstos en el contrato; b) el 15 de abril de 2024, la reclamante fue contactada por una supuesta trabajadora del BBVA para un cambio de tarjeta. Tras seguir indicaciones en la </w:t>
      </w:r>
      <w:proofErr w:type="gramStart"/>
      <w:r w:rsidRPr="006E0A3E">
        <w:rPr>
          <w:rFonts w:ascii="Times New Roman" w:hAnsi="Times New Roman"/>
          <w:sz w:val="24"/>
          <w:szCs w:val="24"/>
        </w:rPr>
        <w:t>app</w:t>
      </w:r>
      <w:proofErr w:type="gramEnd"/>
      <w:r w:rsidRPr="006E0A3E">
        <w:rPr>
          <w:rFonts w:ascii="Times New Roman" w:hAnsi="Times New Roman"/>
          <w:sz w:val="24"/>
          <w:szCs w:val="24"/>
        </w:rPr>
        <w:t xml:space="preserve">, recibió un mensaje de bloqueo de seguridad y detectó consumos no reconocidos; c) la reclamante solicitó la activación del Seguro de Protección de Tarjetas. Tras evaluar la documentación del siniestro, la aseguradora comunicó el rechazo de la solicitud, siendo que la reclamante fue víctima de una estafa por parte de una falsa trabajadora del BBVA, la que, no se solicita información personal de las tarjetas a sus clientes; d) la estafa sufrida no está cubierta por las condiciones de la póliza. Por tanto, el reclamo no corresponde a los riesgos aceptados por la aseguradora ni a las coberturas contratadas, lo que la exime de la obligación de pago. Ello, conforme a lo establecido en la póliza y al principio de literalidad, contemplado en el artículo IV de la Ley General del Contrato de Seguro; e) un principio en derecho de seguros es interpretar y aplicar literalmente las condiciones y cláusulas de la póliza. En este caso, los términos del contrato definen claramente los riesgos cubiertos, y ninguno de ellos corresponde a la situación presentada; f) las autoridades deben presumir que los administrados actúan correctamente, a menos que haya pruebas claras de lo contrario. Dicha presunción desaparece si se recopila suficiente evidencia que demuestre de manera definitiva la infracción; </w:t>
      </w:r>
    </w:p>
    <w:p w:rsidRPr="006E0A3E" w:rsidR="006E0A3E" w:rsidP="006E0A3E" w:rsidRDefault="006E0A3E" w14:paraId="1268841E" w14:textId="77777777">
      <w:pPr>
        <w:jc w:val="both"/>
        <w:rPr>
          <w:rFonts w:ascii="Times New Roman" w:hAnsi="Times New Roman"/>
          <w:sz w:val="24"/>
          <w:szCs w:val="24"/>
          <w:lang w:val="es-ES"/>
        </w:rPr>
      </w:pPr>
      <w:r w:rsidRPr="006E0A3E">
        <w:rPr>
          <w:rFonts w:ascii="Times New Roman" w:hAnsi="Times New Roman"/>
          <w:b/>
          <w:bCs/>
          <w:sz w:val="24"/>
          <w:szCs w:val="24"/>
          <w:lang w:val="es-ES"/>
        </w:rPr>
        <w:t>CONSIDERANDO:</w:t>
      </w:r>
    </w:p>
    <w:p w:rsidRPr="006E0A3E" w:rsidR="006E0A3E" w:rsidP="006E0A3E" w:rsidRDefault="006E0A3E" w14:paraId="197D6934" w14:textId="00FDA417">
      <w:pPr>
        <w:jc w:val="both"/>
        <w:rPr>
          <w:rFonts w:ascii="Times New Roman" w:hAnsi="Times New Roman"/>
          <w:sz w:val="24"/>
          <w:szCs w:val="24"/>
          <w:lang w:val="es-ES"/>
        </w:rPr>
      </w:pPr>
      <w:r w:rsidRPr="006E0A3E">
        <w:rPr>
          <w:rFonts w:ascii="Times New Roman" w:hAnsi="Times New Roman"/>
          <w:sz w:val="24"/>
          <w:szCs w:val="24"/>
          <w:lang w:val="es-ES"/>
        </w:rPr>
        <w:t> </w:t>
      </w:r>
      <w:r w:rsidRPr="006E0A3E">
        <w:rPr>
          <w:rFonts w:ascii="Times New Roman" w:hAnsi="Times New Roman"/>
          <w:b/>
          <w:sz w:val="24"/>
          <w:szCs w:val="24"/>
          <w:u w:val="single"/>
        </w:rPr>
        <w:t>Primero</w:t>
      </w:r>
      <w:r w:rsidRPr="006E0A3E">
        <w:rPr>
          <w:rFonts w:ascii="Times New Roman" w:hAnsi="Times New Roman"/>
          <w:b/>
          <w:sz w:val="24"/>
          <w:szCs w:val="24"/>
        </w:rPr>
        <w:t xml:space="preserve">: </w:t>
      </w:r>
      <w:r w:rsidRPr="006E0A3E">
        <w:rPr>
          <w:rFonts w:ascii="Times New Roman" w:hAnsi="Times New Roman"/>
          <w:sz w:val="24"/>
          <w:szCs w:val="24"/>
        </w:rPr>
        <w:t>Conforme a su Reglamento, la</w:t>
      </w:r>
      <w:r w:rsidRPr="006E0A3E">
        <w:rPr>
          <w:rFonts w:ascii="Times New Roman" w:hAnsi="Times New Roman"/>
          <w:b/>
          <w:bCs/>
          <w:sz w:val="24"/>
          <w:szCs w:val="24"/>
        </w:rPr>
        <w:t xml:space="preserve"> </w:t>
      </w:r>
      <w:r w:rsidRPr="006E0A3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E0A3E" w:rsidR="006E0A3E" w:rsidP="006E0A3E" w:rsidRDefault="006E0A3E" w14:paraId="6CDB6337" w14:textId="77777777">
      <w:pPr>
        <w:jc w:val="both"/>
        <w:rPr>
          <w:rFonts w:ascii="Times New Roman" w:hAnsi="Times New Roman"/>
          <w:bCs/>
          <w:sz w:val="24"/>
          <w:szCs w:val="24"/>
        </w:rPr>
      </w:pPr>
      <w:r w:rsidRPr="006E0A3E">
        <w:rPr>
          <w:rFonts w:ascii="Times New Roman" w:hAnsi="Times New Roman"/>
          <w:b/>
          <w:bCs/>
          <w:sz w:val="24"/>
          <w:szCs w:val="24"/>
          <w:u w:val="single"/>
        </w:rPr>
        <w:t>Segundo</w:t>
      </w:r>
      <w:r w:rsidRPr="006E0A3E">
        <w:rPr>
          <w:rFonts w:ascii="Times New Roman" w:hAnsi="Times New Roman"/>
          <w:b/>
          <w:bCs/>
          <w:sz w:val="24"/>
          <w:szCs w:val="24"/>
        </w:rPr>
        <w:t>:</w:t>
      </w:r>
      <w:r w:rsidRPr="006E0A3E">
        <w:rPr>
          <w:rFonts w:ascii="Times New Roman" w:hAnsi="Times New Roman"/>
          <w:bCs/>
          <w:sz w:val="24"/>
          <w:szCs w:val="24"/>
        </w:rPr>
        <w:t xml:space="preserve"> </w:t>
      </w:r>
      <w:r w:rsidRPr="006E0A3E">
        <w:rPr>
          <w:rFonts w:ascii="Times New Roman" w:hAnsi="Times New Roman"/>
          <w:sz w:val="24"/>
          <w:szCs w:val="24"/>
        </w:rPr>
        <w:t xml:space="preserve">Asimismo, de acuerdo a </w:t>
      </w:r>
      <w:r w:rsidRPr="006E0A3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E0A3E" w:rsidR="006E0A3E" w:rsidP="006E0A3E" w:rsidRDefault="006E0A3E" w14:paraId="6446359D" w14:textId="77777777">
      <w:pPr>
        <w:jc w:val="both"/>
        <w:rPr>
          <w:rFonts w:ascii="Times New Roman" w:hAnsi="Times New Roman"/>
          <w:sz w:val="24"/>
          <w:szCs w:val="24"/>
          <w:lang w:val="es-ES"/>
        </w:rPr>
      </w:pPr>
      <w:r w:rsidRPr="006E0A3E">
        <w:rPr>
          <w:rFonts w:ascii="Times New Roman" w:hAnsi="Times New Roman"/>
          <w:b/>
          <w:bCs/>
          <w:sz w:val="24"/>
          <w:szCs w:val="24"/>
          <w:u w:val="single"/>
        </w:rPr>
        <w:t>Tercero</w:t>
      </w:r>
      <w:r w:rsidRPr="006E0A3E">
        <w:rPr>
          <w:rFonts w:ascii="Times New Roman" w:hAnsi="Times New Roman"/>
          <w:b/>
          <w:bCs/>
          <w:sz w:val="24"/>
          <w:szCs w:val="24"/>
        </w:rPr>
        <w:t>:</w:t>
      </w:r>
      <w:r w:rsidRPr="006E0A3E">
        <w:rPr>
          <w:rFonts w:ascii="Times New Roman" w:hAnsi="Times New Roman"/>
          <w:sz w:val="24"/>
          <w:szCs w:val="24"/>
        </w:rPr>
        <w:t xml:space="preserve"> Que, de acuerdo a la Ley Nro. </w:t>
      </w:r>
      <w:r w:rsidRPr="006E0A3E">
        <w:rPr>
          <w:rFonts w:ascii="Times New Roman" w:hAnsi="Times New Roman"/>
          <w:sz w:val="24"/>
          <w:szCs w:val="24"/>
          <w:lang w:val="es-ES"/>
        </w:rPr>
        <w:t xml:space="preserve">29946 – Ley del Contrato de Seguro, norma legal vigente con ocasión de la celebración del contrato al cual se contrae el presente caso, </w:t>
      </w:r>
      <w:r w:rsidRPr="006E0A3E">
        <w:rPr>
          <w:rFonts w:ascii="Times New Roman" w:hAnsi="Times New Roman"/>
          <w:sz w:val="24"/>
          <w:szCs w:val="24"/>
        </w:rPr>
        <w:t xml:space="preserve">todas las cuestiones jurídicas se rigen por lo dispuesto en dicha ley y por las que reglas que se acuerden convencionalmente, en cuanto no vulneren los principios esenciales de la naturaleza </w:t>
      </w:r>
      <w:r w:rsidRPr="006E0A3E">
        <w:rPr>
          <w:rFonts w:ascii="Times New Roman" w:hAnsi="Times New Roman"/>
          <w:sz w:val="24"/>
          <w:szCs w:val="24"/>
        </w:rPr>
        <w:lastRenderedPageBreak/>
        <w:t>jurídica del seguro, siendo que sólo se aplica el derecho común a falta de disposiciones del derecho de seguros o de protección al consumidor.</w:t>
      </w:r>
    </w:p>
    <w:p w:rsidRPr="006E0A3E" w:rsidR="006E0A3E" w:rsidP="006E0A3E" w:rsidRDefault="006E0A3E" w14:paraId="7E46C219" w14:textId="77777777">
      <w:pPr>
        <w:jc w:val="both"/>
        <w:rPr>
          <w:rFonts w:ascii="Times New Roman" w:hAnsi="Times New Roman"/>
          <w:sz w:val="24"/>
          <w:szCs w:val="24"/>
        </w:rPr>
      </w:pPr>
      <w:r w:rsidRPr="006E0A3E">
        <w:rPr>
          <w:rFonts w:ascii="Times New Roman" w:hAnsi="Times New Roman"/>
          <w:b/>
          <w:sz w:val="24"/>
          <w:szCs w:val="24"/>
          <w:u w:val="single"/>
        </w:rPr>
        <w:t>Cuarto</w:t>
      </w:r>
      <w:r w:rsidRPr="006E0A3E">
        <w:rPr>
          <w:rFonts w:ascii="Times New Roman" w:hAnsi="Times New Roman"/>
          <w:b/>
          <w:sz w:val="24"/>
          <w:szCs w:val="24"/>
        </w:rPr>
        <w:t>:</w:t>
      </w:r>
      <w:r w:rsidRPr="006E0A3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E0A3E" w:rsidR="006E0A3E" w:rsidP="006E0A3E" w:rsidRDefault="006E0A3E" w14:paraId="0AA3560D" w14:textId="77777777">
      <w:pPr>
        <w:jc w:val="both"/>
        <w:rPr>
          <w:rFonts w:ascii="Times New Roman" w:hAnsi="Times New Roman"/>
          <w:sz w:val="24"/>
          <w:szCs w:val="24"/>
          <w:lang w:val="es-ES"/>
        </w:rPr>
      </w:pPr>
      <w:r w:rsidRPr="006E0A3E">
        <w:rPr>
          <w:rFonts w:ascii="Times New Roman" w:hAnsi="Times New Roman"/>
          <w:b/>
          <w:bCs/>
          <w:sz w:val="24"/>
          <w:szCs w:val="24"/>
          <w:u w:val="single"/>
        </w:rPr>
        <w:t>Quinto</w:t>
      </w:r>
      <w:r w:rsidRPr="006E0A3E">
        <w:rPr>
          <w:rFonts w:ascii="Times New Roman" w:hAnsi="Times New Roman"/>
          <w:b/>
          <w:bCs/>
          <w:sz w:val="24"/>
          <w:szCs w:val="24"/>
        </w:rPr>
        <w:t xml:space="preserve">: </w:t>
      </w:r>
      <w:r w:rsidRPr="006E0A3E">
        <w:rPr>
          <w:rFonts w:ascii="Times New Roman" w:hAnsi="Times New Roman"/>
          <w:sz w:val="24"/>
          <w:szCs w:val="24"/>
        </w:rPr>
        <w:t>Que, conforme al</w:t>
      </w:r>
      <w:r w:rsidRPr="006E0A3E">
        <w:rPr>
          <w:rFonts w:ascii="Times New Roman" w:hAnsi="Times New Roman"/>
          <w:b/>
          <w:bCs/>
          <w:sz w:val="24"/>
          <w:szCs w:val="24"/>
        </w:rPr>
        <w:t xml:space="preserve"> </w:t>
      </w:r>
      <w:r w:rsidRPr="006E0A3E">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E0A3E" w:rsidR="006E0A3E" w:rsidP="006E0A3E" w:rsidRDefault="006E0A3E" w14:paraId="35461B88" w14:textId="77777777">
      <w:pPr>
        <w:jc w:val="both"/>
        <w:rPr>
          <w:rFonts w:ascii="Times New Roman" w:hAnsi="Times New Roman"/>
          <w:sz w:val="24"/>
          <w:szCs w:val="24"/>
        </w:rPr>
      </w:pPr>
      <w:r w:rsidRPr="006E0A3E">
        <w:rPr>
          <w:rFonts w:ascii="Times New Roman" w:hAnsi="Times New Roman"/>
          <w:b/>
          <w:bCs/>
          <w:sz w:val="24"/>
          <w:szCs w:val="24"/>
          <w:u w:val="single"/>
        </w:rPr>
        <w:t>Sexto</w:t>
      </w:r>
      <w:r w:rsidRPr="006E0A3E">
        <w:rPr>
          <w:rFonts w:ascii="Times New Roman" w:hAnsi="Times New Roman"/>
          <w:b/>
          <w:bCs/>
          <w:sz w:val="24"/>
          <w:szCs w:val="24"/>
        </w:rPr>
        <w:t xml:space="preserve">: </w:t>
      </w:r>
      <w:r w:rsidRPr="006E0A3E">
        <w:rPr>
          <w:rFonts w:ascii="Times New Roman" w:hAnsi="Times New Roman"/>
          <w:sz w:val="24"/>
          <w:szCs w:val="24"/>
        </w:rPr>
        <w:t>Que, sin perjuicio de lo indicado y del recuento de argumentos de las partes</w:t>
      </w:r>
      <w:r w:rsidRPr="006E0A3E">
        <w:rPr>
          <w:rFonts w:ascii="Times New Roman" w:hAnsi="Times New Roman"/>
          <w:sz w:val="24"/>
          <w:szCs w:val="24"/>
          <w:lang w:val="es-E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6E0A3E">
        <w:rPr>
          <w:rFonts w:ascii="Times New Roman" w:hAnsi="Times New Roman"/>
          <w:sz w:val="24"/>
          <w:szCs w:val="24"/>
        </w:rPr>
        <w:t>.</w:t>
      </w:r>
    </w:p>
    <w:p w:rsidRPr="006E0A3E" w:rsidR="006E0A3E" w:rsidP="006E0A3E" w:rsidRDefault="006E0A3E" w14:paraId="0C3665E5" w14:textId="4E931A5C">
      <w:pPr>
        <w:jc w:val="both"/>
        <w:rPr>
          <w:rFonts w:ascii="Times New Roman" w:hAnsi="Times New Roman"/>
          <w:sz w:val="24"/>
          <w:szCs w:val="24"/>
        </w:rPr>
      </w:pPr>
      <w:r w:rsidRPr="2B8C2BDC" w:rsidR="006E0A3E">
        <w:rPr>
          <w:rFonts w:ascii="Times New Roman" w:hAnsi="Times New Roman"/>
          <w:b w:val="1"/>
          <w:bCs w:val="1"/>
          <w:sz w:val="24"/>
          <w:szCs w:val="24"/>
          <w:u w:val="single"/>
          <w:lang w:val="es-ES"/>
        </w:rPr>
        <w:t>Sétimo</w:t>
      </w:r>
      <w:r w:rsidRPr="2B8C2BDC" w:rsidR="006E0A3E">
        <w:rPr>
          <w:rFonts w:ascii="Times New Roman" w:hAnsi="Times New Roman"/>
          <w:b w:val="1"/>
          <w:bCs w:val="1"/>
          <w:sz w:val="24"/>
          <w:szCs w:val="24"/>
          <w:lang w:val="es-ES"/>
        </w:rPr>
        <w:t>:</w:t>
      </w:r>
      <w:r w:rsidRPr="2B8C2BDC" w:rsidR="006E0A3E">
        <w:rPr>
          <w:rFonts w:ascii="Times New Roman" w:hAnsi="Times New Roman"/>
          <w:b w:val="1"/>
          <w:bCs w:val="1"/>
          <w:sz w:val="24"/>
          <w:szCs w:val="24"/>
        </w:rPr>
        <w:t xml:space="preserve"> </w:t>
      </w:r>
      <w:r w:rsidRPr="2B8C2BDC" w:rsidR="006E0A3E">
        <w:rPr>
          <w:rFonts w:ascii="Times New Roman" w:hAnsi="Times New Roman"/>
          <w:sz w:val="24"/>
          <w:szCs w:val="24"/>
        </w:rPr>
        <w:t>Que</w:t>
      </w:r>
      <w:r w:rsidRPr="2B8C2BDC" w:rsidR="006E0A3E">
        <w:rPr>
          <w:rFonts w:ascii="Times New Roman" w:hAnsi="Times New Roman"/>
          <w:b w:val="1"/>
          <w:bCs w:val="1"/>
          <w:sz w:val="24"/>
          <w:szCs w:val="24"/>
        </w:rPr>
        <w:t>,</w:t>
      </w:r>
      <w:r w:rsidRPr="2B8C2BDC" w:rsidR="006E0A3E">
        <w:rPr>
          <w:rFonts w:ascii="Times New Roman" w:hAnsi="Times New Roman"/>
          <w:sz w:val="24"/>
          <w:szCs w:val="24"/>
        </w:rPr>
        <w:t xml:space="preserve"> en primer lugar, debemos determinar la controversia que nos ocupa en la presente ocasión. Para ello, nos remitimos a la Carta </w:t>
      </w:r>
      <w:r w:rsidRPr="2B8C2BDC" w:rsidR="006E0A3E">
        <w:rPr>
          <w:rFonts w:ascii="Times New Roman" w:hAnsi="Times New Roman"/>
          <w:sz w:val="24"/>
          <w:szCs w:val="24"/>
        </w:rPr>
        <w:t>N°</w:t>
      </w:r>
      <w:r w:rsidRPr="2B8C2BDC" w:rsidR="006E0A3E">
        <w:rPr>
          <w:rFonts w:ascii="Times New Roman" w:hAnsi="Times New Roman"/>
          <w:sz w:val="24"/>
          <w:szCs w:val="24"/>
        </w:rPr>
        <w:t xml:space="preserve"> </w:t>
      </w:r>
      <w:r w:rsidRPr="2B8C2BDC" w:rsidR="2061E9F5">
        <w:rPr>
          <w:rFonts w:ascii="Times New Roman" w:hAnsi="Times New Roman"/>
          <w:sz w:val="24"/>
          <w:szCs w:val="24"/>
        </w:rPr>
        <w:t>..............................</w:t>
      </w:r>
      <w:r w:rsidRPr="2B8C2BDC" w:rsidR="006E0A3E">
        <w:rPr>
          <w:rFonts w:ascii="Times New Roman" w:hAnsi="Times New Roman"/>
          <w:sz w:val="24"/>
          <w:szCs w:val="24"/>
        </w:rPr>
        <w:t xml:space="preserve"> (en adelante, la Carta de Rechazo), mediante la que se rechaza la cobertura bajo los siguientes argumentos:</w:t>
      </w:r>
    </w:p>
    <w:p w:rsidRPr="006E0A3E" w:rsidR="006E0A3E" w:rsidP="006E0A3E" w:rsidRDefault="006E0A3E" w14:paraId="1DEFA6C2" w14:textId="6C3355DB">
      <w:pPr>
        <w:jc w:val="center"/>
        <w:rPr>
          <w:rFonts w:ascii="Times New Roman" w:hAnsi="Times New Roman"/>
          <w:sz w:val="24"/>
          <w:szCs w:val="24"/>
          <w:lang w:val="es-ES"/>
        </w:rPr>
      </w:pPr>
      <w:r w:rsidRPr="006E0A3E">
        <w:rPr>
          <w:rFonts w:ascii="Times New Roman" w:hAnsi="Times New Roman"/>
          <w:sz w:val="24"/>
          <w:szCs w:val="24"/>
          <w:lang w:val="es-ES"/>
        </w:rPr>
        <w:drawing>
          <wp:inline distT="0" distB="0" distL="0" distR="0" wp14:anchorId="3AB6434E" wp14:editId="3B4FDD55">
            <wp:extent cx="4400550" cy="1981200"/>
            <wp:effectExtent l="0" t="0" r="0" b="0"/>
            <wp:docPr id="320012435" name="Imagen 4" descr="Una 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12435" name="Imagen 4" descr="Una captura de pantalla de un celular con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0" cy="1981200"/>
                    </a:xfrm>
                    <a:prstGeom prst="rect">
                      <a:avLst/>
                    </a:prstGeom>
                    <a:noFill/>
                    <a:ln>
                      <a:noFill/>
                    </a:ln>
                  </pic:spPr>
                </pic:pic>
              </a:graphicData>
            </a:graphic>
          </wp:inline>
        </w:drawing>
      </w:r>
    </w:p>
    <w:p w:rsidRPr="006E0A3E" w:rsidR="006E0A3E" w:rsidP="006E0A3E" w:rsidRDefault="006E0A3E" w14:paraId="79021EE4" w14:textId="77777777">
      <w:pPr>
        <w:jc w:val="both"/>
        <w:rPr>
          <w:rFonts w:ascii="Times New Roman" w:hAnsi="Times New Roman"/>
          <w:sz w:val="24"/>
          <w:szCs w:val="24"/>
          <w:lang w:val="es-ES"/>
        </w:rPr>
      </w:pPr>
      <w:r w:rsidRPr="006E0A3E">
        <w:rPr>
          <w:rFonts w:ascii="Times New Roman" w:hAnsi="Times New Roman"/>
          <w:sz w:val="24"/>
          <w:szCs w:val="24"/>
          <w:lang w:val="es-ES"/>
        </w:rPr>
        <w:t>En buena cuenta, se aprecia que la aseguradora afirma que el rechazo se basa en que la reclamante entrega voluntariamente su tarjeta, la que es de uso personal e intransferible. Asimismo, precisa que la cobertura de la póliza se limita a las tarjetas de crédito o débito que sean objeto de la póliza.</w:t>
      </w:r>
    </w:p>
    <w:p w:rsidRPr="006E0A3E" w:rsidR="006E0A3E" w:rsidP="006E0A3E" w:rsidRDefault="006E0A3E" w14:paraId="6EF801F2" w14:textId="77777777">
      <w:pPr>
        <w:jc w:val="both"/>
        <w:rPr>
          <w:rFonts w:ascii="Times New Roman" w:hAnsi="Times New Roman"/>
          <w:sz w:val="24"/>
          <w:szCs w:val="24"/>
          <w:lang w:val="es-ES"/>
        </w:rPr>
      </w:pPr>
      <w:r w:rsidRPr="006E0A3E">
        <w:rPr>
          <w:rFonts w:ascii="Times New Roman" w:hAnsi="Times New Roman"/>
          <w:sz w:val="24"/>
          <w:szCs w:val="24"/>
          <w:lang w:val="es-ES"/>
        </w:rPr>
        <w:t>Ante ello, la reclamante afirma que los consumos se realizaron, pese a que, en comunicación con el BBVA, solicitó que estos no se procesaran, siendo que -al momento de la comunicación- estos figuraban como “retenidos”.</w:t>
      </w:r>
    </w:p>
    <w:p w:rsidRPr="006E0A3E" w:rsidR="006E0A3E" w:rsidP="006E0A3E" w:rsidRDefault="006E0A3E" w14:paraId="3B6F95CE" w14:textId="77777777">
      <w:pPr>
        <w:jc w:val="both"/>
        <w:rPr>
          <w:rFonts w:ascii="Times New Roman" w:hAnsi="Times New Roman"/>
          <w:sz w:val="24"/>
          <w:szCs w:val="24"/>
          <w:lang w:val="es-ES"/>
        </w:rPr>
      </w:pPr>
    </w:p>
    <w:p w:rsidRPr="006E0A3E" w:rsidR="006E0A3E" w:rsidP="006E0A3E" w:rsidRDefault="006E0A3E" w14:paraId="2A46BDF1" w14:textId="14497068">
      <w:pPr>
        <w:jc w:val="both"/>
        <w:rPr>
          <w:rFonts w:ascii="Times New Roman" w:hAnsi="Times New Roman"/>
          <w:sz w:val="24"/>
          <w:szCs w:val="24"/>
        </w:rPr>
      </w:pPr>
      <w:r w:rsidRPr="006E0A3E">
        <w:rPr>
          <w:rFonts w:ascii="Times New Roman" w:hAnsi="Times New Roman"/>
          <w:b/>
          <w:sz w:val="24"/>
          <w:szCs w:val="24"/>
          <w:u w:val="single"/>
        </w:rPr>
        <w:lastRenderedPageBreak/>
        <w:t>Octavo:</w:t>
      </w:r>
      <w:r w:rsidRPr="006E0A3E">
        <w:rPr>
          <w:rFonts w:ascii="Times New Roman" w:hAnsi="Times New Roman"/>
          <w:sz w:val="24"/>
          <w:szCs w:val="24"/>
        </w:rPr>
        <w:t xml:space="preserve">  Que, atendiendo a lo expuesto y al motivo del rechazo, resulta necesario remitirse al texto de la Póliza. En ese sentido, en la sección “coberturas” de la póliza se puede apreciar lo siguiente:</w:t>
      </w:r>
    </w:p>
    <w:p w:rsidRPr="006E0A3E" w:rsidR="006E0A3E" w:rsidP="006E0A3E" w:rsidRDefault="006E0A3E" w14:paraId="76F18291" w14:textId="1DF12165">
      <w:pPr>
        <w:jc w:val="center"/>
      </w:pPr>
      <w:r w:rsidR="61A0BE62">
        <w:rPr/>
        <w:t>................................................................................................................</w:t>
      </w:r>
    </w:p>
    <w:p w:rsidR="2B8C2BDC" w:rsidP="2B8C2BDC" w:rsidRDefault="2B8C2BDC" w14:paraId="72B35D70" w14:textId="46EBD59A">
      <w:pPr>
        <w:jc w:val="center"/>
      </w:pPr>
    </w:p>
    <w:p w:rsidRPr="006E0A3E" w:rsidR="006E0A3E" w:rsidP="006E0A3E" w:rsidRDefault="006E0A3E" w14:paraId="2FFACCDB" w14:textId="68DF0FFE">
      <w:pPr>
        <w:jc w:val="both"/>
        <w:rPr>
          <w:rFonts w:ascii="Times New Roman" w:hAnsi="Times New Roman"/>
          <w:sz w:val="24"/>
          <w:szCs w:val="24"/>
        </w:rPr>
      </w:pPr>
      <w:r w:rsidRPr="006E0A3E">
        <w:rPr>
          <w:rFonts w:ascii="Times New Roman" w:hAnsi="Times New Roman"/>
          <w:sz w:val="24"/>
          <w:szCs w:val="24"/>
        </w:rPr>
        <w:t xml:space="preserve">Así pues, se aprecia que no existe acápite alguno que haga referencia a un caso de defraudación como consecuencia de la entrega voluntaria, aunque sea bajo error, de la tarjeta. De hecho, en las definiciones de la póliza se aprecia que las definiciones formuladas para todos y cada uno de los casos anotados en las coberturas cuentan como elemento precedente el hurto o robo de la tarjeta. En ese mismo sentido, si nos remitimos a la sección </w:t>
      </w:r>
      <w:proofErr w:type="gramStart"/>
      <w:r w:rsidRPr="006E0A3E">
        <w:rPr>
          <w:rFonts w:ascii="Times New Roman" w:hAnsi="Times New Roman"/>
          <w:sz w:val="24"/>
          <w:szCs w:val="24"/>
        </w:rPr>
        <w:t>de  “</w:t>
      </w:r>
      <w:proofErr w:type="gramEnd"/>
      <w:r w:rsidRPr="006E0A3E">
        <w:rPr>
          <w:rFonts w:ascii="Times New Roman" w:hAnsi="Times New Roman"/>
          <w:sz w:val="24"/>
          <w:szCs w:val="24"/>
        </w:rPr>
        <w:t>exclusiones” de la póliza se aprecia lo siguiente:</w:t>
      </w:r>
    </w:p>
    <w:p w:rsidRPr="006E0A3E" w:rsidR="006E0A3E" w:rsidP="006E0A3E" w:rsidRDefault="006E0A3E" w14:paraId="4391A77A" w14:textId="77777777">
      <w:pPr>
        <w:ind w:left="708"/>
        <w:jc w:val="both"/>
        <w:rPr>
          <w:rFonts w:ascii="Times New Roman" w:hAnsi="Times New Roman"/>
          <w:b/>
          <w:bCs/>
          <w:sz w:val="24"/>
          <w:szCs w:val="24"/>
        </w:rPr>
      </w:pPr>
      <w:r w:rsidRPr="006E0A3E">
        <w:rPr>
          <w:rFonts w:ascii="Times New Roman" w:hAnsi="Times New Roman"/>
          <w:b/>
          <w:bCs/>
          <w:sz w:val="24"/>
          <w:szCs w:val="24"/>
        </w:rPr>
        <w:t>“Exclusiones</w:t>
      </w:r>
    </w:p>
    <w:p w:rsidRPr="006E0A3E" w:rsidR="006E0A3E" w:rsidP="006E0A3E" w:rsidRDefault="006E0A3E" w14:paraId="45D2DCD2" w14:textId="77777777">
      <w:pPr>
        <w:ind w:left="708"/>
        <w:jc w:val="both"/>
        <w:rPr>
          <w:rFonts w:ascii="Times New Roman" w:hAnsi="Times New Roman"/>
          <w:sz w:val="24"/>
          <w:szCs w:val="24"/>
        </w:rPr>
      </w:pPr>
      <w:r w:rsidRPr="006E0A3E">
        <w:rPr>
          <w:rFonts w:ascii="Times New Roman" w:hAnsi="Times New Roman"/>
          <w:sz w:val="24"/>
          <w:szCs w:val="24"/>
        </w:rPr>
        <w:t>Están excluidos de cobertura los siniestros que se produzcan en, o a consecuencia de, los siguientes eventos o circunstancias. Las coberturas adicionales podrán contener exclusiones específicas las cuales se añadirán a las presentes exclusiones generales:</w:t>
      </w:r>
    </w:p>
    <w:p w:rsidRPr="006E0A3E" w:rsidR="006E0A3E" w:rsidP="006E0A3E" w:rsidRDefault="006E0A3E" w14:paraId="456E348A" w14:textId="77777777">
      <w:pPr>
        <w:ind w:left="708"/>
        <w:jc w:val="both"/>
        <w:rPr>
          <w:rFonts w:ascii="Times New Roman" w:hAnsi="Times New Roman"/>
          <w:sz w:val="24"/>
          <w:szCs w:val="24"/>
        </w:rPr>
      </w:pPr>
      <w:r w:rsidRPr="006E0A3E">
        <w:rPr>
          <w:rFonts w:ascii="Times New Roman" w:hAnsi="Times New Roman"/>
          <w:sz w:val="24"/>
          <w:szCs w:val="24"/>
        </w:rPr>
        <w:t>(…)</w:t>
      </w:r>
    </w:p>
    <w:p w:rsidRPr="006E0A3E" w:rsidR="006E0A3E" w:rsidP="006E0A3E" w:rsidRDefault="006E0A3E" w14:paraId="2FE25A37" w14:textId="77777777">
      <w:pPr>
        <w:ind w:left="708"/>
        <w:jc w:val="both"/>
        <w:rPr>
          <w:rFonts w:ascii="Times New Roman" w:hAnsi="Times New Roman"/>
          <w:sz w:val="24"/>
          <w:szCs w:val="24"/>
        </w:rPr>
      </w:pPr>
      <w:r w:rsidRPr="006E0A3E">
        <w:rPr>
          <w:rFonts w:ascii="Times New Roman" w:hAnsi="Times New Roman"/>
          <w:sz w:val="24"/>
          <w:szCs w:val="24"/>
        </w:rPr>
        <w:t>r. Pérdidas derivadas de estafas y/o cualquier otro modo de engaño que no esté específicamente señalado en la Póliza.</w:t>
      </w:r>
    </w:p>
    <w:p w:rsidRPr="006E0A3E" w:rsidR="006E0A3E" w:rsidP="006E0A3E" w:rsidRDefault="006E0A3E" w14:paraId="19ABBFC8" w14:textId="77777777">
      <w:pPr>
        <w:ind w:left="708"/>
        <w:jc w:val="both"/>
        <w:rPr>
          <w:rFonts w:ascii="Times New Roman" w:hAnsi="Times New Roman"/>
          <w:sz w:val="24"/>
          <w:szCs w:val="24"/>
        </w:rPr>
      </w:pPr>
      <w:r w:rsidRPr="006E0A3E">
        <w:rPr>
          <w:rFonts w:ascii="Times New Roman" w:hAnsi="Times New Roman"/>
          <w:sz w:val="24"/>
          <w:szCs w:val="24"/>
        </w:rPr>
        <w:t>(…)”</w:t>
      </w:r>
    </w:p>
    <w:p w:rsidRPr="006E0A3E" w:rsidR="006E0A3E" w:rsidP="006E0A3E" w:rsidRDefault="006E0A3E" w14:paraId="6CE9204A" w14:textId="77777777">
      <w:pPr>
        <w:jc w:val="both"/>
        <w:rPr>
          <w:rFonts w:ascii="Times New Roman" w:hAnsi="Times New Roman"/>
          <w:sz w:val="24"/>
          <w:szCs w:val="24"/>
        </w:rPr>
      </w:pPr>
    </w:p>
    <w:p w:rsidRPr="006E0A3E" w:rsidR="006E0A3E" w:rsidP="006E0A3E" w:rsidRDefault="006E0A3E" w14:paraId="0258419C" w14:textId="28895E52">
      <w:pPr>
        <w:jc w:val="both"/>
        <w:rPr>
          <w:rFonts w:ascii="Times New Roman" w:hAnsi="Times New Roman"/>
          <w:sz w:val="24"/>
          <w:szCs w:val="24"/>
        </w:rPr>
      </w:pPr>
      <w:r w:rsidRPr="006E0A3E">
        <w:rPr>
          <w:rFonts w:ascii="Times New Roman" w:hAnsi="Times New Roman"/>
          <w:sz w:val="24"/>
          <w:szCs w:val="24"/>
        </w:rPr>
        <w:lastRenderedPageBreak/>
        <w:t xml:space="preserve">Como vemos, resulta bastante evidente que el caso de pérdidas derivadas de un engaño, tal como el que narra la reclamante, no resultan objeto de cobertura en la póliza. </w:t>
      </w:r>
    </w:p>
    <w:p w:rsidRPr="006E0A3E" w:rsidR="006E0A3E" w:rsidP="006E0A3E" w:rsidRDefault="006E0A3E" w14:paraId="511768D9" w14:textId="4B3AB383">
      <w:pPr>
        <w:jc w:val="both"/>
        <w:rPr>
          <w:rFonts w:ascii="Times New Roman" w:hAnsi="Times New Roman"/>
          <w:sz w:val="24"/>
          <w:szCs w:val="24"/>
        </w:rPr>
      </w:pPr>
      <w:r w:rsidRPr="006E0A3E">
        <w:rPr>
          <w:rFonts w:ascii="Times New Roman" w:hAnsi="Times New Roman"/>
          <w:b/>
          <w:sz w:val="24"/>
          <w:szCs w:val="24"/>
          <w:u w:val="single"/>
        </w:rPr>
        <w:t>Noveno:</w:t>
      </w:r>
      <w:r w:rsidRPr="006E0A3E">
        <w:rPr>
          <w:rFonts w:ascii="Times New Roman" w:hAnsi="Times New Roman"/>
          <w:sz w:val="24"/>
          <w:szCs w:val="24"/>
        </w:rPr>
        <w:t xml:space="preserve"> Que, finalmente, debemos precisar, además, que según el Reglamento de DEFASEG, el presente pronunciamiento solo puede avocarse a la controversia de seguros traída ante el presente Colegiado. Por ello, no resulta posible que se emita pronunciamiento alguno respecto de la conducta del BBVA en el marco del procedimiento de bloqueo de las tarjetas, conforme a lo narrado por la reclamante. </w:t>
      </w:r>
    </w:p>
    <w:p w:rsidRPr="006E0A3E" w:rsidR="006E0A3E" w:rsidP="006E0A3E" w:rsidRDefault="006E0A3E" w14:paraId="432E559A" w14:textId="181E015E">
      <w:pPr>
        <w:jc w:val="both"/>
        <w:rPr>
          <w:rFonts w:ascii="Times New Roman" w:hAnsi="Times New Roman"/>
          <w:sz w:val="24"/>
          <w:szCs w:val="24"/>
        </w:rPr>
      </w:pPr>
      <w:r w:rsidRPr="006E0A3E">
        <w:rPr>
          <w:rFonts w:ascii="Times New Roman" w:hAnsi="Times New Roman"/>
          <w:sz w:val="24"/>
          <w:szCs w:val="24"/>
        </w:rPr>
        <w:t>En ese sentido, cualquier controversia que implique la determinación de un posible perjuicio por falta de idoneidad en el servicio brindado por el BBVA, deberá ser conducido por las vías competentes, conforme a la normativa vigente.</w:t>
      </w:r>
    </w:p>
    <w:p w:rsidRPr="006E0A3E" w:rsidR="006E0A3E" w:rsidP="006E0A3E" w:rsidRDefault="006E0A3E" w14:paraId="2CE676EA" w14:textId="5AA3DA14">
      <w:pPr>
        <w:jc w:val="both"/>
        <w:rPr>
          <w:rFonts w:ascii="Times New Roman" w:hAnsi="Times New Roman"/>
          <w:b/>
          <w:sz w:val="24"/>
          <w:szCs w:val="24"/>
        </w:rPr>
      </w:pPr>
      <w:r w:rsidRPr="006E0A3E">
        <w:rPr>
          <w:rFonts w:ascii="Times New Roman" w:hAnsi="Times New Roman"/>
          <w:b/>
          <w:sz w:val="24"/>
          <w:szCs w:val="24"/>
        </w:rPr>
        <w:t xml:space="preserve">Atendiendo a lo expresado, este colegiado </w:t>
      </w:r>
      <w:r w:rsidRPr="006E0A3E">
        <w:rPr>
          <w:rFonts w:ascii="Times New Roman" w:hAnsi="Times New Roman"/>
          <w:b/>
          <w:sz w:val="24"/>
          <w:szCs w:val="24"/>
          <w:lang w:val="es-ES"/>
        </w:rPr>
        <w:t>concluye su apreciación razonada y conjunta al amparo de lo establecido en su Reglamento, por lo que</w:t>
      </w:r>
      <w:r w:rsidRPr="006E0A3E">
        <w:rPr>
          <w:rFonts w:ascii="Times New Roman" w:hAnsi="Times New Roman"/>
          <w:b/>
          <w:sz w:val="24"/>
          <w:szCs w:val="24"/>
        </w:rPr>
        <w:t xml:space="preserve"> resuelve:</w:t>
      </w:r>
    </w:p>
    <w:p w:rsidRPr="006E0A3E" w:rsidR="006E0A3E" w:rsidP="006E0A3E" w:rsidRDefault="006E0A3E" w14:paraId="206CC45A" w14:textId="70ACDFF5">
      <w:pPr>
        <w:jc w:val="both"/>
        <w:rPr>
          <w:rFonts w:ascii="Times New Roman" w:hAnsi="Times New Roman"/>
          <w:sz w:val="24"/>
          <w:szCs w:val="24"/>
        </w:rPr>
      </w:pPr>
      <w:r w:rsidRPr="2B8C2BDC" w:rsidR="006E0A3E">
        <w:rPr>
          <w:rFonts w:ascii="Times New Roman" w:hAnsi="Times New Roman"/>
          <w:sz w:val="24"/>
          <w:szCs w:val="24"/>
        </w:rPr>
        <w:t xml:space="preserve">Declarar </w:t>
      </w:r>
      <w:r w:rsidRPr="2B8C2BDC" w:rsidR="006E0A3E">
        <w:rPr>
          <w:rFonts w:ascii="Times New Roman" w:hAnsi="Times New Roman"/>
          <w:b w:val="1"/>
          <w:bCs w:val="1"/>
          <w:sz w:val="24"/>
          <w:szCs w:val="24"/>
        </w:rPr>
        <w:t xml:space="preserve">INFUNDADA </w:t>
      </w:r>
      <w:r w:rsidRPr="2B8C2BDC" w:rsidR="006E0A3E">
        <w:rPr>
          <w:rFonts w:ascii="Times New Roman" w:hAnsi="Times New Roman"/>
          <w:sz w:val="24"/>
          <w:szCs w:val="24"/>
        </w:rPr>
        <w:t xml:space="preserve">la reclamación interpuesta por doña </w:t>
      </w:r>
      <w:r w:rsidRPr="2B8C2BDC" w:rsidR="6027D782">
        <w:rPr>
          <w:rFonts w:ascii="Times New Roman" w:hAnsi="Times New Roman"/>
          <w:b w:val="1"/>
          <w:bCs w:val="1"/>
          <w:sz w:val="24"/>
          <w:szCs w:val="24"/>
          <w:lang w:val="en-US"/>
        </w:rPr>
        <w:t>.........................................................................</w:t>
      </w:r>
      <w:r w:rsidRPr="2B8C2BDC" w:rsidR="006E0A3E">
        <w:rPr>
          <w:rFonts w:ascii="Times New Roman" w:hAnsi="Times New Roman"/>
          <w:b w:val="1"/>
          <w:bCs w:val="1"/>
          <w:sz w:val="24"/>
          <w:szCs w:val="24"/>
          <w:lang w:val="en-US"/>
        </w:rPr>
        <w:t xml:space="preserve"> </w:t>
      </w:r>
      <w:r w:rsidRPr="2B8C2BDC" w:rsidR="006E0A3E">
        <w:rPr>
          <w:rFonts w:ascii="Times New Roman" w:hAnsi="Times New Roman"/>
          <w:sz w:val="24"/>
          <w:szCs w:val="24"/>
        </w:rPr>
        <w:t xml:space="preserve">contra </w:t>
      </w:r>
      <w:r w:rsidRPr="2B8C2BDC" w:rsidR="71EF8EDD">
        <w:rPr>
          <w:rFonts w:ascii="Times New Roman" w:hAnsi="Times New Roman"/>
          <w:b w:val="1"/>
          <w:bCs w:val="1"/>
          <w:sz w:val="24"/>
          <w:szCs w:val="24"/>
        </w:rPr>
        <w:t>.........................................................................</w:t>
      </w:r>
      <w:r w:rsidRPr="2B8C2BDC" w:rsidR="006E0A3E">
        <w:rPr>
          <w:rFonts w:ascii="Times New Roman" w:hAnsi="Times New Roman"/>
          <w:sz w:val="24"/>
          <w:szCs w:val="24"/>
        </w:rPr>
        <w:t>, dejando a salvo el derecho de la reclamante de acudir ante las instancias que estime pertinente.</w:t>
      </w:r>
    </w:p>
    <w:p w:rsidRPr="0019133F" w:rsidR="007E21A6" w:rsidP="00F3482B" w:rsidRDefault="00D00142" w14:paraId="2DE1D337" w14:textId="21B4689E">
      <w:pPr>
        <w:jc w:val="right"/>
        <w:rPr>
          <w:rFonts w:ascii="Times New Roman" w:hAnsi="Times New Roman"/>
          <w:sz w:val="24"/>
          <w:szCs w:val="24"/>
        </w:rPr>
      </w:pPr>
      <w:r w:rsidRPr="0019133F">
        <w:rPr>
          <w:rFonts w:ascii="Times New Roman" w:hAnsi="Times New Roman"/>
          <w:sz w:val="24"/>
          <w:szCs w:val="24"/>
        </w:rPr>
        <w:t>Lima,</w:t>
      </w:r>
      <w:r w:rsidRPr="0019133F" w:rsidR="0034229F">
        <w:rPr>
          <w:rFonts w:ascii="Times New Roman" w:hAnsi="Times New Roman"/>
          <w:sz w:val="24"/>
          <w:szCs w:val="24"/>
        </w:rPr>
        <w:t xml:space="preserve"> </w:t>
      </w:r>
      <w:r w:rsidRPr="0019133F" w:rsidR="008774B2">
        <w:rPr>
          <w:rFonts w:ascii="Times New Roman" w:hAnsi="Times New Roman"/>
          <w:sz w:val="24"/>
          <w:szCs w:val="24"/>
        </w:rPr>
        <w:t>1</w:t>
      </w:r>
      <w:r w:rsidR="00E571C5">
        <w:rPr>
          <w:rFonts w:ascii="Times New Roman" w:hAnsi="Times New Roman"/>
          <w:sz w:val="24"/>
          <w:szCs w:val="24"/>
        </w:rPr>
        <w:t>8</w:t>
      </w:r>
      <w:r w:rsidRPr="0019133F" w:rsidR="008B7675">
        <w:rPr>
          <w:rFonts w:ascii="Times New Roman" w:hAnsi="Times New Roman"/>
          <w:sz w:val="24"/>
          <w:szCs w:val="24"/>
        </w:rPr>
        <w:t xml:space="preserve"> </w:t>
      </w:r>
      <w:r w:rsidRPr="0019133F">
        <w:rPr>
          <w:rFonts w:ascii="Times New Roman" w:hAnsi="Times New Roman"/>
          <w:sz w:val="24"/>
          <w:szCs w:val="24"/>
        </w:rPr>
        <w:t>de</w:t>
      </w:r>
      <w:r w:rsidRPr="0019133F" w:rsidR="00D874A8">
        <w:rPr>
          <w:rFonts w:ascii="Times New Roman" w:hAnsi="Times New Roman"/>
          <w:sz w:val="24"/>
          <w:szCs w:val="24"/>
        </w:rPr>
        <w:t xml:space="preserve"> </w:t>
      </w:r>
      <w:r w:rsidRPr="0019133F" w:rsidR="008B7675">
        <w:rPr>
          <w:rFonts w:ascii="Times New Roman" w:hAnsi="Times New Roman"/>
          <w:sz w:val="24"/>
          <w:szCs w:val="24"/>
        </w:rPr>
        <w:t>noviembre</w:t>
      </w:r>
      <w:r w:rsidRPr="0019133F" w:rsidR="000A7BCF">
        <w:rPr>
          <w:rFonts w:ascii="Times New Roman" w:hAnsi="Times New Roman"/>
          <w:sz w:val="24"/>
          <w:szCs w:val="24"/>
        </w:rPr>
        <w:t xml:space="preserve"> </w:t>
      </w:r>
      <w:r w:rsidRPr="0019133F">
        <w:rPr>
          <w:rFonts w:ascii="Times New Roman" w:hAnsi="Times New Roman"/>
          <w:sz w:val="24"/>
          <w:szCs w:val="24"/>
        </w:rPr>
        <w:t>de 202</w:t>
      </w:r>
      <w:r w:rsidRPr="0019133F" w:rsidR="00BF08F9">
        <w:rPr>
          <w:rFonts w:ascii="Times New Roman" w:hAnsi="Times New Roman"/>
          <w:sz w:val="24"/>
          <w:szCs w:val="24"/>
        </w:rPr>
        <w:t>4</w:t>
      </w:r>
    </w:p>
    <w:p w:rsidRPr="0019133F" w:rsidR="00922F8A" w:rsidP="001A4E48" w:rsidRDefault="00922F8A" w14:paraId="370F6A9B" w14:textId="45F0A5A9">
      <w:pPr>
        <w:jc w:val="center"/>
        <w:rPr>
          <w:rFonts w:ascii="Times New Roman" w:hAnsi="Times New Roman"/>
          <w:b/>
          <w:bCs/>
          <w:i/>
          <w:iCs/>
          <w:sz w:val="24"/>
          <w:szCs w:val="24"/>
          <w:lang w:val="es-ES_tradnl"/>
        </w:rPr>
      </w:pPr>
      <w:r w:rsidRPr="0019133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9133F" w:rsidR="00922F8A" w:rsidP="00922F8A" w:rsidRDefault="00922F8A" w14:paraId="0EA87B5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 xml:space="preserve">Rolando Eyzaguirre </w:t>
      </w:r>
      <w:proofErr w:type="spellStart"/>
      <w:r w:rsidRPr="0019133F">
        <w:rPr>
          <w:rFonts w:ascii="Times New Roman" w:hAnsi="Times New Roman"/>
          <w:b/>
          <w:bCs/>
          <w:sz w:val="24"/>
          <w:szCs w:val="24"/>
        </w:rPr>
        <w:t>Maccan</w:t>
      </w:r>
      <w:proofErr w:type="spellEnd"/>
      <w:r w:rsidRPr="0019133F">
        <w:rPr>
          <w:rFonts w:ascii="Times New Roman" w:hAnsi="Times New Roman"/>
          <w:b/>
          <w:bCs/>
          <w:sz w:val="24"/>
          <w:szCs w:val="24"/>
        </w:rPr>
        <w:t xml:space="preserve"> – </w:t>
      </w:r>
      <w:proofErr w:type="gramStart"/>
      <w:r w:rsidRPr="0019133F">
        <w:rPr>
          <w:rFonts w:ascii="Times New Roman" w:hAnsi="Times New Roman"/>
          <w:b/>
          <w:bCs/>
          <w:sz w:val="24"/>
          <w:szCs w:val="24"/>
        </w:rPr>
        <w:t>Presidente</w:t>
      </w:r>
      <w:proofErr w:type="gramEnd"/>
    </w:p>
    <w:p w:rsidRPr="0019133F" w:rsidR="00922F8A" w:rsidP="00922F8A" w:rsidRDefault="00922F8A" w14:paraId="7090BA3B"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María Eugenia Valdez Fernández Baca – Vocal</w:t>
      </w:r>
    </w:p>
    <w:p w:rsidRPr="0019133F" w:rsidR="00922F8A" w:rsidP="00922F8A" w:rsidRDefault="00922F8A" w14:paraId="7B454C6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Omar Alfaro Villanueva – Vocal</w:t>
      </w:r>
    </w:p>
    <w:p w:rsidRPr="0019133F" w:rsidR="00922F8A" w:rsidP="00922F8A" w:rsidRDefault="00922F8A" w14:paraId="2C915666" w14:textId="77777777">
      <w:pPr>
        <w:spacing w:line="240" w:lineRule="auto"/>
        <w:jc w:val="center"/>
        <w:rPr>
          <w:rFonts w:ascii="Times New Roman" w:hAnsi="Times New Roman"/>
          <w:sz w:val="24"/>
          <w:szCs w:val="24"/>
          <w:lang w:val="es-MX"/>
        </w:rPr>
      </w:pPr>
      <w:r w:rsidRPr="0019133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4078" w:rsidP="00722F1A" w:rsidRDefault="007B4078" w14:paraId="2D1AAE10" w14:textId="77777777">
      <w:pPr>
        <w:spacing w:after="0" w:line="240" w:lineRule="auto"/>
      </w:pPr>
      <w:r>
        <w:separator/>
      </w:r>
    </w:p>
  </w:endnote>
  <w:endnote w:type="continuationSeparator" w:id="0">
    <w:p w:rsidR="007B4078" w:rsidP="00722F1A" w:rsidRDefault="007B4078" w14:paraId="206FA4FB" w14:textId="77777777">
      <w:pPr>
        <w:spacing w:after="0" w:line="240" w:lineRule="auto"/>
      </w:pPr>
      <w:r>
        <w:continuationSeparator/>
      </w:r>
    </w:p>
  </w:endnote>
  <w:endnote w:type="continuationNotice" w:id="1">
    <w:p w:rsidR="007B4078" w:rsidRDefault="007B4078" w14:paraId="37CECD9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4078" w:rsidP="00722F1A" w:rsidRDefault="007B4078" w14:paraId="763E14DD" w14:textId="77777777">
      <w:pPr>
        <w:spacing w:after="0" w:line="240" w:lineRule="auto"/>
      </w:pPr>
      <w:r>
        <w:separator/>
      </w:r>
    </w:p>
  </w:footnote>
  <w:footnote w:type="continuationSeparator" w:id="0">
    <w:p w:rsidR="007B4078" w:rsidP="00722F1A" w:rsidRDefault="007B4078" w14:paraId="6B464230" w14:textId="77777777">
      <w:pPr>
        <w:spacing w:after="0" w:line="240" w:lineRule="auto"/>
      </w:pPr>
      <w:r>
        <w:continuationSeparator/>
      </w:r>
    </w:p>
  </w:footnote>
  <w:footnote w:type="continuationNotice" w:id="1">
    <w:p w:rsidR="007B4078" w:rsidRDefault="007B4078" w14:paraId="42D3DBE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5D7F919"/>
    <w:rsid w:val="2061E9F5"/>
    <w:rsid w:val="2B8C2BDC"/>
    <w:rsid w:val="42A1A7D1"/>
    <w:rsid w:val="439CBF98"/>
    <w:rsid w:val="569FC02C"/>
    <w:rsid w:val="5BA2E9D7"/>
    <w:rsid w:val="6027D782"/>
    <w:rsid w:val="61A0BE62"/>
    <w:rsid w:val="71EF8EDD"/>
    <w:rsid w:val="7CF79CE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BE2159A-D8A9-4FC3-9E98-864AA621623B}"/>
</file>

<file path=customXml/itemProps3.xml><?xml version="1.0" encoding="utf-8"?>
<ds:datastoreItem xmlns:ds="http://schemas.openxmlformats.org/officeDocument/2006/customXml" ds:itemID="{A1781DCF-5BE4-4E68-B986-55B9876ECC50}"/>
</file>

<file path=customXml/itemProps4.xml><?xml version="1.0" encoding="utf-8"?>
<ds:datastoreItem xmlns:ds="http://schemas.openxmlformats.org/officeDocument/2006/customXml" ds:itemID="{4D7C44C7-ED4A-4224-B1C1-69E2B8B15A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979</cp:revision>
  <cp:lastPrinted>2024-11-18T21:22:00Z</cp:lastPrinted>
  <dcterms:created xsi:type="dcterms:W3CDTF">2022-12-22T22:59:00Z</dcterms:created>
  <dcterms:modified xsi:type="dcterms:W3CDTF">2025-11-11T22:16:48Z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