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45EF3" w:rsidR="000341A4" w:rsidP="00EA7580" w:rsidRDefault="000341A4" w14:paraId="6752CB7C" w14:textId="77777777">
      <w:pPr>
        <w:pStyle w:val="Puesto"/>
        <w:tabs>
          <w:tab w:val="left" w:pos="2730"/>
          <w:tab w:val="center" w:pos="4419"/>
        </w:tabs>
        <w:jc w:val="both"/>
        <w:outlineLvl w:val="0"/>
        <w:rPr>
          <w:rStyle w:val="Textoennegrita"/>
          <w:lang w:val="es-ES"/>
        </w:rPr>
      </w:pPr>
    </w:p>
    <w:p w:rsidRPr="00045EF3" w:rsidR="000341A4" w:rsidP="00EA7580" w:rsidRDefault="000341A4" w14:paraId="56329F19" w14:textId="77777777">
      <w:pPr>
        <w:pStyle w:val="Puesto"/>
        <w:tabs>
          <w:tab w:val="left" w:pos="2730"/>
          <w:tab w:val="center" w:pos="4419"/>
        </w:tabs>
        <w:jc w:val="both"/>
        <w:outlineLvl w:val="0"/>
        <w:rPr>
          <w:rStyle w:val="Textoennegrita"/>
          <w:lang w:val="es-ES"/>
        </w:rPr>
      </w:pPr>
    </w:p>
    <w:p w:rsidRPr="00045EF3" w:rsidR="001A4E48" w:rsidP="00EA7580" w:rsidRDefault="00D00142" w14:paraId="783043A4" w14:textId="28D25BF5">
      <w:pPr>
        <w:pStyle w:val="Puesto"/>
        <w:tabs>
          <w:tab w:val="left" w:pos="2730"/>
          <w:tab w:val="center" w:pos="4419"/>
        </w:tabs>
        <w:outlineLvl w:val="0"/>
        <w:rPr>
          <w:rStyle w:val="Textoennegrita"/>
          <w:b/>
          <w:bCs/>
          <w:lang w:val="es-ES"/>
        </w:rPr>
      </w:pPr>
      <w:r w:rsidRPr="00045EF3">
        <w:rPr>
          <w:rStyle w:val="Textoennegrita"/>
          <w:b/>
          <w:bCs/>
          <w:lang w:val="es-ES"/>
        </w:rPr>
        <w:t>RESOLUCION N°</w:t>
      </w:r>
      <w:r w:rsidRPr="00045EF3" w:rsidR="000341A4">
        <w:rPr>
          <w:rStyle w:val="Textoennegrita"/>
          <w:b/>
          <w:bCs/>
          <w:lang w:val="es-ES"/>
        </w:rPr>
        <w:t xml:space="preserve"> </w:t>
      </w:r>
      <w:r w:rsidRPr="00045EF3" w:rsidR="005E0729">
        <w:rPr>
          <w:rStyle w:val="Textoennegrita"/>
          <w:b/>
          <w:bCs/>
          <w:lang w:val="es-ES"/>
        </w:rPr>
        <w:t>2</w:t>
      </w:r>
      <w:r w:rsidRPr="00045EF3" w:rsidR="00EA05EB">
        <w:rPr>
          <w:rStyle w:val="Textoennegrita"/>
          <w:b/>
          <w:bCs/>
          <w:lang w:val="es-ES"/>
        </w:rPr>
        <w:t>4</w:t>
      </w:r>
      <w:r w:rsidRPr="00045EF3" w:rsidR="003E531C">
        <w:rPr>
          <w:rStyle w:val="Textoennegrita"/>
          <w:b/>
          <w:bCs/>
          <w:lang w:val="es-ES"/>
        </w:rPr>
        <w:t>3</w:t>
      </w:r>
      <w:r w:rsidRPr="00045EF3">
        <w:rPr>
          <w:rStyle w:val="Textoennegrita"/>
          <w:b/>
          <w:bCs/>
          <w:lang w:val="es-ES"/>
        </w:rPr>
        <w:t>/2</w:t>
      </w:r>
      <w:r w:rsidRPr="00045EF3" w:rsidR="004B168E">
        <w:rPr>
          <w:rStyle w:val="Textoennegrita"/>
          <w:b/>
          <w:bCs/>
          <w:lang w:val="es-ES"/>
        </w:rPr>
        <w:t>4</w:t>
      </w:r>
    </w:p>
    <w:p w:rsidRPr="003A2D44" w:rsidR="003A2D44" w:rsidP="003A2D44" w:rsidRDefault="003A2D44" w14:paraId="3E3DE5F3" w14:textId="77777777">
      <w:pPr>
        <w:spacing w:after="0" w:line="240" w:lineRule="auto"/>
        <w:jc w:val="both"/>
        <w:rPr>
          <w:rFonts w:ascii="Times New Roman" w:hAnsi="Times New Roman"/>
          <w:b/>
          <w:bCs/>
          <w:sz w:val="24"/>
          <w:szCs w:val="24"/>
          <w:lang w:val="es-ES"/>
        </w:rPr>
      </w:pPr>
    </w:p>
    <w:p w:rsidRPr="003A2D44" w:rsidR="003A2D44" w:rsidP="003A2D44" w:rsidRDefault="003A2D44" w14:paraId="67AB7484" w14:textId="77777777">
      <w:pPr>
        <w:spacing w:after="0" w:line="240" w:lineRule="auto"/>
        <w:jc w:val="both"/>
        <w:rPr>
          <w:rFonts w:ascii="Times New Roman" w:hAnsi="Times New Roman"/>
          <w:sz w:val="24"/>
          <w:szCs w:val="24"/>
          <w:lang w:val="es-ES"/>
        </w:rPr>
      </w:pPr>
      <w:r w:rsidRPr="003A2D44">
        <w:rPr>
          <w:rFonts w:ascii="Times New Roman" w:hAnsi="Times New Roman"/>
          <w:b/>
          <w:bCs/>
          <w:sz w:val="24"/>
          <w:szCs w:val="24"/>
          <w:lang w:val="es-ES"/>
        </w:rPr>
        <w:t>VISTOS:</w:t>
      </w:r>
    </w:p>
    <w:p w:rsidRPr="003A2D44" w:rsidR="003A2D44" w:rsidP="003A2D44" w:rsidRDefault="003A2D44" w14:paraId="37A1D29B" w14:textId="77777777">
      <w:pPr>
        <w:spacing w:after="0" w:line="240" w:lineRule="auto"/>
        <w:jc w:val="both"/>
        <w:rPr>
          <w:rFonts w:ascii="Times New Roman" w:hAnsi="Times New Roman"/>
          <w:sz w:val="24"/>
          <w:szCs w:val="24"/>
        </w:rPr>
      </w:pPr>
    </w:p>
    <w:p w:rsidRPr="003A2D44" w:rsidR="003A2D44" w:rsidP="003A2D44" w:rsidRDefault="003A2D44" w14:paraId="5619584D" w14:textId="3D71AD25">
      <w:pPr>
        <w:spacing w:after="0" w:line="240" w:lineRule="auto"/>
        <w:jc w:val="both"/>
        <w:rPr>
          <w:rFonts w:ascii="Times New Roman" w:hAnsi="Times New Roman"/>
          <w:sz w:val="24"/>
          <w:szCs w:val="24"/>
        </w:rPr>
      </w:pPr>
      <w:r w:rsidRPr="74BBE05B" w:rsidR="003A2D44">
        <w:rPr>
          <w:rFonts w:ascii="Times New Roman" w:hAnsi="Times New Roman"/>
          <w:sz w:val="24"/>
          <w:szCs w:val="24"/>
        </w:rPr>
        <w:t xml:space="preserve">Que, don </w:t>
      </w:r>
      <w:r w:rsidRPr="74BBE05B" w:rsidR="3D4DD1D6">
        <w:rPr>
          <w:rFonts w:ascii="Times New Roman" w:hAnsi="Times New Roman"/>
          <w:b w:val="1"/>
          <w:bCs w:val="1"/>
          <w:sz w:val="24"/>
          <w:szCs w:val="24"/>
          <w:lang w:val="en-US"/>
        </w:rPr>
        <w:t>............................................................</w:t>
      </w:r>
      <w:r w:rsidRPr="74BBE05B" w:rsidR="003A2D44">
        <w:rPr>
          <w:rFonts w:ascii="Times New Roman" w:hAnsi="Times New Roman"/>
          <w:b w:val="1"/>
          <w:bCs w:val="1"/>
          <w:sz w:val="24"/>
          <w:szCs w:val="24"/>
        </w:rPr>
        <w:t xml:space="preserve"> </w:t>
      </w:r>
      <w:r w:rsidRPr="74BBE05B" w:rsidR="003A2D44">
        <w:rPr>
          <w:rFonts w:ascii="Times New Roman" w:hAnsi="Times New Roman"/>
          <w:sz w:val="24"/>
          <w:szCs w:val="24"/>
        </w:rPr>
        <w:t xml:space="preserve">(en adelante, el reclamante) interpone reclamación ante esta Defensoría del Asegurado (DEFASEG), solicitando que </w:t>
      </w:r>
      <w:r w:rsidRPr="74BBE05B" w:rsidR="7735BFA2">
        <w:rPr>
          <w:rFonts w:ascii="Times New Roman" w:hAnsi="Times New Roman"/>
          <w:b w:val="1"/>
          <w:bCs w:val="1"/>
          <w:sz w:val="24"/>
          <w:szCs w:val="24"/>
        </w:rPr>
        <w:t>................................................................................</w:t>
      </w:r>
      <w:r w:rsidRPr="74BBE05B" w:rsidR="003A2D44">
        <w:rPr>
          <w:rFonts w:ascii="Times New Roman" w:hAnsi="Times New Roman"/>
          <w:b w:val="1"/>
          <w:bCs w:val="1"/>
          <w:sz w:val="24"/>
          <w:szCs w:val="24"/>
        </w:rPr>
        <w:t xml:space="preserve"> </w:t>
      </w:r>
      <w:r w:rsidRPr="74BBE05B" w:rsidR="003A2D44">
        <w:rPr>
          <w:rFonts w:ascii="Times New Roman" w:hAnsi="Times New Roman"/>
          <w:sz w:val="24"/>
          <w:szCs w:val="24"/>
        </w:rPr>
        <w:t>(en adelante, la aseguradora)</w:t>
      </w:r>
      <w:r w:rsidRPr="74BBE05B" w:rsidR="003A2D44">
        <w:rPr>
          <w:rFonts w:ascii="Times New Roman" w:hAnsi="Times New Roman"/>
          <w:b w:val="1"/>
          <w:bCs w:val="1"/>
          <w:sz w:val="24"/>
          <w:szCs w:val="24"/>
        </w:rPr>
        <w:t xml:space="preserve"> </w:t>
      </w:r>
      <w:r w:rsidRPr="74BBE05B" w:rsidR="003A2D44">
        <w:rPr>
          <w:rFonts w:ascii="Times New Roman" w:hAnsi="Times New Roman"/>
          <w:sz w:val="24"/>
          <w:szCs w:val="24"/>
        </w:rPr>
        <w:t xml:space="preserve">apruebe su solicitud de cobertura por concepto de invalidez total y permanente, conforme a la </w:t>
      </w:r>
      <w:r w:rsidRPr="74BBE05B" w:rsidR="003A2D44">
        <w:rPr>
          <w:rFonts w:ascii="Times New Roman" w:hAnsi="Times New Roman"/>
          <w:sz w:val="24"/>
          <w:szCs w:val="24"/>
        </w:rPr>
        <w:t xml:space="preserve">Póliza de Matriz de Seguro </w:t>
      </w:r>
      <w:r w:rsidRPr="74BBE05B" w:rsidR="003A2D44">
        <w:rPr>
          <w:rFonts w:ascii="Times New Roman" w:hAnsi="Times New Roman"/>
          <w:sz w:val="24"/>
          <w:szCs w:val="24"/>
        </w:rPr>
        <w:t>N°</w:t>
      </w:r>
      <w:r w:rsidRPr="74BBE05B" w:rsidR="003A2D44">
        <w:rPr>
          <w:rFonts w:ascii="Times New Roman" w:hAnsi="Times New Roman"/>
          <w:sz w:val="24"/>
          <w:szCs w:val="24"/>
        </w:rPr>
        <w:t xml:space="preserve"> </w:t>
      </w:r>
      <w:r w:rsidRPr="74BBE05B" w:rsidR="28F81F30">
        <w:rPr>
          <w:rFonts w:ascii="Times New Roman" w:hAnsi="Times New Roman"/>
          <w:sz w:val="24"/>
          <w:szCs w:val="24"/>
        </w:rPr>
        <w:t>..........................................</w:t>
      </w:r>
      <w:r w:rsidRPr="74BBE05B" w:rsidR="003A2D44">
        <w:rPr>
          <w:rFonts w:ascii="Times New Roman" w:hAnsi="Times New Roman"/>
          <w:sz w:val="24"/>
          <w:szCs w:val="24"/>
        </w:rPr>
        <w:t xml:space="preserve"> (en adelante, la Póliza).</w:t>
      </w:r>
    </w:p>
    <w:p w:rsidRPr="003A2D44" w:rsidR="003A2D44" w:rsidP="003A2D44" w:rsidRDefault="003A2D44" w14:paraId="255D7391" w14:textId="77777777">
      <w:pPr>
        <w:spacing w:after="0" w:line="240" w:lineRule="auto"/>
        <w:jc w:val="both"/>
        <w:rPr>
          <w:rFonts w:ascii="Times New Roman" w:hAnsi="Times New Roman"/>
          <w:sz w:val="24"/>
          <w:szCs w:val="24"/>
        </w:rPr>
      </w:pPr>
    </w:p>
    <w:p w:rsidRPr="003A2D44" w:rsidR="003A2D44" w:rsidP="003A2D44" w:rsidRDefault="003A2D44" w14:paraId="0D27433E" w14:textId="77777777">
      <w:pPr>
        <w:spacing w:after="0" w:line="240" w:lineRule="auto"/>
        <w:jc w:val="both"/>
        <w:rPr>
          <w:rFonts w:ascii="Times New Roman" w:hAnsi="Times New Roman"/>
          <w:sz w:val="24"/>
          <w:szCs w:val="24"/>
        </w:rPr>
      </w:pPr>
      <w:r w:rsidRPr="003A2D44">
        <w:rPr>
          <w:rFonts w:ascii="Times New Roman" w:hAnsi="Times New Roman"/>
          <w:sz w:val="24"/>
          <w:szCs w:val="24"/>
        </w:rPr>
        <w:t>Que, la señalada reclamación cumple con los requisitos de materia, cuantía y oportunidad establecidos en el Reglamento de la DEFASEG (http://www.defaseg.com.pe/reglamento);</w:t>
      </w:r>
    </w:p>
    <w:p w:rsidRPr="003A2D44" w:rsidR="003A2D44" w:rsidP="003A2D44" w:rsidRDefault="003A2D44" w14:paraId="364B5287" w14:textId="77777777">
      <w:pPr>
        <w:spacing w:after="0" w:line="240" w:lineRule="auto"/>
        <w:jc w:val="both"/>
        <w:rPr>
          <w:rFonts w:ascii="Times New Roman" w:hAnsi="Times New Roman"/>
          <w:sz w:val="24"/>
          <w:szCs w:val="24"/>
        </w:rPr>
      </w:pPr>
    </w:p>
    <w:p w:rsidRPr="003A2D44" w:rsidR="003A2D44" w:rsidP="003A2D44" w:rsidRDefault="003A2D44" w14:paraId="02A9D6F2" w14:textId="77777777">
      <w:pPr>
        <w:spacing w:after="0" w:line="240" w:lineRule="auto"/>
        <w:jc w:val="both"/>
        <w:rPr>
          <w:rFonts w:ascii="Times New Roman" w:hAnsi="Times New Roman"/>
          <w:sz w:val="24"/>
          <w:szCs w:val="24"/>
        </w:rPr>
      </w:pPr>
      <w:r w:rsidRPr="003A2D44">
        <w:rPr>
          <w:rFonts w:ascii="Times New Roman" w:hAnsi="Times New Roman"/>
          <w:sz w:val="24"/>
          <w:szCs w:val="24"/>
        </w:rPr>
        <w:t>Que, habiéndosele corrido traslado de la respectiva reclamación, la aseguradora presentó sus respectivos descargos y la documentación solicitada;</w:t>
      </w:r>
    </w:p>
    <w:p w:rsidRPr="003A2D44" w:rsidR="003A2D44" w:rsidP="003A2D44" w:rsidRDefault="003A2D44" w14:paraId="48A7A37B" w14:textId="77777777">
      <w:pPr>
        <w:spacing w:after="0" w:line="240" w:lineRule="auto"/>
        <w:jc w:val="both"/>
        <w:rPr>
          <w:rFonts w:ascii="Times New Roman" w:hAnsi="Times New Roman"/>
          <w:sz w:val="24"/>
          <w:szCs w:val="24"/>
        </w:rPr>
      </w:pPr>
    </w:p>
    <w:p w:rsidRPr="003A2D44" w:rsidR="003A2D44" w:rsidP="003A2D44" w:rsidRDefault="003A2D44" w14:paraId="62378DE9" w14:textId="77777777">
      <w:pPr>
        <w:spacing w:after="0" w:line="240" w:lineRule="auto"/>
        <w:jc w:val="both"/>
        <w:rPr>
          <w:rFonts w:ascii="Times New Roman" w:hAnsi="Times New Roman"/>
          <w:sz w:val="24"/>
          <w:szCs w:val="24"/>
        </w:rPr>
      </w:pPr>
      <w:r w:rsidRPr="003A2D44">
        <w:rPr>
          <w:rFonts w:ascii="Times New Roman" w:hAnsi="Times New Roman"/>
          <w:sz w:val="24"/>
          <w:szCs w:val="24"/>
        </w:rPr>
        <w:t>Que, el 14 de octubre de 2024 se realizó la audiencia virtual de vista con la concurrencia de ambas partes, quienes tuvieron oportunidad de exponer sus respectivas posiciones tratándose de la materia reclamada, absolviendo las diversas preguntas que les fueron formuladas. Asimismo, en dicha ocasión se otorgó un plazo de tres (3) días a la aseguradora, a fin de que presente el certificado de seguro y la declaración personal de salud, ambos documentos suscritos por el reclamante;</w:t>
      </w:r>
    </w:p>
    <w:p w:rsidRPr="003A2D44" w:rsidR="003A2D44" w:rsidP="003A2D44" w:rsidRDefault="003A2D44" w14:paraId="084C0787" w14:textId="77777777">
      <w:pPr>
        <w:spacing w:after="0" w:line="240" w:lineRule="auto"/>
        <w:jc w:val="both"/>
        <w:rPr>
          <w:rFonts w:ascii="Times New Roman" w:hAnsi="Times New Roman"/>
          <w:sz w:val="24"/>
          <w:szCs w:val="24"/>
        </w:rPr>
      </w:pPr>
    </w:p>
    <w:p w:rsidRPr="003A2D44" w:rsidR="003A2D44" w:rsidP="003A2D44" w:rsidRDefault="003A2D44" w14:paraId="67C97E63" w14:textId="4FE43D98">
      <w:pPr>
        <w:spacing w:after="0" w:line="240" w:lineRule="auto"/>
        <w:jc w:val="both"/>
        <w:rPr>
          <w:rFonts w:ascii="Times New Roman" w:hAnsi="Times New Roman"/>
          <w:sz w:val="24"/>
          <w:szCs w:val="24"/>
          <w:lang w:val="es-ES"/>
        </w:rPr>
      </w:pPr>
      <w:r w:rsidRPr="74BBE05B" w:rsidR="003A2D44">
        <w:rPr>
          <w:rFonts w:ascii="Times New Roman" w:hAnsi="Times New Roman"/>
          <w:sz w:val="24"/>
          <w:szCs w:val="24"/>
          <w:lang w:val="es-ES"/>
        </w:rPr>
        <w:t xml:space="preserve">Que, en síntesis, el reclamante manifiesta lo siguiente: a) </w:t>
      </w:r>
      <w:r w:rsidRPr="74BBE05B" w:rsidR="003A2D44">
        <w:rPr>
          <w:rFonts w:ascii="Times New Roman" w:hAnsi="Times New Roman"/>
          <w:sz w:val="24"/>
          <w:szCs w:val="24"/>
        </w:rPr>
        <w:t xml:space="preserve">en febrero de 2015 se le aprobó un crédito MI VIVIENDA con BANBIF por un monto de S/ 202,500. El banco le informó que, debido a un convenio de exclusividad con la aseguradora, era requisito indispensable firmar una serie de documentos para el reembolso del dinero del crédito MI VIVIENDA; b) en mayo de 2024, presentó su Dictamen Total Permanente del MINSA. Sin embargo, la aseguradora señala que, según una evaluación en su historia clínica, se le diagnosticó condromalacia grado III, bursitis </w:t>
      </w:r>
      <w:r w:rsidRPr="74BBE05B" w:rsidR="003A2D44">
        <w:rPr>
          <w:rFonts w:ascii="Times New Roman" w:hAnsi="Times New Roman"/>
          <w:sz w:val="24"/>
          <w:szCs w:val="24"/>
        </w:rPr>
        <w:t>infrarrotuliana</w:t>
      </w:r>
      <w:r w:rsidRPr="74BBE05B" w:rsidR="003A2D44">
        <w:rPr>
          <w:rFonts w:ascii="Times New Roman" w:hAnsi="Times New Roman"/>
          <w:sz w:val="24"/>
          <w:szCs w:val="24"/>
        </w:rPr>
        <w:t xml:space="preserve"> profunda y una hernia lumbar en 2015, además de un </w:t>
      </w:r>
      <w:r w:rsidRPr="74BBE05B" w:rsidR="6F322537">
        <w:rPr>
          <w:rFonts w:ascii="Times New Roman" w:hAnsi="Times New Roman"/>
          <w:sz w:val="24"/>
          <w:szCs w:val="24"/>
        </w:rPr>
        <w:t>.................................................</w:t>
      </w:r>
      <w:r w:rsidRPr="74BBE05B" w:rsidR="003A2D44">
        <w:rPr>
          <w:rFonts w:ascii="Times New Roman" w:hAnsi="Times New Roman"/>
          <w:sz w:val="24"/>
          <w:szCs w:val="24"/>
        </w:rPr>
        <w:t xml:space="preserve"> izquierdo en 2016; c) los diagnósticos realizados en 2015 y 2016 no constituyen preexistencias al momento de contratar la póliza. De ser cierto, no habría sido beneficiario del seguro de desgravamen, el cual ha sido cobrado por la aseguradora hasta la fecha; d) su certificado de discapacidad, vigente desde marzo de 2023, dictaminó una discapacidad total permanente. Afirma que la aseguradora considera sus diagnósticos actuales, pero no los utilizados en la evaluación para su dictamen; e) en el dictamen de menoscabo no se consideró su lesión en la columna lumbar, la cual la aseguradora señala como una preexistencia. Sin embargo, la resonancia de la hernia L4-L5 es de abril de 2015, posterior a la adquisición de la póliza de seguros; f) en su Declaración Jurada de salud no se mencionó ninguna preexistencia. Solo le preguntaron sobre su estado de salud actual, a lo cual respondió que estaba bien. Procedió a firmar de buena fe el formato en blanco, y señala que el llenado del documento no corresponde a su letra. Al respecto, agrega que, según SUSALUD, una declaración jurada de salud debe ser llenada en su totalidad por el interesado </w:t>
      </w:r>
      <w:r w:rsidRPr="74BBE05B" w:rsidR="003A2D44">
        <w:rPr>
          <w:rFonts w:ascii="Times New Roman" w:hAnsi="Times New Roman"/>
          <w:sz w:val="24"/>
          <w:szCs w:val="24"/>
        </w:rPr>
        <w:t xml:space="preserve">para que sea válida. Sostiene que esto no ocurrió en su caso, según se muestra en una prueba </w:t>
      </w:r>
      <w:r w:rsidRPr="74BBE05B" w:rsidR="003A2D44">
        <w:rPr>
          <w:rFonts w:ascii="Times New Roman" w:hAnsi="Times New Roman"/>
          <w:sz w:val="24"/>
          <w:szCs w:val="24"/>
        </w:rPr>
        <w:t>grafotécnica</w:t>
      </w:r>
      <w:r w:rsidRPr="74BBE05B" w:rsidR="003A2D44">
        <w:rPr>
          <w:rFonts w:ascii="Times New Roman" w:hAnsi="Times New Roman"/>
          <w:sz w:val="24"/>
          <w:szCs w:val="24"/>
        </w:rPr>
        <w:t xml:space="preserve">; g) el 18 de octubre de 2017, presentó a la aseguradora, a través de BANBIF, un dictamen inicial emitido por COMAFP, en el cual se le otorgaba una discapacidad parcial permanente con un menoscabo del 60%. Señala que, tanto BANBIF, como la aseguradora tomaron conocimiento de su enfermedad y diagnósticos en esa fecha. </w:t>
      </w:r>
      <w:r w:rsidRPr="74BBE05B" w:rsidR="003A2D44">
        <w:rPr>
          <w:rFonts w:ascii="Times New Roman" w:hAnsi="Times New Roman"/>
          <w:sz w:val="24"/>
          <w:szCs w:val="24"/>
        </w:rPr>
        <w:t>Posteriormente, el reclamante fue evaluado por MINSA en 2023, y en 2024 se dictaminó su invalidez total permanente; h) en octubre de 2017, la aseguradora tomó conocimiento de su estado de salud y no manifestó alguna preexistencia ni anuló la póliza.</w:t>
      </w:r>
      <w:r w:rsidRPr="74BBE05B" w:rsidR="003A2D44">
        <w:rPr>
          <w:rFonts w:ascii="Times New Roman" w:hAnsi="Times New Roman"/>
          <w:sz w:val="24"/>
          <w:szCs w:val="24"/>
        </w:rPr>
        <w:t xml:space="preserve"> La aseguradora aceptó su situación, continuando con los pagos de la póliza durante los años 2017 a 2024. Sin embargo, ahora, se pretende negar la cobertura alegando una preexistencia; i) en agosto de 2022, el reclamante fue operado de la rodilla derecha, y tras la intervención, sufrió una infección que requirió una segunda operación. </w:t>
      </w:r>
      <w:r w:rsidRPr="74BBE05B" w:rsidR="003A2D44">
        <w:rPr>
          <w:rFonts w:ascii="Times New Roman" w:hAnsi="Times New Roman"/>
          <w:sz w:val="24"/>
          <w:szCs w:val="24"/>
        </w:rPr>
        <w:t>Posteriormente, desarrolló una trombosis profunda en la rodilla, lo que desembocó en una trombosis de vena profunda, y fue sometido a una tercera operación sin obtener mejoría.</w:t>
      </w:r>
      <w:r w:rsidRPr="74BBE05B" w:rsidR="003A2D44">
        <w:rPr>
          <w:rFonts w:ascii="Times New Roman" w:hAnsi="Times New Roman"/>
          <w:sz w:val="24"/>
          <w:szCs w:val="24"/>
        </w:rPr>
        <w:t xml:space="preserve"> Estos diagnósticos fueron considerados en su evaluación realizada por el MINSA; j) después de, aproximadamente, 7 años de pago de las primas del seguro de vida, la compañía ahora intenta negar la activación de la cobertura, sin tener en cuenta lo estipulado en el artículo </w:t>
      </w:r>
      <w:r w:rsidRPr="74BBE05B" w:rsidR="003A2D44">
        <w:rPr>
          <w:rFonts w:ascii="Times New Roman" w:hAnsi="Times New Roman"/>
          <w:sz w:val="24"/>
          <w:szCs w:val="24"/>
        </w:rPr>
        <w:t>N°</w:t>
      </w:r>
      <w:r w:rsidRPr="74BBE05B" w:rsidR="003A2D44">
        <w:rPr>
          <w:rFonts w:ascii="Times New Roman" w:hAnsi="Times New Roman"/>
          <w:sz w:val="24"/>
          <w:szCs w:val="24"/>
        </w:rPr>
        <w:t xml:space="preserve"> 122 de la Ley del Contrato de Seguro; k) invocar una preexistencia sin la debida motivación y fundamentación jurídica sería ilegal y un atentaría contra sus derechos como consumidor de seguros; </w:t>
      </w:r>
    </w:p>
    <w:p w:rsidRPr="003A2D44" w:rsidR="003A2D44" w:rsidP="003A2D44" w:rsidRDefault="003A2D44" w14:paraId="38028C95" w14:textId="77777777">
      <w:pPr>
        <w:spacing w:after="0" w:line="240" w:lineRule="auto"/>
        <w:jc w:val="both"/>
        <w:rPr>
          <w:rFonts w:ascii="Times New Roman" w:hAnsi="Times New Roman"/>
          <w:sz w:val="24"/>
          <w:szCs w:val="24"/>
          <w:lang w:val="es-ES"/>
        </w:rPr>
      </w:pPr>
    </w:p>
    <w:p w:rsidRPr="003A2D44" w:rsidR="003A2D44" w:rsidP="003A2D44" w:rsidRDefault="003A2D44" w14:paraId="54D80A31" w14:textId="4A1A74CD">
      <w:pPr>
        <w:spacing w:after="0" w:line="240" w:lineRule="auto"/>
        <w:jc w:val="both"/>
        <w:rPr>
          <w:rFonts w:ascii="Times New Roman" w:hAnsi="Times New Roman"/>
          <w:sz w:val="24"/>
          <w:szCs w:val="24"/>
        </w:rPr>
      </w:pPr>
      <w:r w:rsidRPr="74BBE05B" w:rsidR="003A2D44">
        <w:rPr>
          <w:rFonts w:ascii="Times New Roman" w:hAnsi="Times New Roman"/>
          <w:sz w:val="24"/>
          <w:szCs w:val="24"/>
          <w:lang w:val="es-ES"/>
        </w:rPr>
        <w:t xml:space="preserve">Que, por su parte, la aseguradora sustenta su posición resumidamente en lo siguiente: </w:t>
      </w:r>
      <w:r w:rsidRPr="74BBE05B" w:rsidR="003A2D44">
        <w:rPr>
          <w:rFonts w:ascii="Times New Roman" w:hAnsi="Times New Roman"/>
          <w:sz w:val="24"/>
          <w:szCs w:val="24"/>
        </w:rPr>
        <w:t xml:space="preserve">a) el historial médico del reclamante muestra que fue intervenido quirúrgicamente en 2005 por una hernia lumbar, lo que le causó dolor neuropático y lo llevó a recibir tratamiento de medicina física. Más tarde, fue diagnosticado con </w:t>
      </w:r>
      <w:r w:rsidRPr="74BBE05B" w:rsidR="6F322537">
        <w:rPr>
          <w:rFonts w:ascii="Times New Roman" w:hAnsi="Times New Roman"/>
          <w:sz w:val="24"/>
          <w:szCs w:val="24"/>
        </w:rPr>
        <w:t>.................................................</w:t>
      </w:r>
      <w:r w:rsidRPr="74BBE05B" w:rsidR="003A2D44">
        <w:rPr>
          <w:rFonts w:ascii="Times New Roman" w:hAnsi="Times New Roman"/>
          <w:sz w:val="24"/>
          <w:szCs w:val="24"/>
        </w:rPr>
        <w:t xml:space="preserve"> por atricción y condromalacia grado III en la rodilla derecha, junto con bursitis infra rotuliana; b) el 27 de junio de 2024, el reclamante solicitó la cobertura del seguro de desgravamen, argumentando que padece una invalidez permanente irreversible; c) el 9 y 11 de julio de 2024 se le informó que los diagnósticos presentados estaban relacionados con un evento preexistente que llevó a una intervención quirúrgica en 2005; d) cualquier exclusión o riesgo en la póliza debe interpretarse de manera literal, tal como lo estipula la normativa, para evitar interpretaciones que vayan en contra del contrato; e) el Informe Médico de la Clínica Internacional confirma la intervención quirúrgica del 2005.  El diagnóstico lumbar está intrínsecamente relacionado con dicha intervención, que dejó secuelas que requieren tratamiento en medicina física; f) aunque el reclamante sostiene haber firmado el documento en blanco de buena fe, no hay pruebas que respalden esta afirmación. Se destaca que existe una Declaración de Salud (DPS) firmada por el reclamante, en la que se indica que no tiene problemas de salud, a pesar del informe emitido por la Clínica Internacional; g) dado que la condición de salud del reclamante no surgió después de la contratación del seguro de Desgravamen, no es procedente activar la cobertura solicitada;</w:t>
      </w:r>
    </w:p>
    <w:p w:rsidRPr="003A2D44" w:rsidR="003A2D44" w:rsidP="003A2D44" w:rsidRDefault="003A2D44" w14:paraId="7F0BE060" w14:textId="77777777">
      <w:pPr>
        <w:spacing w:after="0" w:line="240" w:lineRule="auto"/>
        <w:jc w:val="both"/>
        <w:rPr>
          <w:rFonts w:ascii="Times New Roman" w:hAnsi="Times New Roman"/>
          <w:sz w:val="24"/>
          <w:szCs w:val="24"/>
        </w:rPr>
      </w:pPr>
    </w:p>
    <w:p w:rsidRPr="003A2D44" w:rsidR="003A2D44" w:rsidP="003A2D44" w:rsidRDefault="003A2D44" w14:paraId="5F99C046" w14:textId="77777777">
      <w:pPr>
        <w:spacing w:after="0" w:line="240" w:lineRule="auto"/>
        <w:jc w:val="both"/>
        <w:rPr>
          <w:rFonts w:ascii="Times New Roman" w:hAnsi="Times New Roman"/>
          <w:sz w:val="24"/>
          <w:szCs w:val="24"/>
        </w:rPr>
      </w:pPr>
      <w:r w:rsidRPr="003A2D44">
        <w:rPr>
          <w:rFonts w:ascii="Times New Roman" w:hAnsi="Times New Roman"/>
          <w:sz w:val="24"/>
          <w:szCs w:val="24"/>
        </w:rPr>
        <w:t>Que, en atención a lo dispuesto en la audiencia virtual de vista, la aseguradora presentó, mediante comunicación del 17 de octubre de 2024, los siguientes documentos: (i) certificado de seguro suscrito y (ii) DPS suscrito. Ante ello, el reclamante absolvió lo indicado mediante comunicación de la misma fecha;</w:t>
      </w:r>
    </w:p>
    <w:p w:rsidRPr="003A2D44" w:rsidR="003A2D44" w:rsidP="003A2D44" w:rsidRDefault="003A2D44" w14:paraId="28721852" w14:textId="77777777">
      <w:pPr>
        <w:spacing w:after="0" w:line="240" w:lineRule="auto"/>
        <w:jc w:val="both"/>
        <w:rPr>
          <w:rFonts w:ascii="Times New Roman" w:hAnsi="Times New Roman"/>
          <w:sz w:val="24"/>
          <w:szCs w:val="24"/>
        </w:rPr>
      </w:pPr>
    </w:p>
    <w:p w:rsidRPr="003A2D44" w:rsidR="003A2D44" w:rsidP="003A2D44" w:rsidRDefault="003A2D44" w14:paraId="3C1BC1EE" w14:textId="77777777">
      <w:pPr>
        <w:spacing w:after="0" w:line="240" w:lineRule="auto"/>
        <w:jc w:val="both"/>
        <w:rPr>
          <w:rFonts w:ascii="Times New Roman" w:hAnsi="Times New Roman"/>
          <w:sz w:val="24"/>
          <w:szCs w:val="24"/>
          <w:lang w:val="es-ES"/>
        </w:rPr>
      </w:pPr>
      <w:r w:rsidRPr="003A2D44">
        <w:rPr>
          <w:rFonts w:ascii="Times New Roman" w:hAnsi="Times New Roman"/>
          <w:b/>
          <w:bCs/>
          <w:sz w:val="24"/>
          <w:szCs w:val="24"/>
          <w:lang w:val="es-ES"/>
        </w:rPr>
        <w:lastRenderedPageBreak/>
        <w:t>CONSIDERANDO:</w:t>
      </w:r>
    </w:p>
    <w:p w:rsidRPr="003A2D44" w:rsidR="003A2D44" w:rsidP="003A2D44" w:rsidRDefault="003A2D44" w14:paraId="0FEB8D86" w14:textId="77777777">
      <w:pPr>
        <w:spacing w:after="0" w:line="240" w:lineRule="auto"/>
        <w:jc w:val="both"/>
        <w:rPr>
          <w:rFonts w:ascii="Times New Roman" w:hAnsi="Times New Roman"/>
          <w:sz w:val="24"/>
          <w:szCs w:val="24"/>
          <w:lang w:val="es-ES"/>
        </w:rPr>
      </w:pPr>
      <w:r w:rsidRPr="003A2D44">
        <w:rPr>
          <w:rFonts w:ascii="Times New Roman" w:hAnsi="Times New Roman"/>
          <w:sz w:val="24"/>
          <w:szCs w:val="24"/>
          <w:lang w:val="es-ES"/>
        </w:rPr>
        <w:t> </w:t>
      </w:r>
    </w:p>
    <w:p w:rsidRPr="003A2D44" w:rsidR="003A2D44" w:rsidP="003A2D44" w:rsidRDefault="003A2D44" w14:paraId="5AA0FAC9" w14:textId="77777777">
      <w:pPr>
        <w:spacing w:after="0" w:line="240" w:lineRule="auto"/>
        <w:jc w:val="both"/>
        <w:rPr>
          <w:rFonts w:ascii="Times New Roman" w:hAnsi="Times New Roman"/>
          <w:sz w:val="24"/>
          <w:szCs w:val="24"/>
        </w:rPr>
      </w:pPr>
      <w:r w:rsidRPr="003A2D44">
        <w:rPr>
          <w:rFonts w:ascii="Times New Roman" w:hAnsi="Times New Roman"/>
          <w:b/>
          <w:sz w:val="24"/>
          <w:szCs w:val="24"/>
          <w:u w:val="single"/>
        </w:rPr>
        <w:t>Primero</w:t>
      </w:r>
      <w:r w:rsidRPr="003A2D44">
        <w:rPr>
          <w:rFonts w:ascii="Times New Roman" w:hAnsi="Times New Roman"/>
          <w:b/>
          <w:sz w:val="24"/>
          <w:szCs w:val="24"/>
        </w:rPr>
        <w:t xml:space="preserve">: </w:t>
      </w:r>
      <w:r w:rsidRPr="003A2D44">
        <w:rPr>
          <w:rFonts w:ascii="Times New Roman" w:hAnsi="Times New Roman"/>
          <w:sz w:val="24"/>
          <w:szCs w:val="24"/>
        </w:rPr>
        <w:t>Conforme a su Reglamento, la</w:t>
      </w:r>
      <w:r w:rsidRPr="003A2D44">
        <w:rPr>
          <w:rFonts w:ascii="Times New Roman" w:hAnsi="Times New Roman"/>
          <w:b/>
          <w:bCs/>
          <w:sz w:val="24"/>
          <w:szCs w:val="24"/>
        </w:rPr>
        <w:t xml:space="preserve"> </w:t>
      </w:r>
      <w:r w:rsidRPr="003A2D44">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A2D44" w:rsidR="003A2D44" w:rsidP="003A2D44" w:rsidRDefault="003A2D44" w14:paraId="6CC1D832" w14:textId="77777777">
      <w:pPr>
        <w:spacing w:after="0" w:line="240" w:lineRule="auto"/>
        <w:jc w:val="both"/>
        <w:rPr>
          <w:rFonts w:ascii="Times New Roman" w:hAnsi="Times New Roman"/>
          <w:bCs/>
          <w:sz w:val="24"/>
          <w:szCs w:val="24"/>
          <w:lang w:val="es-ES"/>
        </w:rPr>
      </w:pPr>
    </w:p>
    <w:p w:rsidRPr="003A2D44" w:rsidR="003A2D44" w:rsidP="003A2D44" w:rsidRDefault="003A2D44" w14:paraId="638FD492" w14:textId="77777777">
      <w:pPr>
        <w:spacing w:after="0" w:line="240" w:lineRule="auto"/>
        <w:jc w:val="both"/>
        <w:rPr>
          <w:rFonts w:ascii="Times New Roman" w:hAnsi="Times New Roman"/>
          <w:bCs/>
          <w:sz w:val="24"/>
          <w:szCs w:val="24"/>
        </w:rPr>
      </w:pPr>
      <w:r w:rsidRPr="003A2D44">
        <w:rPr>
          <w:rFonts w:ascii="Times New Roman" w:hAnsi="Times New Roman"/>
          <w:b/>
          <w:bCs/>
          <w:sz w:val="24"/>
          <w:szCs w:val="24"/>
          <w:u w:val="single"/>
        </w:rPr>
        <w:t>Segundo</w:t>
      </w:r>
      <w:r w:rsidRPr="003A2D44">
        <w:rPr>
          <w:rFonts w:ascii="Times New Roman" w:hAnsi="Times New Roman"/>
          <w:b/>
          <w:bCs/>
          <w:sz w:val="24"/>
          <w:szCs w:val="24"/>
        </w:rPr>
        <w:t>:</w:t>
      </w:r>
      <w:r w:rsidRPr="003A2D44">
        <w:rPr>
          <w:rFonts w:ascii="Times New Roman" w:hAnsi="Times New Roman"/>
          <w:bCs/>
          <w:sz w:val="24"/>
          <w:szCs w:val="24"/>
        </w:rPr>
        <w:t xml:space="preserve"> </w:t>
      </w:r>
      <w:r w:rsidRPr="003A2D44">
        <w:rPr>
          <w:rFonts w:ascii="Times New Roman" w:hAnsi="Times New Roman"/>
          <w:sz w:val="24"/>
          <w:szCs w:val="24"/>
        </w:rPr>
        <w:t xml:space="preserve">Asimismo, de acuerdo a </w:t>
      </w:r>
      <w:r w:rsidRPr="003A2D44">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A2D44" w:rsidR="003A2D44" w:rsidP="003A2D44" w:rsidRDefault="003A2D44" w14:paraId="1FDAE026" w14:textId="77777777">
      <w:pPr>
        <w:spacing w:after="0" w:line="240" w:lineRule="auto"/>
        <w:jc w:val="both"/>
        <w:rPr>
          <w:rFonts w:ascii="Times New Roman" w:hAnsi="Times New Roman"/>
          <w:sz w:val="24"/>
          <w:szCs w:val="24"/>
        </w:rPr>
      </w:pPr>
    </w:p>
    <w:p w:rsidRPr="003A2D44" w:rsidR="003A2D44" w:rsidP="003A2D44" w:rsidRDefault="003A2D44" w14:paraId="2AD5D5FE" w14:textId="77777777">
      <w:pPr>
        <w:spacing w:after="0" w:line="240" w:lineRule="auto"/>
        <w:jc w:val="both"/>
        <w:rPr>
          <w:rFonts w:ascii="Times New Roman" w:hAnsi="Times New Roman"/>
          <w:sz w:val="24"/>
          <w:szCs w:val="24"/>
          <w:lang w:val="es-ES"/>
        </w:rPr>
      </w:pPr>
      <w:r w:rsidRPr="003A2D44">
        <w:rPr>
          <w:rFonts w:ascii="Times New Roman" w:hAnsi="Times New Roman"/>
          <w:b/>
          <w:bCs/>
          <w:sz w:val="24"/>
          <w:szCs w:val="24"/>
          <w:u w:val="single"/>
        </w:rPr>
        <w:t>Tercero</w:t>
      </w:r>
      <w:r w:rsidRPr="003A2D44">
        <w:rPr>
          <w:rFonts w:ascii="Times New Roman" w:hAnsi="Times New Roman"/>
          <w:b/>
          <w:bCs/>
          <w:sz w:val="24"/>
          <w:szCs w:val="24"/>
        </w:rPr>
        <w:t>:</w:t>
      </w:r>
      <w:r w:rsidRPr="003A2D44">
        <w:rPr>
          <w:rFonts w:ascii="Times New Roman" w:hAnsi="Times New Roman"/>
          <w:sz w:val="24"/>
          <w:szCs w:val="24"/>
        </w:rPr>
        <w:t xml:space="preserve"> Que, de acuerdo a la Ley Nro. </w:t>
      </w:r>
      <w:r w:rsidRPr="003A2D44">
        <w:rPr>
          <w:rFonts w:ascii="Times New Roman" w:hAnsi="Times New Roman"/>
          <w:sz w:val="24"/>
          <w:szCs w:val="24"/>
          <w:lang w:val="es-ES"/>
        </w:rPr>
        <w:t xml:space="preserve">29946 – Ley del Contrato de Seguro, norma legal vigente con ocasión de la celebración del contrato al cual se contrae el presente caso, </w:t>
      </w:r>
      <w:r w:rsidRPr="003A2D44">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A2D44" w:rsidR="003A2D44" w:rsidP="003A2D44" w:rsidRDefault="003A2D44" w14:paraId="687F2FFC" w14:textId="77777777">
      <w:pPr>
        <w:spacing w:after="0" w:line="240" w:lineRule="auto"/>
        <w:jc w:val="both"/>
        <w:rPr>
          <w:rFonts w:ascii="Times New Roman" w:hAnsi="Times New Roman"/>
          <w:b/>
          <w:sz w:val="24"/>
          <w:szCs w:val="24"/>
          <w:u w:val="single"/>
        </w:rPr>
      </w:pPr>
    </w:p>
    <w:p w:rsidRPr="003A2D44" w:rsidR="003A2D44" w:rsidP="003A2D44" w:rsidRDefault="003A2D44" w14:paraId="7260D805" w14:textId="77777777">
      <w:pPr>
        <w:spacing w:after="0" w:line="240" w:lineRule="auto"/>
        <w:jc w:val="both"/>
        <w:rPr>
          <w:rFonts w:ascii="Times New Roman" w:hAnsi="Times New Roman"/>
          <w:sz w:val="24"/>
          <w:szCs w:val="24"/>
        </w:rPr>
      </w:pPr>
      <w:r w:rsidRPr="003A2D44">
        <w:rPr>
          <w:rFonts w:ascii="Times New Roman" w:hAnsi="Times New Roman"/>
          <w:b/>
          <w:sz w:val="24"/>
          <w:szCs w:val="24"/>
          <w:u w:val="single"/>
        </w:rPr>
        <w:t>Cuarto</w:t>
      </w:r>
      <w:r w:rsidRPr="003A2D44">
        <w:rPr>
          <w:rFonts w:ascii="Times New Roman" w:hAnsi="Times New Roman"/>
          <w:b/>
          <w:sz w:val="24"/>
          <w:szCs w:val="24"/>
        </w:rPr>
        <w:t>:</w:t>
      </w:r>
      <w:r w:rsidRPr="003A2D44">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A2D44" w:rsidR="003A2D44" w:rsidP="003A2D44" w:rsidRDefault="003A2D44" w14:paraId="084C333A" w14:textId="77777777">
      <w:pPr>
        <w:spacing w:after="0" w:line="240" w:lineRule="auto"/>
        <w:jc w:val="both"/>
        <w:rPr>
          <w:rFonts w:ascii="Times New Roman" w:hAnsi="Times New Roman"/>
          <w:bCs/>
          <w:sz w:val="24"/>
          <w:szCs w:val="24"/>
          <w:lang w:val="es-ES"/>
        </w:rPr>
      </w:pPr>
    </w:p>
    <w:p w:rsidRPr="003A2D44" w:rsidR="003A2D44" w:rsidP="003A2D44" w:rsidRDefault="003A2D44" w14:paraId="6E55F1D6" w14:textId="77777777">
      <w:pPr>
        <w:spacing w:after="0" w:line="240" w:lineRule="auto"/>
        <w:jc w:val="both"/>
        <w:rPr>
          <w:rFonts w:ascii="Times New Roman" w:hAnsi="Times New Roman"/>
          <w:sz w:val="24"/>
          <w:szCs w:val="24"/>
          <w:lang w:val="es-ES"/>
        </w:rPr>
      </w:pPr>
      <w:r w:rsidRPr="003A2D44">
        <w:rPr>
          <w:rFonts w:ascii="Times New Roman" w:hAnsi="Times New Roman"/>
          <w:b/>
          <w:bCs/>
          <w:sz w:val="24"/>
          <w:szCs w:val="24"/>
          <w:u w:val="single"/>
        </w:rPr>
        <w:t>Quinto</w:t>
      </w:r>
      <w:r w:rsidRPr="003A2D44">
        <w:rPr>
          <w:rFonts w:ascii="Times New Roman" w:hAnsi="Times New Roman"/>
          <w:b/>
          <w:bCs/>
          <w:sz w:val="24"/>
          <w:szCs w:val="24"/>
        </w:rPr>
        <w:t xml:space="preserve">: </w:t>
      </w:r>
      <w:r w:rsidRPr="003A2D44">
        <w:rPr>
          <w:rFonts w:ascii="Times New Roman" w:hAnsi="Times New Roman"/>
          <w:sz w:val="24"/>
          <w:szCs w:val="24"/>
        </w:rPr>
        <w:t>Que, conforme al</w:t>
      </w:r>
      <w:r w:rsidRPr="003A2D44">
        <w:rPr>
          <w:rFonts w:ascii="Times New Roman" w:hAnsi="Times New Roman"/>
          <w:b/>
          <w:bCs/>
          <w:sz w:val="24"/>
          <w:szCs w:val="24"/>
        </w:rPr>
        <w:t xml:space="preserve"> </w:t>
      </w:r>
      <w:r w:rsidRPr="003A2D44">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A2D44" w:rsidR="003A2D44" w:rsidP="003A2D44" w:rsidRDefault="003A2D44" w14:paraId="722BA0AA" w14:textId="77777777">
      <w:pPr>
        <w:spacing w:after="0" w:line="240" w:lineRule="auto"/>
        <w:jc w:val="both"/>
        <w:rPr>
          <w:rFonts w:ascii="Times New Roman" w:hAnsi="Times New Roman"/>
          <w:sz w:val="24"/>
          <w:szCs w:val="24"/>
          <w:lang w:val="es-ES"/>
        </w:rPr>
      </w:pPr>
    </w:p>
    <w:p w:rsidRPr="003A2D44" w:rsidR="003A2D44" w:rsidP="003A2D44" w:rsidRDefault="003A2D44" w14:paraId="0EBF98C4" w14:textId="77777777">
      <w:pPr>
        <w:spacing w:after="0" w:line="240" w:lineRule="auto"/>
        <w:jc w:val="both"/>
        <w:rPr>
          <w:rFonts w:ascii="Times New Roman" w:hAnsi="Times New Roman"/>
          <w:sz w:val="24"/>
          <w:szCs w:val="24"/>
        </w:rPr>
      </w:pPr>
      <w:r w:rsidRPr="003A2D44">
        <w:rPr>
          <w:rFonts w:ascii="Times New Roman" w:hAnsi="Times New Roman"/>
          <w:b/>
          <w:bCs/>
          <w:sz w:val="24"/>
          <w:szCs w:val="24"/>
          <w:u w:val="single"/>
        </w:rPr>
        <w:t>Sexto</w:t>
      </w:r>
      <w:r w:rsidRPr="003A2D44">
        <w:rPr>
          <w:rFonts w:ascii="Times New Roman" w:hAnsi="Times New Roman"/>
          <w:b/>
          <w:bCs/>
          <w:sz w:val="24"/>
          <w:szCs w:val="24"/>
        </w:rPr>
        <w:t xml:space="preserve">: </w:t>
      </w:r>
      <w:r w:rsidRPr="003A2D44">
        <w:rPr>
          <w:rFonts w:ascii="Times New Roman" w:hAnsi="Times New Roman"/>
          <w:sz w:val="24"/>
          <w:szCs w:val="24"/>
        </w:rPr>
        <w:t>Que, sin perjuicio de lo indicado y del recuento de argumentos de las partes</w:t>
      </w:r>
      <w:r w:rsidRPr="003A2D44">
        <w:rPr>
          <w:rFonts w:ascii="Times New Roman" w:hAnsi="Times New Roman"/>
          <w:sz w:val="24"/>
          <w:szCs w:val="24"/>
          <w:lang w:val="es-ES"/>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3A2D44">
        <w:rPr>
          <w:rFonts w:ascii="Times New Roman" w:hAnsi="Times New Roman"/>
          <w:sz w:val="24"/>
          <w:szCs w:val="24"/>
        </w:rPr>
        <w:t>.</w:t>
      </w:r>
    </w:p>
    <w:p w:rsidRPr="003A2D44" w:rsidR="003A2D44" w:rsidP="003A2D44" w:rsidRDefault="003A2D44" w14:paraId="6754462E" w14:textId="77777777">
      <w:pPr>
        <w:spacing w:after="0" w:line="240" w:lineRule="auto"/>
        <w:jc w:val="both"/>
        <w:rPr>
          <w:rFonts w:ascii="Times New Roman" w:hAnsi="Times New Roman"/>
          <w:sz w:val="24"/>
          <w:szCs w:val="24"/>
        </w:rPr>
      </w:pPr>
    </w:p>
    <w:p w:rsidRPr="003A2D44" w:rsidR="003A2D44" w:rsidP="003A2D44" w:rsidRDefault="003A2D44" w14:paraId="27154EA5" w14:textId="12808F79">
      <w:pPr>
        <w:spacing w:after="0" w:line="240" w:lineRule="auto"/>
        <w:jc w:val="both"/>
        <w:rPr>
          <w:rFonts w:ascii="Times New Roman" w:hAnsi="Times New Roman"/>
          <w:sz w:val="24"/>
          <w:szCs w:val="24"/>
        </w:rPr>
      </w:pPr>
      <w:r w:rsidRPr="74BBE05B" w:rsidR="003A2D44">
        <w:rPr>
          <w:rFonts w:ascii="Times New Roman" w:hAnsi="Times New Roman"/>
          <w:b w:val="1"/>
          <w:bCs w:val="1"/>
          <w:sz w:val="24"/>
          <w:szCs w:val="24"/>
          <w:u w:val="single"/>
          <w:lang w:val="es-ES"/>
        </w:rPr>
        <w:t>Sétimo</w:t>
      </w:r>
      <w:r w:rsidRPr="74BBE05B" w:rsidR="003A2D44">
        <w:rPr>
          <w:rFonts w:ascii="Times New Roman" w:hAnsi="Times New Roman"/>
          <w:b w:val="1"/>
          <w:bCs w:val="1"/>
          <w:sz w:val="24"/>
          <w:szCs w:val="24"/>
          <w:lang w:val="es-ES"/>
        </w:rPr>
        <w:t>:</w:t>
      </w:r>
      <w:r w:rsidRPr="74BBE05B" w:rsidR="003A2D44">
        <w:rPr>
          <w:rFonts w:ascii="Times New Roman" w:hAnsi="Times New Roman"/>
          <w:b w:val="1"/>
          <w:bCs w:val="1"/>
          <w:sz w:val="24"/>
          <w:szCs w:val="24"/>
        </w:rPr>
        <w:t xml:space="preserve"> </w:t>
      </w:r>
      <w:r w:rsidRPr="74BBE05B" w:rsidR="003A2D44">
        <w:rPr>
          <w:rFonts w:ascii="Times New Roman" w:hAnsi="Times New Roman"/>
          <w:sz w:val="24"/>
          <w:szCs w:val="24"/>
        </w:rPr>
        <w:t>Que</w:t>
      </w:r>
      <w:r w:rsidRPr="74BBE05B" w:rsidR="003A2D44">
        <w:rPr>
          <w:rFonts w:ascii="Times New Roman" w:hAnsi="Times New Roman"/>
          <w:b w:val="1"/>
          <w:bCs w:val="1"/>
          <w:sz w:val="24"/>
          <w:szCs w:val="24"/>
        </w:rPr>
        <w:t>,</w:t>
      </w:r>
      <w:r w:rsidRPr="74BBE05B" w:rsidR="003A2D44">
        <w:rPr>
          <w:rFonts w:ascii="Times New Roman" w:hAnsi="Times New Roman"/>
          <w:sz w:val="24"/>
          <w:szCs w:val="24"/>
        </w:rPr>
        <w:t xml:space="preserve"> en primer lugar, debemos determinar la controversia que nos ocupa en la presente ocasión. Para ello, nos remitimos a la Carta </w:t>
      </w:r>
      <w:r w:rsidRPr="74BBE05B" w:rsidR="003A2D44">
        <w:rPr>
          <w:rFonts w:ascii="Times New Roman" w:hAnsi="Times New Roman"/>
          <w:sz w:val="24"/>
          <w:szCs w:val="24"/>
        </w:rPr>
        <w:t>N°</w:t>
      </w:r>
      <w:r w:rsidRPr="74BBE05B" w:rsidR="003A2D44">
        <w:rPr>
          <w:rFonts w:ascii="Times New Roman" w:hAnsi="Times New Roman"/>
          <w:sz w:val="24"/>
          <w:szCs w:val="24"/>
        </w:rPr>
        <w:t xml:space="preserve"> </w:t>
      </w:r>
      <w:r w:rsidRPr="74BBE05B" w:rsidR="56C9B278">
        <w:rPr>
          <w:rFonts w:ascii="Times New Roman" w:hAnsi="Times New Roman"/>
          <w:sz w:val="24"/>
          <w:szCs w:val="24"/>
        </w:rPr>
        <w:t>.............................</w:t>
      </w:r>
      <w:r w:rsidRPr="74BBE05B" w:rsidR="003A2D44">
        <w:rPr>
          <w:rFonts w:ascii="Times New Roman" w:hAnsi="Times New Roman"/>
          <w:sz w:val="24"/>
          <w:szCs w:val="24"/>
        </w:rPr>
        <w:t xml:space="preserve"> (en adelante, la Carta de Rechazo), mediante la que se rechaza la cobertura bajo los siguientes argumentos:</w:t>
      </w:r>
    </w:p>
    <w:p w:rsidRPr="003A2D44" w:rsidR="003A2D44" w:rsidP="003A2D44" w:rsidRDefault="003A2D44" w14:paraId="7776D40C" w14:textId="77777777">
      <w:pPr>
        <w:spacing w:after="0" w:line="240" w:lineRule="auto"/>
        <w:jc w:val="both"/>
        <w:rPr>
          <w:rFonts w:ascii="Times New Roman" w:hAnsi="Times New Roman"/>
          <w:sz w:val="24"/>
          <w:szCs w:val="24"/>
          <w:lang w:val="es-ES"/>
        </w:rPr>
      </w:pPr>
    </w:p>
    <w:p w:rsidRPr="003A2D44" w:rsidR="003A2D44" w:rsidP="00507135" w:rsidRDefault="003A2D44" w14:paraId="24B1D4D6" w14:textId="3F1BDE48">
      <w:pPr>
        <w:spacing w:after="0" w:line="240" w:lineRule="auto"/>
        <w:jc w:val="center"/>
      </w:pPr>
      <w:r w:rsidR="2C941A4B">
        <w:rPr/>
        <w:t>..................................................................................................................................................</w:t>
      </w:r>
    </w:p>
    <w:p w:rsidRPr="003A2D44" w:rsidR="003A2D44" w:rsidP="003A2D44" w:rsidRDefault="003A2D44" w14:paraId="553ECE9D" w14:textId="77777777">
      <w:pPr>
        <w:spacing w:after="0" w:line="240" w:lineRule="auto"/>
        <w:jc w:val="both"/>
        <w:rPr>
          <w:rFonts w:ascii="Times New Roman" w:hAnsi="Times New Roman"/>
          <w:sz w:val="24"/>
          <w:szCs w:val="24"/>
          <w:lang w:val="es-ES"/>
        </w:rPr>
      </w:pPr>
    </w:p>
    <w:p w:rsidRPr="003A2D44" w:rsidR="003A2D44" w:rsidP="003A2D44" w:rsidRDefault="003A2D44" w14:paraId="658931B4" w14:textId="77777777">
      <w:pPr>
        <w:spacing w:after="0" w:line="240" w:lineRule="auto"/>
        <w:jc w:val="both"/>
        <w:rPr>
          <w:rFonts w:ascii="Times New Roman" w:hAnsi="Times New Roman"/>
          <w:sz w:val="24"/>
          <w:szCs w:val="24"/>
          <w:lang w:val="es-ES"/>
        </w:rPr>
      </w:pPr>
      <w:r w:rsidRPr="003A2D44">
        <w:rPr>
          <w:rFonts w:ascii="Times New Roman" w:hAnsi="Times New Roman"/>
          <w:sz w:val="24"/>
          <w:szCs w:val="24"/>
          <w:lang w:val="es-ES"/>
        </w:rPr>
        <w:t>En buena cuenta, se aprecia que la aseguradora afirma que el rechazo se basa en que el Certificado Médico presentado por el reclamante indicaría que este padece de invalidez total y permanente, como consecuencia de: (i) anormalidades de la marcha, (ii) síndrome post laminectomía y (iii) poliartrosis. No obstante, los diagnósticos resultarían consecuencia de una preexistencia, conforme se apreciaría de la Historia Clínica y el Informe Médico de la Clínica Internacional de fecha 22 de julio de 2021.</w:t>
      </w:r>
    </w:p>
    <w:p w:rsidRPr="003A2D44" w:rsidR="003A2D44" w:rsidP="003A2D44" w:rsidRDefault="003A2D44" w14:paraId="5B44A9F8" w14:textId="77777777">
      <w:pPr>
        <w:spacing w:after="0" w:line="240" w:lineRule="auto"/>
        <w:jc w:val="both"/>
        <w:rPr>
          <w:rFonts w:ascii="Times New Roman" w:hAnsi="Times New Roman"/>
          <w:sz w:val="24"/>
          <w:szCs w:val="24"/>
          <w:lang w:val="es-ES"/>
        </w:rPr>
      </w:pPr>
    </w:p>
    <w:p w:rsidRPr="003A2D44" w:rsidR="003A2D44" w:rsidP="003A2D44" w:rsidRDefault="003A2D44" w14:paraId="7439784A" w14:textId="5701B647">
      <w:pPr>
        <w:spacing w:after="0" w:line="240" w:lineRule="auto"/>
        <w:jc w:val="both"/>
        <w:rPr>
          <w:rFonts w:ascii="Times New Roman" w:hAnsi="Times New Roman"/>
          <w:sz w:val="24"/>
          <w:szCs w:val="24"/>
          <w:lang w:val="es-ES"/>
        </w:rPr>
      </w:pPr>
      <w:r w:rsidRPr="74BBE05B" w:rsidR="003A2D44">
        <w:rPr>
          <w:rFonts w:ascii="Times New Roman" w:hAnsi="Times New Roman"/>
          <w:sz w:val="24"/>
          <w:szCs w:val="24"/>
          <w:lang w:val="es-ES"/>
        </w:rPr>
        <w:t xml:space="preserve">Ante ello, el reclamante afirma, entre otros, que los diagnósticos no resultan preexistencias, siendo que, conforme se apreciaría de la Carta </w:t>
      </w:r>
      <w:r w:rsidRPr="74BBE05B" w:rsidR="003A2D44">
        <w:rPr>
          <w:rFonts w:ascii="Times New Roman" w:hAnsi="Times New Roman"/>
          <w:sz w:val="24"/>
          <w:szCs w:val="24"/>
          <w:lang w:val="es-ES"/>
        </w:rPr>
        <w:t>N°</w:t>
      </w:r>
      <w:r w:rsidRPr="74BBE05B" w:rsidR="003A2D44">
        <w:rPr>
          <w:rFonts w:ascii="Times New Roman" w:hAnsi="Times New Roman"/>
          <w:sz w:val="24"/>
          <w:szCs w:val="24"/>
          <w:lang w:val="es-ES"/>
        </w:rPr>
        <w:t xml:space="preserve"> </w:t>
      </w:r>
      <w:r w:rsidRPr="74BBE05B" w:rsidR="07D8A562">
        <w:rPr>
          <w:rFonts w:ascii="Times New Roman" w:hAnsi="Times New Roman"/>
          <w:sz w:val="24"/>
          <w:szCs w:val="24"/>
          <w:lang w:val="es-ES"/>
        </w:rPr>
        <w:t>.............................</w:t>
      </w:r>
      <w:r w:rsidRPr="74BBE05B" w:rsidR="003A2D44">
        <w:rPr>
          <w:rFonts w:ascii="Times New Roman" w:hAnsi="Times New Roman"/>
          <w:sz w:val="24"/>
          <w:szCs w:val="24"/>
          <w:lang w:val="es-ES"/>
        </w:rPr>
        <w:t xml:space="preserve">, la aseguradora ya tenía conocimiento de sus enfermedades, siendo que -pese a ello- continuaba percibiendo el pago por concepto del referido seguro. </w:t>
      </w:r>
    </w:p>
    <w:p w:rsidRPr="003A2D44" w:rsidR="003A2D44" w:rsidP="003A2D44" w:rsidRDefault="003A2D44" w14:paraId="5BC8AFFC" w14:textId="77777777">
      <w:pPr>
        <w:spacing w:after="0" w:line="240" w:lineRule="auto"/>
        <w:jc w:val="both"/>
        <w:rPr>
          <w:rFonts w:ascii="Times New Roman" w:hAnsi="Times New Roman"/>
          <w:sz w:val="24"/>
          <w:szCs w:val="24"/>
          <w:lang w:val="es-ES"/>
        </w:rPr>
      </w:pPr>
    </w:p>
    <w:p w:rsidRPr="003A2D44" w:rsidR="003A2D44" w:rsidP="003A2D44" w:rsidRDefault="003A2D44" w14:paraId="3D142F30" w14:textId="77777777">
      <w:pPr>
        <w:spacing w:after="0" w:line="240" w:lineRule="auto"/>
        <w:jc w:val="both"/>
        <w:rPr>
          <w:rFonts w:ascii="Times New Roman" w:hAnsi="Times New Roman"/>
          <w:sz w:val="24"/>
          <w:szCs w:val="24"/>
        </w:rPr>
      </w:pPr>
      <w:r w:rsidRPr="003A2D44">
        <w:rPr>
          <w:rFonts w:ascii="Times New Roman" w:hAnsi="Times New Roman"/>
          <w:b/>
          <w:sz w:val="24"/>
          <w:szCs w:val="24"/>
          <w:u w:val="single"/>
        </w:rPr>
        <w:t>Octavo:</w:t>
      </w:r>
      <w:r w:rsidRPr="003A2D44">
        <w:rPr>
          <w:rFonts w:ascii="Times New Roman" w:hAnsi="Times New Roman"/>
          <w:sz w:val="24"/>
          <w:szCs w:val="24"/>
        </w:rPr>
        <w:t xml:space="preserve">  Que, atendiendo a lo expuesto y al motivo del rechazo, resulta necesario establecer la fecha en la que se suscribe la póliza, siendo que -según fluye de autos- esta data del 05 de febrero de 2015. Así pues, debemos precisar que, de una lectura del certificado de seguro aportado por la aseguradora, no se aprecia fecha alguna, por lo que solo resta tomar como verdadero lo indicado por el reclamante en su escrito y en la Carta de Rechazo obrante en el expediente.</w:t>
      </w:r>
    </w:p>
    <w:p w:rsidRPr="003A2D44" w:rsidR="003A2D44" w:rsidP="003A2D44" w:rsidRDefault="003A2D44" w14:paraId="4A6319B5" w14:textId="77777777">
      <w:pPr>
        <w:spacing w:after="0" w:line="240" w:lineRule="auto"/>
        <w:jc w:val="both"/>
        <w:rPr>
          <w:rFonts w:ascii="Times New Roman" w:hAnsi="Times New Roman"/>
          <w:sz w:val="24"/>
          <w:szCs w:val="24"/>
        </w:rPr>
      </w:pPr>
    </w:p>
    <w:p w:rsidRPr="003A2D44" w:rsidR="003A2D44" w:rsidP="003A2D44" w:rsidRDefault="003A2D44" w14:paraId="56DE035A" w14:textId="77777777">
      <w:pPr>
        <w:spacing w:after="0" w:line="240" w:lineRule="auto"/>
        <w:jc w:val="both"/>
        <w:rPr>
          <w:rFonts w:ascii="Times New Roman" w:hAnsi="Times New Roman"/>
          <w:sz w:val="24"/>
          <w:szCs w:val="24"/>
          <w:lang w:val="es-ES"/>
        </w:rPr>
      </w:pPr>
      <w:r w:rsidRPr="003A2D44">
        <w:rPr>
          <w:rFonts w:ascii="Times New Roman" w:hAnsi="Times New Roman"/>
          <w:sz w:val="24"/>
          <w:szCs w:val="24"/>
        </w:rPr>
        <w:t xml:space="preserve">En vista de lo señalado, resta establecer los diagnósticos que, según la aseguradora, entrañarían preexistencias, los que, según el texto del </w:t>
      </w:r>
      <w:r w:rsidRPr="003A2D44">
        <w:rPr>
          <w:rFonts w:ascii="Times New Roman" w:hAnsi="Times New Roman"/>
          <w:sz w:val="24"/>
          <w:szCs w:val="24"/>
          <w:lang w:val="es-ES"/>
        </w:rPr>
        <w:t>Certificado Médico presentado por el reclamante, son los siguientes:</w:t>
      </w:r>
    </w:p>
    <w:p w:rsidRPr="003A2D44" w:rsidR="003A2D44" w:rsidP="003A2D44" w:rsidRDefault="003A2D44" w14:paraId="1E33824B" w14:textId="77777777">
      <w:pPr>
        <w:spacing w:after="0" w:line="240" w:lineRule="auto"/>
        <w:jc w:val="both"/>
        <w:rPr>
          <w:rFonts w:ascii="Times New Roman" w:hAnsi="Times New Roman"/>
          <w:sz w:val="24"/>
          <w:szCs w:val="24"/>
          <w:lang w:val="es-ES"/>
        </w:rPr>
      </w:pPr>
    </w:p>
    <w:p w:rsidRPr="003A2D44" w:rsidR="003A2D44" w:rsidP="00507135" w:rsidRDefault="003A2D44" w14:paraId="391A2E9E" w14:textId="447D0A4C">
      <w:pPr>
        <w:spacing w:after="0" w:line="240" w:lineRule="auto"/>
        <w:jc w:val="center"/>
      </w:pPr>
      <w:r w:rsidR="0134E919">
        <w:rPr/>
        <w:t>..................................................................................................................................................</w:t>
      </w:r>
    </w:p>
    <w:p w:rsidR="74BBE05B" w:rsidP="74BBE05B" w:rsidRDefault="74BBE05B" w14:paraId="594C664B" w14:textId="6860E2C9">
      <w:pPr>
        <w:spacing w:after="0" w:line="240" w:lineRule="auto"/>
        <w:jc w:val="center"/>
      </w:pPr>
    </w:p>
    <w:p w:rsidRPr="003A2D44" w:rsidR="003A2D44" w:rsidP="003A2D44" w:rsidRDefault="003A2D44" w14:paraId="3C7B4628" w14:textId="77777777">
      <w:pPr>
        <w:spacing w:after="0" w:line="240" w:lineRule="auto"/>
        <w:jc w:val="both"/>
        <w:rPr>
          <w:rFonts w:ascii="Times New Roman" w:hAnsi="Times New Roman"/>
          <w:sz w:val="24"/>
          <w:szCs w:val="24"/>
        </w:rPr>
      </w:pPr>
    </w:p>
    <w:p w:rsidRPr="003A2D44" w:rsidR="003A2D44" w:rsidP="003A2D44" w:rsidRDefault="003A2D44" w14:paraId="603F2F71" w14:textId="77777777">
      <w:pPr>
        <w:spacing w:after="0" w:line="240" w:lineRule="auto"/>
        <w:jc w:val="both"/>
        <w:rPr>
          <w:rFonts w:ascii="Times New Roman" w:hAnsi="Times New Roman"/>
          <w:sz w:val="24"/>
          <w:szCs w:val="24"/>
        </w:rPr>
      </w:pPr>
      <w:r w:rsidRPr="003A2D44">
        <w:rPr>
          <w:rFonts w:ascii="Times New Roman" w:hAnsi="Times New Roman"/>
          <w:sz w:val="24"/>
          <w:szCs w:val="24"/>
        </w:rPr>
        <w:t xml:space="preserve">Tal como podemos apreciar e indicamos previamente, se determina que los diagnósticos son: </w:t>
      </w:r>
      <w:r w:rsidRPr="003A2D44">
        <w:rPr>
          <w:rFonts w:ascii="Times New Roman" w:hAnsi="Times New Roman"/>
          <w:sz w:val="24"/>
          <w:szCs w:val="24"/>
          <w:lang w:val="es-ES"/>
        </w:rPr>
        <w:t>(i) anormalidades de la marcha, (ii) síndrome post laminectomía y (iii) poliartrosis. Estos, según el documento citado, significarían un menoscabo de 68% que determina la incapacidad total y permanente del reclamante. Asimismo, se da cuenta de que el inicio de dicha incapacidad resulta ser el 09 de marzo de 2023.</w:t>
      </w:r>
    </w:p>
    <w:p w:rsidRPr="003A2D44" w:rsidR="003A2D44" w:rsidP="003A2D44" w:rsidRDefault="003A2D44" w14:paraId="730BE3C1" w14:textId="77777777">
      <w:pPr>
        <w:spacing w:after="0" w:line="240" w:lineRule="auto"/>
        <w:jc w:val="both"/>
        <w:rPr>
          <w:rFonts w:ascii="Times New Roman" w:hAnsi="Times New Roman"/>
          <w:sz w:val="24"/>
          <w:szCs w:val="24"/>
        </w:rPr>
      </w:pPr>
    </w:p>
    <w:p w:rsidRPr="003A2D44" w:rsidR="003A2D44" w:rsidP="003A2D44" w:rsidRDefault="003A2D44" w14:paraId="2A2D5DEC" w14:textId="77777777">
      <w:pPr>
        <w:spacing w:after="0" w:line="240" w:lineRule="auto"/>
        <w:jc w:val="both"/>
        <w:rPr>
          <w:rFonts w:ascii="Times New Roman" w:hAnsi="Times New Roman"/>
          <w:sz w:val="24"/>
          <w:szCs w:val="24"/>
        </w:rPr>
      </w:pPr>
      <w:r w:rsidRPr="003A2D44">
        <w:rPr>
          <w:rFonts w:ascii="Times New Roman" w:hAnsi="Times New Roman"/>
          <w:sz w:val="24"/>
          <w:szCs w:val="24"/>
        </w:rPr>
        <w:t>Establecido lo anterior, debemos determinar los diagnósticos previos que, según la aseguradora, determinarían las preexistencias. Para ello, nos remitimos, de nuevo, a lo indicado en la Carta de Rechazo. Esta señala lo siguiente respecto de las preexistencias:</w:t>
      </w:r>
    </w:p>
    <w:p w:rsidRPr="003A2D44" w:rsidR="003A2D44" w:rsidP="003A2D44" w:rsidRDefault="003A2D44" w14:paraId="2978F57C" w14:textId="77777777">
      <w:pPr>
        <w:spacing w:after="0" w:line="240" w:lineRule="auto"/>
        <w:jc w:val="both"/>
        <w:rPr>
          <w:rFonts w:ascii="Times New Roman" w:hAnsi="Times New Roman"/>
          <w:sz w:val="24"/>
          <w:szCs w:val="24"/>
        </w:rPr>
      </w:pPr>
    </w:p>
    <w:p w:rsidRPr="003A2D44" w:rsidR="003A2D44" w:rsidP="00F704B1" w:rsidRDefault="003A2D44" w14:paraId="206E6C37" w14:textId="1C3042EF">
      <w:pPr>
        <w:spacing w:after="0" w:line="240" w:lineRule="auto"/>
        <w:jc w:val="center"/>
      </w:pPr>
      <w:r w:rsidR="32CC49C3">
        <w:rPr/>
        <w:t>........................................................................................................................................</w:t>
      </w:r>
    </w:p>
    <w:p w:rsidR="74BBE05B" w:rsidP="74BBE05B" w:rsidRDefault="74BBE05B" w14:paraId="718D5303" w14:textId="62C7AC14">
      <w:pPr>
        <w:spacing w:after="0" w:line="240" w:lineRule="auto"/>
        <w:jc w:val="center"/>
      </w:pPr>
    </w:p>
    <w:p w:rsidRPr="003A2D44" w:rsidR="003A2D44" w:rsidP="003A2D44" w:rsidRDefault="003A2D44" w14:paraId="473A4F79" w14:textId="77777777">
      <w:pPr>
        <w:spacing w:after="0" w:line="240" w:lineRule="auto"/>
        <w:jc w:val="both"/>
        <w:rPr>
          <w:rFonts w:ascii="Times New Roman" w:hAnsi="Times New Roman"/>
          <w:sz w:val="24"/>
          <w:szCs w:val="24"/>
        </w:rPr>
      </w:pPr>
    </w:p>
    <w:p w:rsidRPr="003A2D44" w:rsidR="003A2D44" w:rsidP="003A2D44" w:rsidRDefault="003A2D44" w14:paraId="2307B877" w14:textId="77777777">
      <w:pPr>
        <w:spacing w:after="0" w:line="240" w:lineRule="auto"/>
        <w:jc w:val="both"/>
        <w:rPr>
          <w:rFonts w:ascii="Times New Roman" w:hAnsi="Times New Roman"/>
          <w:sz w:val="24"/>
          <w:szCs w:val="24"/>
        </w:rPr>
      </w:pPr>
      <w:r w:rsidRPr="003A2D44">
        <w:rPr>
          <w:rFonts w:ascii="Times New Roman" w:hAnsi="Times New Roman"/>
          <w:sz w:val="24"/>
          <w:szCs w:val="24"/>
        </w:rPr>
        <w:t>De un breve análisis de dicho extracto podemos extraer una primera conclusión: los diagnósticos de mayo y abril del 2015 a los que hace referencia la Carta de Rechazo no pueden ser tomados, de forma alguna, como preexistencias, en tanto resulta un hecho comprobado que el inicio de la vigencia de la póliza data de febrero de 2015. Del mismo modo, la “medicina física” a la que hace referencia la Carta de Rechazo y que data del año 2016 seguiría la misma suerte. Es importante tener claro que la vigencia de la póliza se origina en febrero de 2015, razón por la que cualquier diagnóstico o hecho médico relevante posterior a dicha fecha no puede ser tomado en cuenta como preexistencia.</w:t>
      </w:r>
    </w:p>
    <w:p w:rsidRPr="003A2D44" w:rsidR="003A2D44" w:rsidP="003A2D44" w:rsidRDefault="003A2D44" w14:paraId="7A3C6918" w14:textId="77777777">
      <w:pPr>
        <w:spacing w:after="0" w:line="240" w:lineRule="auto"/>
        <w:jc w:val="both"/>
        <w:rPr>
          <w:rFonts w:ascii="Times New Roman" w:hAnsi="Times New Roman"/>
          <w:sz w:val="24"/>
          <w:szCs w:val="24"/>
        </w:rPr>
      </w:pPr>
    </w:p>
    <w:p w:rsidRPr="003A2D44" w:rsidR="003A2D44" w:rsidP="003A2D44" w:rsidRDefault="003A2D44" w14:paraId="7A98C2F0" w14:textId="77777777">
      <w:pPr>
        <w:spacing w:after="0" w:line="240" w:lineRule="auto"/>
        <w:jc w:val="both"/>
        <w:rPr>
          <w:rFonts w:ascii="Times New Roman" w:hAnsi="Times New Roman"/>
          <w:sz w:val="24"/>
          <w:szCs w:val="24"/>
        </w:rPr>
      </w:pPr>
      <w:r w:rsidRPr="003A2D44">
        <w:rPr>
          <w:rFonts w:ascii="Times New Roman" w:hAnsi="Times New Roman"/>
          <w:sz w:val="24"/>
          <w:szCs w:val="24"/>
        </w:rPr>
        <w:lastRenderedPageBreak/>
        <w:t>A continuación, nos resulta relevante extraer del catálogo de medios probatorios el Informe Médico elaborado por la Clínica Internacional, aportado por ambas partes, que señala lo siguiente:</w:t>
      </w:r>
    </w:p>
    <w:p w:rsidRPr="003A2D44" w:rsidR="003A2D44" w:rsidP="003A2D44" w:rsidRDefault="003A2D44" w14:paraId="517B6FE4" w14:textId="77777777">
      <w:pPr>
        <w:spacing w:after="0" w:line="240" w:lineRule="auto"/>
        <w:jc w:val="both"/>
        <w:rPr>
          <w:rFonts w:ascii="Times New Roman" w:hAnsi="Times New Roman"/>
          <w:sz w:val="24"/>
          <w:szCs w:val="24"/>
        </w:rPr>
      </w:pPr>
    </w:p>
    <w:p w:rsidRPr="003A2D44" w:rsidR="003A2D44" w:rsidP="00A204F8" w:rsidRDefault="003A2D44" w14:paraId="07805DAA" w14:textId="553342D7">
      <w:pPr>
        <w:spacing w:after="0" w:line="240" w:lineRule="auto"/>
        <w:jc w:val="center"/>
      </w:pPr>
      <w:r w:rsidR="53207D5A">
        <w:rPr/>
        <w:t>............................................................................................................................................................</w:t>
      </w:r>
    </w:p>
    <w:p w:rsidR="74BBE05B" w:rsidP="74BBE05B" w:rsidRDefault="74BBE05B" w14:paraId="09A5A1E0" w14:textId="02F3F304">
      <w:pPr>
        <w:spacing w:after="0" w:line="240" w:lineRule="auto"/>
        <w:jc w:val="center"/>
      </w:pPr>
    </w:p>
    <w:p w:rsidRPr="003A2D44" w:rsidR="003A2D44" w:rsidP="003A2D44" w:rsidRDefault="003A2D44" w14:paraId="62960272" w14:textId="77777777">
      <w:pPr>
        <w:spacing w:after="0" w:line="240" w:lineRule="auto"/>
        <w:jc w:val="both"/>
        <w:rPr>
          <w:rFonts w:ascii="Times New Roman" w:hAnsi="Times New Roman"/>
          <w:sz w:val="24"/>
          <w:szCs w:val="24"/>
        </w:rPr>
      </w:pPr>
    </w:p>
    <w:p w:rsidRPr="003A2D44" w:rsidR="003A2D44" w:rsidP="003A2D44" w:rsidRDefault="003A2D44" w14:paraId="2FE8B864" w14:textId="77777777">
      <w:pPr>
        <w:spacing w:after="0" w:line="240" w:lineRule="auto"/>
        <w:jc w:val="both"/>
        <w:rPr>
          <w:rFonts w:ascii="Times New Roman" w:hAnsi="Times New Roman"/>
          <w:sz w:val="24"/>
          <w:szCs w:val="24"/>
        </w:rPr>
      </w:pPr>
      <w:r w:rsidRPr="003A2D44">
        <w:rPr>
          <w:rFonts w:ascii="Times New Roman" w:hAnsi="Times New Roman"/>
          <w:sz w:val="24"/>
          <w:szCs w:val="24"/>
        </w:rPr>
        <w:t>Como vemos, según lo indicado por la Clínica Internacional, en el año 2005 se operó al reclamante de una hernia lumbar. En buena cuenta, el único dato relevante que se configuró con anterioridad a la suscripción de la póliza resulta ser la operación de hernia lumbar del 2005. Ahora bien, debemos precisar que las consecuencias detalladas en el Informe Médico elaborado por la Clínica Internacional (tratamiento, evolución, diagnóstico final o comentarios, por ejemplo) son producto de la evaluación del año 2021, siendo que no es posible para el presente Colegiado afirmar que estos encuentren su origen en una fecha previa al inicio de la vigencia de la póliza. Debemos insistir en que el referido Informe se elabora en el año 2021 y contiene información propia de la evaluación realizada en dicha ocasión. La única excepción, como resulta evidente, es la operación de hernia lumbar, ya que el Informe indica -expresamente- que esta data del año 2005.</w:t>
      </w:r>
    </w:p>
    <w:p w:rsidRPr="003A2D44" w:rsidR="003A2D44" w:rsidP="003A2D44" w:rsidRDefault="003A2D44" w14:paraId="0DF69A2A" w14:textId="77777777">
      <w:pPr>
        <w:spacing w:after="0" w:line="240" w:lineRule="auto"/>
        <w:jc w:val="both"/>
        <w:rPr>
          <w:rFonts w:ascii="Times New Roman" w:hAnsi="Times New Roman"/>
          <w:sz w:val="24"/>
          <w:szCs w:val="24"/>
        </w:rPr>
      </w:pPr>
    </w:p>
    <w:p w:rsidRPr="003A2D44" w:rsidR="003A2D44" w:rsidP="003A2D44" w:rsidRDefault="003A2D44" w14:paraId="4884FBD3" w14:textId="77777777">
      <w:pPr>
        <w:spacing w:after="0" w:line="240" w:lineRule="auto"/>
        <w:jc w:val="both"/>
        <w:rPr>
          <w:rFonts w:ascii="Times New Roman" w:hAnsi="Times New Roman"/>
          <w:sz w:val="24"/>
          <w:szCs w:val="24"/>
        </w:rPr>
      </w:pPr>
      <w:r w:rsidRPr="003A2D44">
        <w:rPr>
          <w:rFonts w:ascii="Times New Roman" w:hAnsi="Times New Roman"/>
          <w:b/>
          <w:sz w:val="24"/>
          <w:szCs w:val="24"/>
          <w:u w:val="single"/>
        </w:rPr>
        <w:t>Noveno:</w:t>
      </w:r>
      <w:r w:rsidRPr="003A2D44">
        <w:rPr>
          <w:rFonts w:ascii="Times New Roman" w:hAnsi="Times New Roman"/>
          <w:sz w:val="24"/>
          <w:szCs w:val="24"/>
        </w:rPr>
        <w:t xml:space="preserve"> Que, como ya hemos indicado, la aseguradora rechazó el siniestro, por lo que nos remitimos a la obligación que pesa sobre esta al momento de emitir el referido rechazo. En </w:t>
      </w:r>
      <w:r w:rsidRPr="003A2D44">
        <w:rPr>
          <w:rFonts w:ascii="Times New Roman" w:hAnsi="Times New Roman"/>
          <w:sz w:val="24"/>
          <w:szCs w:val="24"/>
        </w:rPr>
        <w:lastRenderedPageBreak/>
        <w:t>ese sentido, el Reglamento para la Gestión y Pago de Siniestros, aprobado mediante Resolución SBS N° 3202-2013 (en adelante, el Reglamento) dispone lo siguiente:</w:t>
      </w:r>
    </w:p>
    <w:p w:rsidRPr="003A2D44" w:rsidR="003A2D44" w:rsidP="003A2D44" w:rsidRDefault="003A2D44" w14:paraId="3FEB2D48" w14:textId="77777777">
      <w:pPr>
        <w:spacing w:after="0" w:line="240" w:lineRule="auto"/>
        <w:jc w:val="both"/>
        <w:rPr>
          <w:rFonts w:ascii="Times New Roman" w:hAnsi="Times New Roman"/>
          <w:sz w:val="24"/>
          <w:szCs w:val="24"/>
        </w:rPr>
      </w:pPr>
    </w:p>
    <w:p w:rsidRPr="003A2D44" w:rsidR="003A2D44" w:rsidP="00507135" w:rsidRDefault="003A2D44" w14:paraId="3C34FECB" w14:textId="77777777">
      <w:pPr>
        <w:spacing w:after="0" w:line="240" w:lineRule="auto"/>
        <w:ind w:left="1416"/>
        <w:jc w:val="both"/>
        <w:rPr>
          <w:rFonts w:ascii="Times New Roman" w:hAnsi="Times New Roman"/>
          <w:sz w:val="24"/>
          <w:szCs w:val="24"/>
          <w:lang w:val="es-ES"/>
        </w:rPr>
      </w:pPr>
      <w:r w:rsidRPr="003A2D44">
        <w:rPr>
          <w:rFonts w:ascii="Times New Roman" w:hAnsi="Times New Roman"/>
          <w:b/>
          <w:sz w:val="24"/>
          <w:szCs w:val="24"/>
          <w:lang w:val="es-ES"/>
        </w:rPr>
        <w:t>Artículo 15°.-</w:t>
      </w:r>
      <w:r w:rsidRPr="003A2D44">
        <w:rPr>
          <w:rFonts w:ascii="Times New Roman" w:hAnsi="Times New Roman"/>
          <w:sz w:val="24"/>
          <w:szCs w:val="24"/>
          <w:lang w:val="es-ES"/>
        </w:rPr>
        <w:t xml:space="preserve"> </w:t>
      </w:r>
      <w:r w:rsidRPr="003A2D44">
        <w:rPr>
          <w:rFonts w:ascii="Times New Roman" w:hAnsi="Times New Roman"/>
          <w:b/>
          <w:sz w:val="24"/>
          <w:szCs w:val="24"/>
          <w:lang w:val="es-ES"/>
        </w:rPr>
        <w:t>Rechazo de siniestros</w:t>
      </w:r>
    </w:p>
    <w:p w:rsidRPr="003A2D44" w:rsidR="003A2D44" w:rsidP="00507135" w:rsidRDefault="003A2D44" w14:paraId="581F9134" w14:textId="77777777">
      <w:pPr>
        <w:spacing w:after="0" w:line="240" w:lineRule="auto"/>
        <w:ind w:left="1416"/>
        <w:jc w:val="both"/>
        <w:rPr>
          <w:rFonts w:ascii="Times New Roman" w:hAnsi="Times New Roman"/>
          <w:sz w:val="24"/>
          <w:szCs w:val="24"/>
          <w:lang w:val="es-ES"/>
        </w:rPr>
      </w:pPr>
      <w:r w:rsidRPr="003A2D44">
        <w:rPr>
          <w:rFonts w:ascii="Times New Roman" w:hAnsi="Times New Roman"/>
          <w:sz w:val="24"/>
          <w:szCs w:val="24"/>
          <w:lang w:val="es-ES"/>
        </w:rPr>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3A2D44" w:rsidR="003A2D44" w:rsidP="003A2D44" w:rsidRDefault="003A2D44" w14:paraId="4E126177" w14:textId="77777777">
      <w:pPr>
        <w:spacing w:after="0" w:line="240" w:lineRule="auto"/>
        <w:jc w:val="both"/>
        <w:rPr>
          <w:rFonts w:ascii="Times New Roman" w:hAnsi="Times New Roman"/>
          <w:sz w:val="24"/>
          <w:szCs w:val="24"/>
          <w:lang w:val="es-ES"/>
        </w:rPr>
      </w:pPr>
    </w:p>
    <w:p w:rsidRPr="003A2D44" w:rsidR="003A2D44" w:rsidP="003A2D44" w:rsidRDefault="003A2D44" w14:paraId="3231E973" w14:textId="77777777">
      <w:pPr>
        <w:spacing w:after="0" w:line="240" w:lineRule="auto"/>
        <w:jc w:val="both"/>
        <w:rPr>
          <w:rFonts w:ascii="Times New Roman" w:hAnsi="Times New Roman"/>
          <w:sz w:val="24"/>
          <w:szCs w:val="24"/>
          <w:lang w:val="es-ES"/>
        </w:rPr>
      </w:pPr>
      <w:r w:rsidRPr="003A2D44">
        <w:rPr>
          <w:rFonts w:ascii="Times New Roman" w:hAnsi="Times New Roman"/>
          <w:b/>
          <w:bCs/>
          <w:sz w:val="24"/>
          <w:szCs w:val="24"/>
          <w:lang w:val="es-ES"/>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w:t>
      </w:r>
      <w:r w:rsidRPr="003A2D44">
        <w:rPr>
          <w:rFonts w:ascii="Times New Roman" w:hAnsi="Times New Roman"/>
          <w:sz w:val="24"/>
          <w:szCs w:val="24"/>
          <w:lang w:val="es-ES"/>
        </w:rPr>
        <w:t>. Dicha comunicación debe ser elaborada y entregada al asegurado o al beneficiario dentro de los plazos establecidos en los artículos 8° u 11° del presente Reglamento, según corresponda.</w:t>
      </w:r>
    </w:p>
    <w:p w:rsidRPr="003A2D44" w:rsidR="003A2D44" w:rsidP="003A2D44" w:rsidRDefault="003A2D44" w14:paraId="3FD5A4BD" w14:textId="77777777">
      <w:pPr>
        <w:spacing w:after="0" w:line="240" w:lineRule="auto"/>
        <w:jc w:val="both"/>
        <w:rPr>
          <w:rFonts w:ascii="Times New Roman" w:hAnsi="Times New Roman"/>
          <w:sz w:val="24"/>
          <w:szCs w:val="24"/>
          <w:lang w:val="es-ES"/>
        </w:rPr>
      </w:pPr>
    </w:p>
    <w:p w:rsidRPr="003A2D44" w:rsidR="003A2D44" w:rsidP="003A2D44" w:rsidRDefault="003A2D44" w14:paraId="021DB6D6" w14:textId="77777777">
      <w:pPr>
        <w:spacing w:after="0" w:line="240" w:lineRule="auto"/>
        <w:jc w:val="both"/>
        <w:rPr>
          <w:rFonts w:ascii="Times New Roman" w:hAnsi="Times New Roman"/>
          <w:sz w:val="24"/>
          <w:szCs w:val="24"/>
          <w:lang w:val="es-ES"/>
        </w:rPr>
      </w:pPr>
      <w:r w:rsidRPr="003A2D44">
        <w:rPr>
          <w:rFonts w:ascii="Times New Roman" w:hAnsi="Times New Roman"/>
          <w:sz w:val="24"/>
          <w:szCs w:val="24"/>
          <w:lang w:val="es-ES"/>
        </w:rPr>
        <w:t>La acreditación de la entrega de la información a que se refiere este artículo debe ser conservada por las empresas en los expedientes de siniestros correspondientes.</w:t>
      </w:r>
    </w:p>
    <w:p w:rsidRPr="003A2D44" w:rsidR="003A2D44" w:rsidP="003A2D44" w:rsidRDefault="003A2D44" w14:paraId="48FBF0DB" w14:textId="77777777">
      <w:pPr>
        <w:spacing w:after="0" w:line="240" w:lineRule="auto"/>
        <w:jc w:val="both"/>
        <w:rPr>
          <w:rFonts w:ascii="Times New Roman" w:hAnsi="Times New Roman"/>
          <w:sz w:val="24"/>
          <w:szCs w:val="24"/>
          <w:lang w:val="es-ES"/>
        </w:rPr>
      </w:pPr>
    </w:p>
    <w:p w:rsidRPr="003A2D44" w:rsidR="003A2D44" w:rsidP="003A2D44" w:rsidRDefault="003A2D44" w14:paraId="0453D57C" w14:textId="77777777">
      <w:pPr>
        <w:spacing w:after="0" w:line="240" w:lineRule="auto"/>
        <w:jc w:val="both"/>
        <w:rPr>
          <w:rFonts w:ascii="Times New Roman" w:hAnsi="Times New Roman"/>
          <w:sz w:val="24"/>
          <w:szCs w:val="24"/>
        </w:rPr>
      </w:pPr>
      <w:r w:rsidRPr="003A2D44">
        <w:rPr>
          <w:rFonts w:ascii="Times New Roman" w:hAnsi="Times New Roman"/>
          <w:sz w:val="24"/>
          <w:szCs w:val="24"/>
          <w:lang w:val="es-ES"/>
        </w:rPr>
        <w:t>En caso de intermediación de un corredor de seguros, las empresas deben remitir copia de la comunicación de rechazo del siniestro al corredor a efecto que éste cumpla con su obligación de asesoramiento.</w:t>
      </w:r>
    </w:p>
    <w:p w:rsidRPr="003A2D44" w:rsidR="003A2D44" w:rsidP="003A2D44" w:rsidRDefault="003A2D44" w14:paraId="1F31AAF3" w14:textId="77777777">
      <w:pPr>
        <w:spacing w:after="0" w:line="240" w:lineRule="auto"/>
        <w:jc w:val="both"/>
        <w:rPr>
          <w:rFonts w:ascii="Times New Roman" w:hAnsi="Times New Roman"/>
          <w:sz w:val="24"/>
          <w:szCs w:val="24"/>
        </w:rPr>
      </w:pPr>
      <w:r w:rsidRPr="003A2D44">
        <w:rPr>
          <w:rFonts w:ascii="Times New Roman" w:hAnsi="Times New Roman"/>
          <w:sz w:val="24"/>
          <w:szCs w:val="24"/>
        </w:rPr>
        <w:t>[resaltado en negritas de nuestra autoría]</w:t>
      </w:r>
    </w:p>
    <w:p w:rsidRPr="003A2D44" w:rsidR="003A2D44" w:rsidP="003A2D44" w:rsidRDefault="003A2D44" w14:paraId="4F77E8E5" w14:textId="77777777">
      <w:pPr>
        <w:spacing w:after="0" w:line="240" w:lineRule="auto"/>
        <w:jc w:val="both"/>
        <w:rPr>
          <w:rFonts w:ascii="Times New Roman" w:hAnsi="Times New Roman"/>
          <w:sz w:val="24"/>
          <w:szCs w:val="24"/>
        </w:rPr>
      </w:pPr>
    </w:p>
    <w:p w:rsidRPr="003A2D44" w:rsidR="003A2D44" w:rsidP="003A2D44" w:rsidRDefault="003A2D44" w14:paraId="462E7102" w14:textId="77777777">
      <w:pPr>
        <w:spacing w:after="0" w:line="240" w:lineRule="auto"/>
        <w:jc w:val="both"/>
        <w:rPr>
          <w:rFonts w:ascii="Times New Roman" w:hAnsi="Times New Roman"/>
          <w:sz w:val="24"/>
          <w:szCs w:val="24"/>
        </w:rPr>
      </w:pPr>
      <w:r w:rsidRPr="003A2D44">
        <w:rPr>
          <w:rFonts w:ascii="Times New Roman" w:hAnsi="Times New Roman"/>
          <w:sz w:val="24"/>
          <w:szCs w:val="24"/>
        </w:rPr>
        <w:t xml:space="preserve">Como vemos, la Carta de Rechazo debe indicar el motivo que sustenta el rechazo. En resumen, dicho documento resulta el único medio por el que la aseguradora brinda sus motivos legales y fácticos para denegar el pedido de una cobertura. </w:t>
      </w:r>
    </w:p>
    <w:p w:rsidRPr="003A2D44" w:rsidR="003A2D44" w:rsidP="003A2D44" w:rsidRDefault="003A2D44" w14:paraId="7EB22F11" w14:textId="77777777">
      <w:pPr>
        <w:spacing w:after="0" w:line="240" w:lineRule="auto"/>
        <w:jc w:val="both"/>
        <w:rPr>
          <w:rFonts w:ascii="Times New Roman" w:hAnsi="Times New Roman"/>
          <w:sz w:val="24"/>
          <w:szCs w:val="24"/>
        </w:rPr>
      </w:pPr>
    </w:p>
    <w:p w:rsidRPr="003A2D44" w:rsidR="003A2D44" w:rsidP="003A2D44" w:rsidRDefault="003A2D44" w14:paraId="14C49B1C" w14:textId="77777777">
      <w:pPr>
        <w:spacing w:after="0" w:line="240" w:lineRule="auto"/>
        <w:jc w:val="both"/>
        <w:rPr>
          <w:rFonts w:ascii="Times New Roman" w:hAnsi="Times New Roman"/>
          <w:sz w:val="24"/>
          <w:szCs w:val="24"/>
        </w:rPr>
      </w:pPr>
      <w:r w:rsidRPr="003A2D44">
        <w:rPr>
          <w:rFonts w:ascii="Times New Roman" w:hAnsi="Times New Roman"/>
          <w:sz w:val="24"/>
          <w:szCs w:val="24"/>
        </w:rPr>
        <w:t>En el presente caso, la Carta de Rechazo, tal como ya hemos repasado, indica que no es posible atender la incapacidad del reclamante por los diagnósticos de (i) anormalidades de la marcha, (ii) síndrome post laminectomía y (iii) poliartrosis, ya que existen enfermedades preexistentes que las generaron. Así pues, es importante que se tenga en cuenta que dicha “preexistencia” se tiene definida, en la misma Carta de Rechazo, de la siguiente forma:</w:t>
      </w:r>
    </w:p>
    <w:p w:rsidRPr="003A2D44" w:rsidR="003A2D44" w:rsidP="003A2D44" w:rsidRDefault="003A2D44" w14:paraId="557F456E" w14:textId="77777777">
      <w:pPr>
        <w:spacing w:after="0" w:line="240" w:lineRule="auto"/>
        <w:jc w:val="both"/>
        <w:rPr>
          <w:rFonts w:ascii="Times New Roman" w:hAnsi="Times New Roman"/>
          <w:sz w:val="24"/>
          <w:szCs w:val="24"/>
        </w:rPr>
      </w:pPr>
    </w:p>
    <w:p w:rsidRPr="003A2D44" w:rsidR="003A2D44" w:rsidP="00175329" w:rsidRDefault="003A2D44" w14:paraId="0E977903" w14:textId="507732A6">
      <w:pPr>
        <w:spacing w:after="0" w:line="240" w:lineRule="auto"/>
        <w:jc w:val="center"/>
      </w:pPr>
      <w:r w:rsidR="598204AA">
        <w:rPr/>
        <w:t>...............................................................................................................................................</w:t>
      </w:r>
    </w:p>
    <w:p w:rsidR="598204AA" w:rsidP="74BBE05B" w:rsidRDefault="598204AA" w14:paraId="36E47D25" w14:textId="1F8461DB">
      <w:pPr>
        <w:spacing w:after="0" w:line="240" w:lineRule="auto"/>
        <w:jc w:val="center"/>
      </w:pPr>
      <w:r w:rsidR="598204AA">
        <w:rPr/>
        <w:t>................................................................................................................................................</w:t>
      </w:r>
    </w:p>
    <w:p w:rsidRPr="003A2D44" w:rsidR="003A2D44" w:rsidP="003A2D44" w:rsidRDefault="003A2D44" w14:paraId="640A18B7" w14:textId="77777777">
      <w:pPr>
        <w:spacing w:after="0" w:line="240" w:lineRule="auto"/>
        <w:jc w:val="both"/>
        <w:rPr>
          <w:rFonts w:ascii="Times New Roman" w:hAnsi="Times New Roman"/>
          <w:sz w:val="24"/>
          <w:szCs w:val="24"/>
        </w:rPr>
      </w:pPr>
    </w:p>
    <w:p w:rsidRPr="003A2D44" w:rsidR="003A2D44" w:rsidP="003A2D44" w:rsidRDefault="003A2D44" w14:paraId="72632042" w14:textId="77777777">
      <w:pPr>
        <w:spacing w:after="0" w:line="240" w:lineRule="auto"/>
        <w:jc w:val="both"/>
        <w:rPr>
          <w:rFonts w:ascii="Times New Roman" w:hAnsi="Times New Roman"/>
          <w:sz w:val="24"/>
          <w:szCs w:val="24"/>
        </w:rPr>
      </w:pPr>
      <w:r w:rsidRPr="003A2D44">
        <w:rPr>
          <w:rFonts w:ascii="Times New Roman" w:hAnsi="Times New Roman"/>
          <w:sz w:val="24"/>
          <w:szCs w:val="24"/>
        </w:rPr>
        <w:t xml:space="preserve">En ese sentido, el sustento del rechazo al que hace referencia el artículo 15° del Reglamento resulta ser que los diagnósticos realizados en abril y mayo de 2015, así como la operación de </w:t>
      </w:r>
      <w:r w:rsidRPr="003A2D44">
        <w:rPr>
          <w:rFonts w:ascii="Times New Roman" w:hAnsi="Times New Roman"/>
          <w:sz w:val="24"/>
          <w:szCs w:val="24"/>
        </w:rPr>
        <w:lastRenderedPageBreak/>
        <w:t>hernia lumbar del año 2005, habrían generado los diagnósticos que sustentan la invalidez total y permanente del reclamante. En buena cuenta, las preexistencias son las detalladas y son las que, según la Carta de Rechazo, justifican el rechazo.</w:t>
      </w:r>
    </w:p>
    <w:p w:rsidRPr="003A2D44" w:rsidR="003A2D44" w:rsidP="003A2D44" w:rsidRDefault="003A2D44" w14:paraId="5FD986E0" w14:textId="77777777">
      <w:pPr>
        <w:spacing w:after="0" w:line="240" w:lineRule="auto"/>
        <w:jc w:val="both"/>
        <w:rPr>
          <w:rFonts w:ascii="Times New Roman" w:hAnsi="Times New Roman"/>
          <w:sz w:val="24"/>
          <w:szCs w:val="24"/>
        </w:rPr>
      </w:pPr>
    </w:p>
    <w:p w:rsidRPr="003A2D44" w:rsidR="003A2D44" w:rsidP="003A2D44" w:rsidRDefault="003A2D44" w14:paraId="371825CE" w14:textId="77777777">
      <w:pPr>
        <w:spacing w:after="0" w:line="240" w:lineRule="auto"/>
        <w:jc w:val="both"/>
        <w:rPr>
          <w:rFonts w:ascii="Times New Roman" w:hAnsi="Times New Roman"/>
          <w:sz w:val="24"/>
          <w:szCs w:val="24"/>
        </w:rPr>
      </w:pPr>
      <w:r w:rsidRPr="003A2D44">
        <w:rPr>
          <w:rFonts w:ascii="Times New Roman" w:hAnsi="Times New Roman"/>
          <w:sz w:val="24"/>
          <w:szCs w:val="24"/>
        </w:rPr>
        <w:t xml:space="preserve">Ahora bien, establecido lo anterior, es necesario determinar si los diagnósticos que la aseguradora afirma que determinarían las “preexistencias”, en realidad cumplen con dicha calificación. Para ello, en primer lugar, debemos recordar que hemos descartado los diagnósticos abril y mayo de 2015 a los que hace referencia la Carta de Rechazo, ya que estos son posteriores al inicio de la vigencia de la póliza. En ese sentido, solo nos resta la operación de hernia lumbar del año 2005. No obstante, no se aprecia que se explique cómo es que dicha intervención habría generado, en los términos de la definición de “preexistencia” informada en la Carta de Rechazo, los diagnósticos de la invalidez total y permanente del reclamante. De este modo, el presente Colegiado no aprecia que la aseguradora haya explicado, de existir, la correlación directa entre la operación indicada y que esta haya generado, en su calidad de preexistencia, la invalidez total y permanente reclamada. </w:t>
      </w:r>
    </w:p>
    <w:p w:rsidRPr="003A2D44" w:rsidR="003A2D44" w:rsidP="003A2D44" w:rsidRDefault="003A2D44" w14:paraId="346F0EED" w14:textId="77777777">
      <w:pPr>
        <w:spacing w:after="0" w:line="240" w:lineRule="auto"/>
        <w:jc w:val="both"/>
        <w:rPr>
          <w:rFonts w:ascii="Times New Roman" w:hAnsi="Times New Roman"/>
          <w:sz w:val="24"/>
          <w:szCs w:val="24"/>
        </w:rPr>
      </w:pPr>
    </w:p>
    <w:p w:rsidRPr="003A2D44" w:rsidR="003A2D44" w:rsidP="003A2D44" w:rsidRDefault="003A2D44" w14:paraId="239C71B1" w14:textId="77777777">
      <w:pPr>
        <w:spacing w:after="0" w:line="240" w:lineRule="auto"/>
        <w:jc w:val="both"/>
        <w:rPr>
          <w:rFonts w:ascii="Times New Roman" w:hAnsi="Times New Roman"/>
          <w:sz w:val="24"/>
          <w:szCs w:val="24"/>
        </w:rPr>
      </w:pPr>
      <w:r w:rsidRPr="003A2D44">
        <w:rPr>
          <w:rFonts w:ascii="Times New Roman" w:hAnsi="Times New Roman"/>
          <w:sz w:val="24"/>
          <w:szCs w:val="24"/>
        </w:rPr>
        <w:t>Por lo señalado, atendiendo a que no se aprecia el detalle de la explicación de por qué los diagnósticos que determinan la incapacidad total y permanente del reclamante hayan sido “originados” por la operación de hernia lumbar del año 2005, es que el presente Colegiado considera que la Carta de Rechazo no se ajusta a lo establecido en el Reglamento. De este modo, atendiendo a que no se ha cumplido con lo establecido en el Reglamento, el rechazo no se ajusta a derecho.</w:t>
      </w:r>
    </w:p>
    <w:p w:rsidRPr="003A2D44" w:rsidR="003A2D44" w:rsidP="003A2D44" w:rsidRDefault="003A2D44" w14:paraId="43C253BD" w14:textId="77777777">
      <w:pPr>
        <w:spacing w:after="0" w:line="240" w:lineRule="auto"/>
        <w:jc w:val="both"/>
        <w:rPr>
          <w:rFonts w:ascii="Times New Roman" w:hAnsi="Times New Roman"/>
          <w:sz w:val="24"/>
          <w:szCs w:val="24"/>
        </w:rPr>
      </w:pPr>
    </w:p>
    <w:p w:rsidRPr="003A2D44" w:rsidR="003A2D44" w:rsidP="003A2D44" w:rsidRDefault="003A2D44" w14:paraId="11135B98" w14:textId="77777777">
      <w:pPr>
        <w:spacing w:after="0" w:line="240" w:lineRule="auto"/>
        <w:jc w:val="both"/>
        <w:rPr>
          <w:rFonts w:ascii="Times New Roman" w:hAnsi="Times New Roman"/>
          <w:sz w:val="24"/>
          <w:szCs w:val="24"/>
          <w:lang w:val="es-ES"/>
        </w:rPr>
      </w:pPr>
      <w:r w:rsidRPr="003A2D44">
        <w:rPr>
          <w:rFonts w:ascii="Times New Roman" w:hAnsi="Times New Roman"/>
          <w:b/>
          <w:sz w:val="24"/>
          <w:szCs w:val="24"/>
          <w:u w:val="single"/>
        </w:rPr>
        <w:t>Décimo:</w:t>
      </w:r>
      <w:r w:rsidRPr="003A2D44">
        <w:rPr>
          <w:rFonts w:ascii="Times New Roman" w:hAnsi="Times New Roman"/>
          <w:sz w:val="24"/>
          <w:szCs w:val="24"/>
        </w:rPr>
        <w:t xml:space="preserve"> Que,</w:t>
      </w:r>
      <w:r w:rsidRPr="003A2D44">
        <w:rPr>
          <w:rFonts w:ascii="Times New Roman" w:hAnsi="Times New Roman"/>
          <w:sz w:val="24"/>
          <w:szCs w:val="24"/>
          <w:lang w:val="es-ES"/>
        </w:rPr>
        <w:t xml:space="preserve"> sin perjuicio de lo indicado, debemos insistir en que el rechazo de una cobertura debe regirse conforme a lo dispuesto por el artículo 15° del Reglamento, tal como indicamos en el considerando previo. En ese sentido, una causal de rechazo solo lo será, en tanto cumpla con lo establecido en el Reglamento y se sustente detalladamente la razón. Por lo señalado, tal como hemos venido sosteniendo, el presente caso versa sobre un rechazo originado en la exclusión de preexistencias, tal como informa la aseguradora. </w:t>
      </w:r>
    </w:p>
    <w:p w:rsidRPr="003A2D44" w:rsidR="003A2D44" w:rsidP="003A2D44" w:rsidRDefault="003A2D44" w14:paraId="2EAD9935" w14:textId="77777777">
      <w:pPr>
        <w:spacing w:after="0" w:line="240" w:lineRule="auto"/>
        <w:jc w:val="both"/>
        <w:rPr>
          <w:rFonts w:ascii="Times New Roman" w:hAnsi="Times New Roman"/>
          <w:sz w:val="24"/>
          <w:szCs w:val="24"/>
          <w:lang w:val="es-ES"/>
        </w:rPr>
      </w:pPr>
    </w:p>
    <w:p w:rsidRPr="003A2D44" w:rsidR="003A2D44" w:rsidP="003A2D44" w:rsidRDefault="003A2D44" w14:paraId="54DB4891" w14:textId="77777777">
      <w:pPr>
        <w:spacing w:after="0" w:line="240" w:lineRule="auto"/>
        <w:jc w:val="both"/>
        <w:rPr>
          <w:rFonts w:ascii="Times New Roman" w:hAnsi="Times New Roman"/>
          <w:sz w:val="24"/>
          <w:szCs w:val="24"/>
          <w:lang w:val="es-ES"/>
        </w:rPr>
      </w:pPr>
      <w:r w:rsidRPr="003A2D44">
        <w:rPr>
          <w:rFonts w:ascii="Times New Roman" w:hAnsi="Times New Roman"/>
          <w:sz w:val="24"/>
          <w:szCs w:val="24"/>
          <w:lang w:val="es-ES"/>
        </w:rPr>
        <w:t>En vista de lo indicado, carece de objeto pronunciarse respecto del extremo referido a la Declaración Personal de Salud suscrita por el reclamante, toda vez que la Carta de Rechazo, si bien la menciona, nunca especifica detalladamente que ello sea la causal del rechazo. En ese sentido, mal haría el presente Colegiado al interpretar extensivamente las causales de rechazo, siendo que estas deben ser expresamente detalladas. De hecho, tal como insistimos, la Carta de Rechazo es bastante específica al momento de indicar que el rechazo se refiere a la exclusión por preexistencias, siendo que cualquier otro agregado resulta incidental y no puede generar una causal adicional.</w:t>
      </w:r>
    </w:p>
    <w:p w:rsidRPr="003A2D44" w:rsidR="003A2D44" w:rsidP="003A2D44" w:rsidRDefault="003A2D44" w14:paraId="7B7BB2FF" w14:textId="77777777">
      <w:pPr>
        <w:spacing w:after="0" w:line="240" w:lineRule="auto"/>
        <w:jc w:val="both"/>
        <w:rPr>
          <w:rFonts w:ascii="Times New Roman" w:hAnsi="Times New Roman"/>
          <w:sz w:val="24"/>
          <w:szCs w:val="24"/>
        </w:rPr>
      </w:pPr>
    </w:p>
    <w:p w:rsidRPr="003A2D44" w:rsidR="003A2D44" w:rsidP="003A2D44" w:rsidRDefault="003A2D44" w14:paraId="538ED60C" w14:textId="77777777">
      <w:pPr>
        <w:spacing w:after="0" w:line="240" w:lineRule="auto"/>
        <w:jc w:val="both"/>
        <w:rPr>
          <w:rFonts w:ascii="Times New Roman" w:hAnsi="Times New Roman"/>
          <w:sz w:val="24"/>
          <w:szCs w:val="24"/>
        </w:rPr>
      </w:pPr>
      <w:r w:rsidRPr="003A2D44">
        <w:rPr>
          <w:rFonts w:ascii="Times New Roman" w:hAnsi="Times New Roman"/>
          <w:sz w:val="24"/>
          <w:szCs w:val="24"/>
        </w:rPr>
        <w:t>En conclusión, el presente Colegiado considera que carece de objeto pronunciarse respecto de un extremo que no refiere a la causal sustentada en la Carta de Rechazo, siendo que ya se ha determinado que esta no se ajusta a lo dispuesto en el artículo 15° del Reglamento.</w:t>
      </w:r>
    </w:p>
    <w:p w:rsidRPr="003A2D44" w:rsidR="003A2D44" w:rsidP="003A2D44" w:rsidRDefault="003A2D44" w14:paraId="29B67C7A" w14:textId="77777777">
      <w:pPr>
        <w:spacing w:after="0" w:line="240" w:lineRule="auto"/>
        <w:jc w:val="both"/>
        <w:rPr>
          <w:rFonts w:ascii="Times New Roman" w:hAnsi="Times New Roman"/>
          <w:sz w:val="24"/>
          <w:szCs w:val="24"/>
        </w:rPr>
      </w:pPr>
    </w:p>
    <w:p w:rsidRPr="003A2D44" w:rsidR="003A2D44" w:rsidP="003A2D44" w:rsidRDefault="003A2D44" w14:paraId="58D2204C" w14:textId="77777777">
      <w:pPr>
        <w:spacing w:after="0" w:line="240" w:lineRule="auto"/>
        <w:jc w:val="both"/>
        <w:rPr>
          <w:rFonts w:ascii="Times New Roman" w:hAnsi="Times New Roman"/>
          <w:b/>
          <w:sz w:val="24"/>
          <w:szCs w:val="24"/>
        </w:rPr>
      </w:pPr>
      <w:r w:rsidRPr="003A2D44">
        <w:rPr>
          <w:rFonts w:ascii="Times New Roman" w:hAnsi="Times New Roman"/>
          <w:b/>
          <w:sz w:val="24"/>
          <w:szCs w:val="24"/>
        </w:rPr>
        <w:t xml:space="preserve">Atendiendo a lo expresado, este colegiado </w:t>
      </w:r>
      <w:r w:rsidRPr="003A2D44">
        <w:rPr>
          <w:rFonts w:ascii="Times New Roman" w:hAnsi="Times New Roman"/>
          <w:b/>
          <w:sz w:val="24"/>
          <w:szCs w:val="24"/>
          <w:lang w:val="es-ES"/>
        </w:rPr>
        <w:t>concluye su apreciación razonada y conjunta al amparo de lo establecido en su Reglamento, por lo que</w:t>
      </w:r>
      <w:r w:rsidRPr="003A2D44">
        <w:rPr>
          <w:rFonts w:ascii="Times New Roman" w:hAnsi="Times New Roman"/>
          <w:b/>
          <w:sz w:val="24"/>
          <w:szCs w:val="24"/>
        </w:rPr>
        <w:t xml:space="preserve"> resuelve:</w:t>
      </w:r>
    </w:p>
    <w:p w:rsidRPr="003A2D44" w:rsidR="003A2D44" w:rsidP="003A2D44" w:rsidRDefault="003A2D44" w14:paraId="102DE47F" w14:textId="77777777">
      <w:pPr>
        <w:spacing w:after="0" w:line="240" w:lineRule="auto"/>
        <w:jc w:val="both"/>
        <w:rPr>
          <w:rFonts w:ascii="Times New Roman" w:hAnsi="Times New Roman"/>
          <w:sz w:val="24"/>
          <w:szCs w:val="24"/>
          <w:lang w:val="es-ES"/>
        </w:rPr>
      </w:pPr>
    </w:p>
    <w:p w:rsidRPr="003A2D44" w:rsidR="003A2D44" w:rsidP="003A2D44" w:rsidRDefault="003A2D44" w14:paraId="4BA38A4B" w14:textId="0198F45F">
      <w:pPr>
        <w:spacing w:after="0" w:line="240" w:lineRule="auto"/>
        <w:jc w:val="both"/>
        <w:rPr>
          <w:rFonts w:ascii="Times New Roman" w:hAnsi="Times New Roman"/>
          <w:sz w:val="24"/>
          <w:szCs w:val="24"/>
        </w:rPr>
      </w:pPr>
      <w:r w:rsidRPr="74BBE05B" w:rsidR="003A2D44">
        <w:rPr>
          <w:rFonts w:ascii="Times New Roman" w:hAnsi="Times New Roman"/>
          <w:sz w:val="24"/>
          <w:szCs w:val="24"/>
        </w:rPr>
        <w:t xml:space="preserve">Declarar </w:t>
      </w:r>
      <w:r w:rsidRPr="74BBE05B" w:rsidR="003A2D44">
        <w:rPr>
          <w:rFonts w:ascii="Times New Roman" w:hAnsi="Times New Roman"/>
          <w:b w:val="1"/>
          <w:bCs w:val="1"/>
          <w:sz w:val="24"/>
          <w:szCs w:val="24"/>
        </w:rPr>
        <w:t xml:space="preserve">FUNDADA </w:t>
      </w:r>
      <w:r w:rsidRPr="74BBE05B" w:rsidR="003A2D44">
        <w:rPr>
          <w:rFonts w:ascii="Times New Roman" w:hAnsi="Times New Roman"/>
          <w:sz w:val="24"/>
          <w:szCs w:val="24"/>
        </w:rPr>
        <w:t xml:space="preserve">la reclamación interpuesta por don </w:t>
      </w:r>
      <w:r w:rsidRPr="74BBE05B" w:rsidR="3D4DD1D6">
        <w:rPr>
          <w:rFonts w:ascii="Times New Roman" w:hAnsi="Times New Roman"/>
          <w:b w:val="1"/>
          <w:bCs w:val="1"/>
          <w:sz w:val="24"/>
          <w:szCs w:val="24"/>
          <w:lang w:val="en-US"/>
        </w:rPr>
        <w:t>............................................................</w:t>
      </w:r>
      <w:r w:rsidRPr="74BBE05B" w:rsidR="003A2D44">
        <w:rPr>
          <w:rFonts w:ascii="Times New Roman" w:hAnsi="Times New Roman"/>
          <w:b w:val="1"/>
          <w:bCs w:val="1"/>
          <w:sz w:val="24"/>
          <w:szCs w:val="24"/>
        </w:rPr>
        <w:t xml:space="preserve"> </w:t>
      </w:r>
      <w:r w:rsidRPr="74BBE05B" w:rsidR="003A2D44">
        <w:rPr>
          <w:rFonts w:ascii="Times New Roman" w:hAnsi="Times New Roman"/>
          <w:sz w:val="24"/>
          <w:szCs w:val="24"/>
        </w:rPr>
        <w:t xml:space="preserve">contra </w:t>
      </w:r>
      <w:r w:rsidRPr="74BBE05B" w:rsidR="7735BFA2">
        <w:rPr>
          <w:rFonts w:ascii="Times New Roman" w:hAnsi="Times New Roman"/>
          <w:b w:val="1"/>
          <w:bCs w:val="1"/>
          <w:sz w:val="24"/>
          <w:szCs w:val="24"/>
        </w:rPr>
        <w:t>................................................................................</w:t>
      </w:r>
      <w:r w:rsidRPr="74BBE05B" w:rsidR="003A2D44">
        <w:rPr>
          <w:rFonts w:ascii="Times New Roman" w:hAnsi="Times New Roman"/>
          <w:sz w:val="24"/>
          <w:szCs w:val="24"/>
        </w:rPr>
        <w:t>, dejando a salvo el derecho de las partes de acudir ante las instancias que estimen pertinentes.</w:t>
      </w:r>
    </w:p>
    <w:p w:rsidRPr="00045EF3" w:rsidR="0014184D" w:rsidP="00753D6A" w:rsidRDefault="0014184D" w14:paraId="4B5922D3" w14:textId="77777777">
      <w:pPr>
        <w:spacing w:after="0" w:line="240" w:lineRule="auto"/>
        <w:jc w:val="both"/>
        <w:rPr>
          <w:rFonts w:ascii="Times New Roman" w:hAnsi="Times New Roman"/>
          <w:sz w:val="24"/>
          <w:szCs w:val="24"/>
        </w:rPr>
      </w:pPr>
    </w:p>
    <w:p w:rsidRPr="00045EF3" w:rsidR="007E21A6" w:rsidP="00F3482B" w:rsidRDefault="00D00142" w14:paraId="2DE1D337" w14:textId="1C9894A8">
      <w:pPr>
        <w:jc w:val="right"/>
        <w:rPr>
          <w:rFonts w:ascii="Times New Roman" w:hAnsi="Times New Roman"/>
          <w:sz w:val="24"/>
          <w:szCs w:val="24"/>
        </w:rPr>
      </w:pPr>
      <w:r w:rsidRPr="00045EF3">
        <w:rPr>
          <w:rFonts w:ascii="Times New Roman" w:hAnsi="Times New Roman"/>
          <w:sz w:val="24"/>
          <w:szCs w:val="24"/>
        </w:rPr>
        <w:t>Lima,</w:t>
      </w:r>
      <w:r w:rsidRPr="00045EF3" w:rsidR="0034229F">
        <w:rPr>
          <w:rFonts w:ascii="Times New Roman" w:hAnsi="Times New Roman"/>
          <w:sz w:val="24"/>
          <w:szCs w:val="24"/>
        </w:rPr>
        <w:t xml:space="preserve"> </w:t>
      </w:r>
      <w:r w:rsidRPr="00045EF3" w:rsidR="00A217F0">
        <w:rPr>
          <w:rFonts w:ascii="Times New Roman" w:hAnsi="Times New Roman"/>
          <w:sz w:val="24"/>
          <w:szCs w:val="24"/>
        </w:rPr>
        <w:t>0</w:t>
      </w:r>
      <w:r w:rsidR="001C35BC">
        <w:rPr>
          <w:rFonts w:ascii="Times New Roman" w:hAnsi="Times New Roman"/>
          <w:sz w:val="24"/>
          <w:szCs w:val="24"/>
        </w:rPr>
        <w:t>3</w:t>
      </w:r>
      <w:r w:rsidRPr="00045EF3" w:rsidR="008B7675">
        <w:rPr>
          <w:rFonts w:ascii="Times New Roman" w:hAnsi="Times New Roman"/>
          <w:sz w:val="24"/>
          <w:szCs w:val="24"/>
        </w:rPr>
        <w:t xml:space="preserve"> </w:t>
      </w:r>
      <w:r w:rsidRPr="00045EF3">
        <w:rPr>
          <w:rFonts w:ascii="Times New Roman" w:hAnsi="Times New Roman"/>
          <w:sz w:val="24"/>
          <w:szCs w:val="24"/>
        </w:rPr>
        <w:t>de</w:t>
      </w:r>
      <w:r w:rsidRPr="00045EF3" w:rsidR="00D874A8">
        <w:rPr>
          <w:rFonts w:ascii="Times New Roman" w:hAnsi="Times New Roman"/>
          <w:sz w:val="24"/>
          <w:szCs w:val="24"/>
        </w:rPr>
        <w:t xml:space="preserve"> </w:t>
      </w:r>
      <w:r w:rsidRPr="00045EF3" w:rsidR="00A217F0">
        <w:rPr>
          <w:rFonts w:ascii="Times New Roman" w:hAnsi="Times New Roman"/>
          <w:sz w:val="24"/>
          <w:szCs w:val="24"/>
        </w:rPr>
        <w:t>diciembre</w:t>
      </w:r>
      <w:r w:rsidRPr="00045EF3" w:rsidR="000A7BCF">
        <w:rPr>
          <w:rFonts w:ascii="Times New Roman" w:hAnsi="Times New Roman"/>
          <w:sz w:val="24"/>
          <w:szCs w:val="24"/>
        </w:rPr>
        <w:t xml:space="preserve"> </w:t>
      </w:r>
      <w:r w:rsidRPr="00045EF3">
        <w:rPr>
          <w:rFonts w:ascii="Times New Roman" w:hAnsi="Times New Roman"/>
          <w:sz w:val="24"/>
          <w:szCs w:val="24"/>
        </w:rPr>
        <w:t>de 202</w:t>
      </w:r>
      <w:r w:rsidRPr="00045EF3" w:rsidR="00BF08F9">
        <w:rPr>
          <w:rFonts w:ascii="Times New Roman" w:hAnsi="Times New Roman"/>
          <w:sz w:val="24"/>
          <w:szCs w:val="24"/>
        </w:rPr>
        <w:t>4</w:t>
      </w:r>
    </w:p>
    <w:p w:rsidRPr="00045EF3" w:rsidR="00922F8A" w:rsidP="001A4E48" w:rsidRDefault="00922F8A" w14:paraId="370F6A9B" w14:textId="45F0A5A9">
      <w:pPr>
        <w:jc w:val="center"/>
        <w:rPr>
          <w:rFonts w:ascii="Times New Roman" w:hAnsi="Times New Roman"/>
          <w:b/>
          <w:bCs/>
          <w:i/>
          <w:iCs/>
          <w:sz w:val="24"/>
          <w:szCs w:val="24"/>
          <w:lang w:val="es-ES_tradnl"/>
        </w:rPr>
      </w:pPr>
      <w:r w:rsidRPr="00045EF3">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45EF3" w:rsidR="00922F8A" w:rsidP="00922F8A" w:rsidRDefault="00922F8A" w14:paraId="0EA87B59" w14:textId="77777777">
      <w:pPr>
        <w:spacing w:line="240" w:lineRule="auto"/>
        <w:jc w:val="center"/>
        <w:rPr>
          <w:rFonts w:ascii="Times New Roman" w:hAnsi="Times New Roman"/>
          <w:b/>
          <w:bCs/>
          <w:sz w:val="24"/>
          <w:szCs w:val="24"/>
        </w:rPr>
      </w:pPr>
      <w:r w:rsidRPr="00045EF3">
        <w:rPr>
          <w:rFonts w:ascii="Times New Roman" w:hAnsi="Times New Roman"/>
          <w:b/>
          <w:bCs/>
          <w:sz w:val="24"/>
          <w:szCs w:val="24"/>
        </w:rPr>
        <w:t>Rolando Eyzaguirre Maccan – Presidente</w:t>
      </w:r>
    </w:p>
    <w:p w:rsidRPr="00045EF3" w:rsidR="00922F8A" w:rsidP="00922F8A" w:rsidRDefault="00922F8A" w14:paraId="7090BA3B" w14:textId="77777777">
      <w:pPr>
        <w:spacing w:line="240" w:lineRule="auto"/>
        <w:jc w:val="center"/>
        <w:rPr>
          <w:rFonts w:ascii="Times New Roman" w:hAnsi="Times New Roman"/>
          <w:b/>
          <w:bCs/>
          <w:sz w:val="24"/>
          <w:szCs w:val="24"/>
        </w:rPr>
      </w:pPr>
      <w:r w:rsidRPr="00045EF3">
        <w:rPr>
          <w:rFonts w:ascii="Times New Roman" w:hAnsi="Times New Roman"/>
          <w:b/>
          <w:bCs/>
          <w:sz w:val="24"/>
          <w:szCs w:val="24"/>
        </w:rPr>
        <w:t>María Eugenia Valdez Fernández Baca – Vocal</w:t>
      </w:r>
    </w:p>
    <w:p w:rsidRPr="00045EF3" w:rsidR="00922F8A" w:rsidP="00922F8A" w:rsidRDefault="00922F8A" w14:paraId="7B454C69" w14:textId="77777777">
      <w:pPr>
        <w:spacing w:line="240" w:lineRule="auto"/>
        <w:jc w:val="center"/>
        <w:rPr>
          <w:rFonts w:ascii="Times New Roman" w:hAnsi="Times New Roman"/>
          <w:b/>
          <w:bCs/>
          <w:sz w:val="24"/>
          <w:szCs w:val="24"/>
        </w:rPr>
      </w:pPr>
      <w:r w:rsidRPr="00045EF3">
        <w:rPr>
          <w:rFonts w:ascii="Times New Roman" w:hAnsi="Times New Roman"/>
          <w:b/>
          <w:bCs/>
          <w:sz w:val="24"/>
          <w:szCs w:val="24"/>
        </w:rPr>
        <w:t>Omar Alfaro Villanueva – Vocal</w:t>
      </w:r>
    </w:p>
    <w:p w:rsidRPr="00045EF3" w:rsidR="00922F8A" w:rsidP="00922F8A" w:rsidRDefault="00922F8A" w14:paraId="2C915666" w14:textId="77777777">
      <w:pPr>
        <w:spacing w:line="240" w:lineRule="auto"/>
        <w:jc w:val="center"/>
        <w:rPr>
          <w:rFonts w:ascii="Times New Roman" w:hAnsi="Times New Roman"/>
          <w:sz w:val="24"/>
          <w:szCs w:val="24"/>
          <w:lang w:val="es-MX"/>
        </w:rPr>
      </w:pPr>
      <w:r w:rsidRPr="00045EF3">
        <w:rPr>
          <w:rFonts w:ascii="Times New Roman" w:hAnsi="Times New Roman"/>
          <w:b/>
          <w:bCs/>
          <w:sz w:val="24"/>
          <w:szCs w:val="24"/>
        </w:rPr>
        <w:t>Gonzalo Abad del Busto - Vocal</w:t>
      </w:r>
    </w:p>
    <w:p w:rsidRPr="00045EF3" w:rsidR="000341A4" w:rsidP="001D5079" w:rsidRDefault="000341A4" w14:paraId="78842804" w14:textId="77777777">
      <w:pPr>
        <w:jc w:val="both"/>
        <w:rPr>
          <w:rFonts w:ascii="Times New Roman" w:hAnsi="Times New Roman"/>
          <w:sz w:val="24"/>
          <w:szCs w:val="24"/>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781D" w:rsidP="00722F1A" w:rsidRDefault="005B781D" w14:paraId="3E3E735D" w14:textId="77777777">
      <w:pPr>
        <w:spacing w:after="0" w:line="240" w:lineRule="auto"/>
      </w:pPr>
      <w:r>
        <w:separator/>
      </w:r>
    </w:p>
  </w:endnote>
  <w:endnote w:type="continuationSeparator" w:id="0">
    <w:p w:rsidR="005B781D" w:rsidP="00722F1A" w:rsidRDefault="005B781D" w14:paraId="36BEA39D" w14:textId="77777777">
      <w:pPr>
        <w:spacing w:after="0" w:line="240" w:lineRule="auto"/>
      </w:pPr>
      <w:r>
        <w:continuationSeparator/>
      </w:r>
    </w:p>
  </w:endnote>
  <w:endnote w:type="continuationNotice" w:id="1">
    <w:p w:rsidR="005B781D" w:rsidRDefault="005B781D" w14:paraId="341A848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781D" w:rsidP="00722F1A" w:rsidRDefault="005B781D" w14:paraId="4124198C" w14:textId="77777777">
      <w:pPr>
        <w:spacing w:after="0" w:line="240" w:lineRule="auto"/>
      </w:pPr>
      <w:r>
        <w:separator/>
      </w:r>
    </w:p>
  </w:footnote>
  <w:footnote w:type="continuationSeparator" w:id="0">
    <w:p w:rsidR="005B781D" w:rsidP="00722F1A" w:rsidRDefault="005B781D" w14:paraId="6EFB4698" w14:textId="77777777">
      <w:pPr>
        <w:spacing w:after="0" w:line="240" w:lineRule="auto"/>
      </w:pPr>
      <w:r>
        <w:continuationSeparator/>
      </w:r>
    </w:p>
  </w:footnote>
  <w:footnote w:type="continuationNotice" w:id="1">
    <w:p w:rsidR="005B781D" w:rsidRDefault="005B781D" w14:paraId="233A290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E531C"/>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54E1"/>
    <w:rsid w:val="00936470"/>
    <w:rsid w:val="0093654E"/>
    <w:rsid w:val="00937046"/>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134E919"/>
    <w:rsid w:val="04C683EA"/>
    <w:rsid w:val="07D8A562"/>
    <w:rsid w:val="0D3BAC50"/>
    <w:rsid w:val="163FE56F"/>
    <w:rsid w:val="1C774C82"/>
    <w:rsid w:val="28F81F30"/>
    <w:rsid w:val="2C941A4B"/>
    <w:rsid w:val="32CC49C3"/>
    <w:rsid w:val="390A7B57"/>
    <w:rsid w:val="3D35D484"/>
    <w:rsid w:val="3D4DD1D6"/>
    <w:rsid w:val="442300C1"/>
    <w:rsid w:val="4A91447A"/>
    <w:rsid w:val="53207D5A"/>
    <w:rsid w:val="56C9B278"/>
    <w:rsid w:val="598204AA"/>
    <w:rsid w:val="6F322537"/>
    <w:rsid w:val="74BBE05B"/>
    <w:rsid w:val="753A60DF"/>
    <w:rsid w:val="7735BFA2"/>
    <w:rsid w:val="785B165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37A2350-1AC3-4D59-B839-FF68FA98BB36}"/>
</file>

<file path=customXml/itemProps3.xml><?xml version="1.0" encoding="utf-8"?>
<ds:datastoreItem xmlns:ds="http://schemas.openxmlformats.org/officeDocument/2006/customXml" ds:itemID="{FD238E0B-696C-4CF0-A947-4923B3D4ECDC}"/>
</file>

<file path=customXml/itemProps4.xml><?xml version="1.0" encoding="utf-8"?>
<ds:datastoreItem xmlns:ds="http://schemas.openxmlformats.org/officeDocument/2006/customXml" ds:itemID="{804DC4B2-9240-462A-A38C-E73E800290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1077</cp:revision>
  <cp:lastPrinted>2024-12-04T16:28:00Z</cp:lastPrinted>
  <dcterms:created xsi:type="dcterms:W3CDTF">2022-12-22T22:59:00Z</dcterms:created>
  <dcterms:modified xsi:type="dcterms:W3CDTF">2025-11-19T17:08:11Z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