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806BD8" w:rsidR="00365C1E" w:rsidP="00365C1E" w:rsidRDefault="00D00142" w14:paraId="08A09AC2" w14:textId="220F5B4C">
      <w:pPr>
        <w:pStyle w:val="Puesto"/>
        <w:tabs>
          <w:tab w:val="left" w:pos="2730"/>
          <w:tab w:val="center" w:pos="4419"/>
        </w:tabs>
        <w:outlineLvl w:val="0"/>
        <w:rPr>
          <w:rStyle w:val="Textoennegrita"/>
          <w:b/>
          <w:bCs/>
          <w:lang w:val="es-ES"/>
        </w:rPr>
      </w:pPr>
      <w:r w:rsidRPr="00806BD8">
        <w:rPr>
          <w:rStyle w:val="Textoennegrita"/>
          <w:b/>
          <w:bCs/>
          <w:lang w:val="es-ES"/>
        </w:rPr>
        <w:t>RESOLUCION N°</w:t>
      </w:r>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Pr="00806BD8" w:rsidR="00EA6BC3">
        <w:rPr>
          <w:rStyle w:val="Textoennegrita"/>
          <w:b/>
          <w:bCs/>
          <w:lang w:val="es-ES"/>
        </w:rPr>
        <w:t>0</w:t>
      </w:r>
      <w:r w:rsidRPr="00806BD8">
        <w:rPr>
          <w:rStyle w:val="Textoennegrita"/>
          <w:b/>
          <w:bCs/>
          <w:lang w:val="es-ES"/>
        </w:rPr>
        <w:t>/2</w:t>
      </w:r>
      <w:r w:rsidRPr="00806BD8" w:rsidR="004B168E">
        <w:rPr>
          <w:rStyle w:val="Textoennegrita"/>
          <w:b/>
          <w:bCs/>
          <w:lang w:val="es-ES"/>
        </w:rPr>
        <w:t>4</w:t>
      </w:r>
    </w:p>
    <w:p w:rsidRPr="00806BD8" w:rsidR="00365C1E" w:rsidP="00365C1E" w:rsidRDefault="00365C1E" w14:paraId="17E7CA2D" w14:textId="77777777">
      <w:pPr>
        <w:pStyle w:val="Puesto"/>
        <w:tabs>
          <w:tab w:val="left" w:pos="2730"/>
          <w:tab w:val="center" w:pos="4419"/>
        </w:tabs>
        <w:outlineLvl w:val="0"/>
        <w:rPr>
          <w:lang w:val="es-ES"/>
        </w:rPr>
      </w:pPr>
    </w:p>
    <w:p w:rsidRPr="00806BD8" w:rsidR="00806BD8" w:rsidP="00806BD8" w:rsidRDefault="00806BD8" w14:paraId="464451E7" w14:textId="77777777">
      <w:pPr>
        <w:jc w:val="both"/>
        <w:rPr>
          <w:rFonts w:ascii="Times New Roman" w:hAnsi="Times New Roman"/>
          <w:sz w:val="24"/>
          <w:szCs w:val="24"/>
        </w:rPr>
      </w:pPr>
      <w:r w:rsidRPr="00806BD8">
        <w:rPr>
          <w:rStyle w:val="Textoennegrita"/>
          <w:rFonts w:ascii="Times New Roman" w:hAnsi="Times New Roman"/>
          <w:sz w:val="24"/>
          <w:szCs w:val="24"/>
        </w:rPr>
        <w:t>VISTOS:</w:t>
      </w:r>
    </w:p>
    <w:p w:rsidRPr="00806BD8" w:rsidR="00806BD8" w:rsidP="00806BD8" w:rsidRDefault="00806BD8" w14:paraId="1337A47E" w14:textId="5954B6E1">
      <w:pPr>
        <w:jc w:val="both"/>
        <w:rPr>
          <w:rFonts w:ascii="Times New Roman" w:hAnsi="Times New Roman"/>
          <w:sz w:val="24"/>
          <w:szCs w:val="24"/>
        </w:rPr>
      </w:pPr>
      <w:r w:rsidRPr="363341A2" w:rsidR="00806BD8">
        <w:rPr>
          <w:rFonts w:ascii="Times New Roman" w:hAnsi="Times New Roman"/>
          <w:sz w:val="24"/>
          <w:szCs w:val="24"/>
        </w:rPr>
        <w:t xml:space="preserve">Que, don </w:t>
      </w:r>
      <w:r w:rsidRPr="363341A2" w:rsidR="3A08C6B0">
        <w:rPr>
          <w:rFonts w:ascii="Times New Roman" w:hAnsi="Times New Roman"/>
          <w:b w:val="1"/>
          <w:bCs w:val="1"/>
          <w:sz w:val="24"/>
          <w:szCs w:val="24"/>
        </w:rPr>
        <w:t>..............................................</w:t>
      </w:r>
      <w:r w:rsidRPr="363341A2" w:rsidR="00806BD8">
        <w:rPr>
          <w:rFonts w:ascii="Times New Roman" w:hAnsi="Times New Roman"/>
          <w:b w:val="1"/>
          <w:bCs w:val="1"/>
          <w:sz w:val="24"/>
          <w:szCs w:val="24"/>
        </w:rPr>
        <w:t xml:space="preserve"> </w:t>
      </w:r>
      <w:r w:rsidRPr="363341A2" w:rsidR="00806BD8">
        <w:rPr>
          <w:rFonts w:ascii="Times New Roman" w:hAnsi="Times New Roman"/>
          <w:sz w:val="24"/>
          <w:szCs w:val="24"/>
        </w:rPr>
        <w:t xml:space="preserve">(en adelante, el reclamante) interpone reclamación ante esta Defensoría del Asegurado (DEFASEG), solicitando que </w:t>
      </w:r>
      <w:r w:rsidRPr="363341A2" w:rsidR="1C1C400F">
        <w:rPr>
          <w:rFonts w:ascii="Times New Roman" w:hAnsi="Times New Roman"/>
          <w:b w:val="1"/>
          <w:bCs w:val="1"/>
          <w:sz w:val="24"/>
          <w:szCs w:val="24"/>
        </w:rPr>
        <w:t>..............................................................................</w:t>
      </w:r>
      <w:r w:rsidRPr="363341A2" w:rsidR="00806BD8">
        <w:rPr>
          <w:rFonts w:ascii="Times New Roman" w:hAnsi="Times New Roman"/>
          <w:b w:val="1"/>
          <w:bCs w:val="1"/>
          <w:sz w:val="24"/>
          <w:szCs w:val="24"/>
        </w:rPr>
        <w:t xml:space="preserve"> </w:t>
      </w:r>
      <w:r w:rsidRPr="363341A2" w:rsidR="00806BD8">
        <w:rPr>
          <w:rFonts w:ascii="Times New Roman" w:hAnsi="Times New Roman"/>
          <w:sz w:val="24"/>
          <w:szCs w:val="24"/>
        </w:rPr>
        <w:t>(en adelante, la aseguradora)</w:t>
      </w:r>
      <w:r w:rsidRPr="363341A2" w:rsidR="00806BD8">
        <w:rPr>
          <w:rFonts w:ascii="Times New Roman" w:hAnsi="Times New Roman"/>
          <w:b w:val="1"/>
          <w:bCs w:val="1"/>
          <w:sz w:val="24"/>
          <w:szCs w:val="24"/>
        </w:rPr>
        <w:t xml:space="preserve"> </w:t>
      </w:r>
      <w:r w:rsidRPr="363341A2" w:rsidR="00806BD8">
        <w:rPr>
          <w:rFonts w:ascii="Times New Roman" w:hAnsi="Times New Roman"/>
          <w:sz w:val="24"/>
          <w:szCs w:val="24"/>
        </w:rPr>
        <w:t xml:space="preserve">apruebe su solicitud de cobertura por concepto de la </w:t>
      </w:r>
      <w:r w:rsidRPr="363341A2" w:rsidR="00806BD8">
        <w:rPr>
          <w:rFonts w:ascii="Times New Roman" w:hAnsi="Times New Roman"/>
          <w:sz w:val="24"/>
          <w:szCs w:val="24"/>
        </w:rPr>
        <w:t>Póliza Vehicular Nro.</w:t>
      </w:r>
      <w:r w:rsidRPr="363341A2" w:rsidR="351588F8">
        <w:rPr>
          <w:rFonts w:ascii="Times New Roman" w:hAnsi="Times New Roman"/>
          <w:sz w:val="24"/>
          <w:szCs w:val="24"/>
        </w:rPr>
        <w:t>..................................</w:t>
      </w:r>
      <w:r w:rsidRPr="363341A2" w:rsidR="00806BD8">
        <w:rPr>
          <w:rFonts w:ascii="Times New Roman" w:hAnsi="Times New Roman"/>
          <w:sz w:val="24"/>
          <w:szCs w:val="24"/>
        </w:rPr>
        <w:t xml:space="preserve"> (en adelante, la Póliza).</w:t>
      </w:r>
    </w:p>
    <w:p w:rsidRPr="00806BD8" w:rsidR="00806BD8" w:rsidP="00806BD8" w:rsidRDefault="00806BD8" w14:paraId="303CE236" w14:textId="77777777">
      <w:pPr>
        <w:jc w:val="both"/>
        <w:rPr>
          <w:rFonts w:ascii="Times New Roman" w:hAnsi="Times New Roman" w:eastAsia="Arial Unicode MS"/>
          <w:sz w:val="24"/>
          <w:szCs w:val="24"/>
        </w:rPr>
      </w:pPr>
      <w:r w:rsidRPr="00806BD8">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806BD8" w:rsidR="00806BD8" w:rsidP="00806BD8" w:rsidRDefault="00806BD8" w14:paraId="7C4FEE62" w14:textId="77777777">
      <w:pPr>
        <w:tabs>
          <w:tab w:val="num" w:pos="720"/>
        </w:tabs>
        <w:jc w:val="both"/>
        <w:rPr>
          <w:rFonts w:ascii="Times New Roman" w:hAnsi="Times New Roman"/>
          <w:sz w:val="24"/>
          <w:szCs w:val="24"/>
        </w:rPr>
      </w:pPr>
      <w:r w:rsidRPr="00806BD8">
        <w:rPr>
          <w:rFonts w:ascii="Times New Roman" w:hAnsi="Times New Roman"/>
          <w:sz w:val="24"/>
          <w:szCs w:val="24"/>
        </w:rPr>
        <w:t>Que, habiéndosele corrido traslado de la respectiva reclamación, la aseguradora presentó sus respectivos descargos y la documentación solicitada;</w:t>
      </w:r>
    </w:p>
    <w:p w:rsidRPr="00806BD8" w:rsidR="00806BD8" w:rsidP="00806BD8" w:rsidRDefault="00806BD8" w14:paraId="3D677BB5" w14:textId="77777777">
      <w:pPr>
        <w:tabs>
          <w:tab w:val="num" w:pos="720"/>
        </w:tabs>
        <w:jc w:val="both"/>
        <w:rPr>
          <w:rFonts w:ascii="Times New Roman" w:hAnsi="Times New Roman"/>
          <w:sz w:val="24"/>
          <w:szCs w:val="24"/>
        </w:rPr>
      </w:pPr>
      <w:r w:rsidRPr="00806BD8">
        <w:rPr>
          <w:rFonts w:ascii="Times New Roman" w:hAnsi="Times New Roman"/>
          <w:sz w:val="24"/>
          <w:szCs w:val="24"/>
        </w:rPr>
        <w:t>Que, el 07 de octubre de 2024 se realizó la audiencia virtual de vista con la concurrencia de ambas partes, quienes tuvieron oportunidad de exponer sus respectivas posiciones tratándose de la materia reclamada, absolviendo las diversas preguntas que les fueron formuladas. Asimismo, en dicha ocasión se otorgó un plazo de cuatro (04) días al reclamante, para que presente su desistimiento ante Indecopi con el respectivo cargo de entrega, a fin de que la DEFASEG se pueda pronunciar;</w:t>
      </w:r>
    </w:p>
    <w:p w:rsidRPr="00806BD8" w:rsidR="00806BD8" w:rsidP="00806BD8" w:rsidRDefault="00806BD8" w14:paraId="47ED098E" w14:textId="77777777">
      <w:pPr>
        <w:jc w:val="both"/>
        <w:rPr>
          <w:rFonts w:ascii="Times New Roman" w:hAnsi="Times New Roman"/>
          <w:sz w:val="24"/>
          <w:szCs w:val="24"/>
        </w:rPr>
      </w:pPr>
      <w:r w:rsidRPr="00806BD8">
        <w:rPr>
          <w:rFonts w:ascii="Times New Roman" w:hAnsi="Times New Roman"/>
          <w:sz w:val="24"/>
          <w:szCs w:val="24"/>
        </w:rPr>
        <w:t xml:space="preserve">Que, en síntesis, el reclamante manifiesta lo siguiente: a) la aseguradora ha rechazado la cobertura de un siniestro. En el rechazo se señala que, ante un siniestro, es obligación del asegurado presentar una denuncia policial, realizar el dosaje etílico y reportar de manera inmediata el incidente; b) el siniestro fue reportado de manera inmediata a la aseguradora. Sin embargo, señala que ni la persona que lo atendió por teléfono ni la que acudió en su auxilio le solicitaron la denuncia policial ni el dosaje etílico; c) de haberlo requerido, habría cumplido con estos procedimientos. Además, menciona que, en casos anteriores similares, la aseguradora ha otorgado la cobertura sin exigir tales requisitos; d) el siniestro ocurrió el 26 de abril de 2024, aproximadamente a las 11:00 p.m., en la intersección de la Av. Tomás Marsano con Angamos. La llanta delantera izquierda de su vehículo sufrió un pinchazo al pasar sobre un buzón mal tapado; e) al estar en medio de la vía, decidió avanzar hasta un Primax. Señala que no hubo colisión con otro vehículo u objeto, ni terceros involucrados, ni daños mayores al vehículo que pudieran considerarse como un "siniestro" o "accidente". En ese momento, solo requería cambiar la llanta, por lo que lo consideró una necesidad de "asistencia/auxilio mecánico"; f) desde el grifo, intentó solicitar ayuda a la aseguradora a través de su aplicación, eligiendo la opción de "Asistencia Vehicular" y no "Reportar Choque", ya que esta opción se ajustaba mejor a lo ocurrido; g) decidió realizar la solicitud a través de la línea telefónica. En ningún momento el ejecutivo que lo atendió, le mencionó que el evento debía ser catalogado como "siniestro" o "accidente". Tampoco le indicó que debía presentar una denuncia en una comisaría, pasar un dosaje etílico o que era necesaria la presencia policial; h) el 27 de abril de 2023, alrededor de las 5:00 p.m., volvió a utilizar su vehículo y notó que se habían activado diversas alarmas en el tablero, las cuales no se presentaron entre el momento del pinchazo y su llegada a casa tras cambiar la llanta. Ante </w:t>
      </w:r>
      <w:r w:rsidRPr="00806BD8">
        <w:rPr>
          <w:rFonts w:ascii="Times New Roman" w:hAnsi="Times New Roman"/>
          <w:sz w:val="24"/>
          <w:szCs w:val="24"/>
        </w:rPr>
        <w:lastRenderedPageBreak/>
        <w:t>esta situación, llamó nuevamente a la aseguradora para reportar lo sucedido; i) el evento sí fue reportado de manera inmediata, aunque fue tratado como "asistencia vehicular" y no como "siniestro" o "accidente", ya que nadie podría haber imaginado que un pinchazo causaría las alertas en el vehículo; j) no realizó una denuncia policial ni pasó un dosaje etílico porque el ejecutivo nunca lo indicó. Cuando informó sobre las alertas horas después, el segundo ejecutivo le comunicó que ya era demasiado tarde para realizar estos procedimientos; k) el segundo ejecutivo es quien le recomendó que detallara el caso y enviara fotos del vehículo a un correo de la aseguradora. En las fotos enviadas, se puede observar que el vehículo no presenta ningún signo de haber sufrido un "siniestro o accidente", y que únicamente se evidencia un pinchazo en la llanta; l) como usuario civil, no conoce "a la letra" las condiciones ni los procedimientos de su seguro, y que confía en las indicaciones y sugerencias de los ejecutivos de la compañía;</w:t>
      </w:r>
    </w:p>
    <w:p w:rsidRPr="00806BD8" w:rsidR="00806BD8" w:rsidP="00806BD8" w:rsidRDefault="00806BD8" w14:paraId="383B48FC" w14:textId="41341C6C">
      <w:pPr>
        <w:jc w:val="both"/>
        <w:rPr>
          <w:rFonts w:ascii="Times New Roman" w:hAnsi="Times New Roman"/>
          <w:sz w:val="24"/>
          <w:szCs w:val="24"/>
        </w:rPr>
      </w:pPr>
      <w:r w:rsidRPr="363341A2" w:rsidR="00806BD8">
        <w:rPr>
          <w:rFonts w:ascii="Times New Roman" w:hAnsi="Times New Roman"/>
          <w:sz w:val="24"/>
          <w:szCs w:val="24"/>
        </w:rPr>
        <w:t xml:space="preserve">Que, por su parte, la aseguradora sustenta su posición resumidamente en lo siguiente: a) el 26 de abril de 2023, el reclamante sufrió un siniestro, cuando la llanta delantera izquierda de su vehículo se pinchó al pasar sobre un buzón mal tapado en la intersección de la Av. Tomás Marsano con Angamos. El reclamante se comunicó con el área de "Asistencia Vehicular", solicitando ayuda para cambiar la llanta. Aproximadamente una hora después, el personal llegó al lugar y realizó la asistencia de manera rápida y efectiva; b) el reclamante se dio cuenta de que se habían activado diversas alarmas en el tablero de su vehículo, relacionadas con la llanta y/o el freno. En ese momento, el reclamante se comunicó nuevamente con la aseguradora y le indicaron que la cobertura del seguro ya no aplicaba, ya que no había cumplido con las cláusulas del contrato; c) la Póliza fue debidamente notificada el 26 de septiembre de 2023 a </w:t>
      </w:r>
      <w:r w:rsidRPr="363341A2" w:rsidR="326F7CA6">
        <w:rPr>
          <w:rFonts w:ascii="Times New Roman" w:hAnsi="Times New Roman"/>
          <w:sz w:val="24"/>
          <w:szCs w:val="24"/>
        </w:rPr>
        <w:t>..............................</w:t>
      </w:r>
      <w:r w:rsidRPr="363341A2" w:rsidR="00806BD8">
        <w:rPr>
          <w:rFonts w:ascii="Times New Roman" w:hAnsi="Times New Roman"/>
          <w:sz w:val="24"/>
          <w:szCs w:val="24"/>
        </w:rPr>
        <w:t>, quien fue designada como bróker para asesorar al reclamante; d) el bróker de seguros actúa como un intermediario especializado en el mercado de seguros, y su función es asesorar a los clientes para que encuentren las pólizas más adecuadas según sus necesidades y presupuesto; e) se presume que la bróker designada comunicó de manera diligente al reclamante sobre la Póliza contratada y su contenido; f) según el artículo 1361 del Código Civil: “Los contratos son obligatorios en cuanto se haya expresado en ellos. Se presume que la declaración expresada en el contrato responde a la voluntad común de las partes y quien niegue esa coincidencia debe probarla”; g) la palabra "siniestro" está definida por la RAE como un “suceso que produce un daño o una pérdida material considerables”, así como la “concreción del riesgo cubierto en el contrato de seguro que determina el nacimiento de la prestación del asegurador”; h) cualquier suceso que cause daño o pérdida material debe ser catalogado como un siniestro. En este caso, el evento ocurrido el 26 de abril de 2024 debió ser considerado como tal y debió ser reportado, cumpliendo así con las obligaciones pactadas; i) en el Condicionado General de la Póliza se establecen las obligaciones que debe cumplir el Asegurado en caso de que ocurra un siniestro; j) el reclamante no procedió de acuerdo con las obligaciones pactadas en el contrato, lo que constituyó un incumplimiento y, en consecuencia, el siniestro ya no podía ser cubierto; k) el reclamante fue consultado por uno de los ejecutivos sobre si hubo algún daño físico o material, a lo que él respondió que no. Sin embargo, la Aseguradora señala que sí hubo un daño material, dado que la llanta delantera izquierda de su vehículo se rompió; l) se evidencia que el reclamante mencionó que "era suficiente" con que lo ayudaran a cambiar la llanta. Por lo tanto, si este (i) no cumple con reportar el siniestro, (</w:t>
      </w:r>
      <w:r w:rsidRPr="363341A2" w:rsidR="00806BD8">
        <w:rPr>
          <w:rFonts w:ascii="Times New Roman" w:hAnsi="Times New Roman"/>
          <w:sz w:val="24"/>
          <w:szCs w:val="24"/>
        </w:rPr>
        <w:t>ii</w:t>
      </w:r>
      <w:r w:rsidRPr="363341A2" w:rsidR="00806BD8">
        <w:rPr>
          <w:rFonts w:ascii="Times New Roman" w:hAnsi="Times New Roman"/>
          <w:sz w:val="24"/>
          <w:szCs w:val="24"/>
        </w:rPr>
        <w:t xml:space="preserve">) no sigue el protocolo establecido </w:t>
      </w:r>
      <w:r w:rsidRPr="363341A2" w:rsidR="00806BD8">
        <w:rPr>
          <w:rFonts w:ascii="Times New Roman" w:hAnsi="Times New Roman"/>
          <w:sz w:val="24"/>
          <w:szCs w:val="24"/>
        </w:rPr>
        <w:t>en la Póliza ante la ocurrencia de un siniestro, y (</w:t>
      </w:r>
      <w:r w:rsidRPr="363341A2" w:rsidR="00806BD8">
        <w:rPr>
          <w:rFonts w:ascii="Times New Roman" w:hAnsi="Times New Roman"/>
          <w:sz w:val="24"/>
          <w:szCs w:val="24"/>
        </w:rPr>
        <w:t>iii</w:t>
      </w:r>
      <w:r w:rsidRPr="363341A2" w:rsidR="00806BD8">
        <w:rPr>
          <w:rFonts w:ascii="Times New Roman" w:hAnsi="Times New Roman"/>
          <w:sz w:val="24"/>
          <w:szCs w:val="24"/>
        </w:rPr>
        <w:t>) solo solicita asistencia para cambiar la llanta, no puede esperar que la aseguradora se haga responsable a pesar del incumplimiento contractual; m) el golpe ocurrió en la parte inferior del vehículo, lo que no sería evidente a simple vista en las fotografías proporcionadas por el reclamante; n) el impacto debió haber sido considerable para que se encendieran varias luces de emergencia en el tablero. A pesar de esto, el reclamante decidió ignorar la situación y solicitó únicamente ayuda para el cambio de la llanta; o) al tratarse de un contrato, los términos y condiciones son obligatorios para ambas partes, y es responsabilidad del reclamante revisarlos de manera diligente;</w:t>
      </w:r>
    </w:p>
    <w:p w:rsidRPr="00806BD8" w:rsidR="00806BD8" w:rsidP="00806BD8" w:rsidRDefault="00806BD8" w14:paraId="214406DD" w14:textId="407023F4">
      <w:pPr>
        <w:jc w:val="both"/>
        <w:rPr>
          <w:rFonts w:ascii="Times New Roman" w:hAnsi="Times New Roman"/>
          <w:sz w:val="24"/>
          <w:szCs w:val="24"/>
        </w:rPr>
      </w:pPr>
      <w:r w:rsidRPr="363341A2" w:rsidR="00806BD8">
        <w:rPr>
          <w:rFonts w:ascii="Times New Roman" w:hAnsi="Times New Roman"/>
          <w:sz w:val="24"/>
          <w:szCs w:val="24"/>
        </w:rPr>
        <w:t xml:space="preserve">Que, en atención a lo dispuesto en la audiencia virtual de vista, el reclamante presentó, mediante comunicación del 14 de octubre de 2024, la Resolución </w:t>
      </w:r>
      <w:r w:rsidRPr="363341A2" w:rsidR="00806BD8">
        <w:rPr>
          <w:rFonts w:ascii="Times New Roman" w:hAnsi="Times New Roman"/>
          <w:sz w:val="24"/>
          <w:szCs w:val="24"/>
        </w:rPr>
        <w:t>N°</w:t>
      </w:r>
      <w:r w:rsidRPr="363341A2" w:rsidR="00806BD8">
        <w:rPr>
          <w:rFonts w:ascii="Times New Roman" w:hAnsi="Times New Roman"/>
          <w:sz w:val="24"/>
          <w:szCs w:val="24"/>
        </w:rPr>
        <w:t xml:space="preserve"> 02 emitida por el Órgano Resolutivo de Procedimientos Sumarísimos de Protección al Consumidor </w:t>
      </w:r>
      <w:r w:rsidRPr="363341A2" w:rsidR="00806BD8">
        <w:rPr>
          <w:rFonts w:ascii="Times New Roman" w:hAnsi="Times New Roman"/>
          <w:sz w:val="24"/>
          <w:szCs w:val="24"/>
        </w:rPr>
        <w:t>N°</w:t>
      </w:r>
      <w:r w:rsidRPr="363341A2" w:rsidR="00806BD8">
        <w:rPr>
          <w:rFonts w:ascii="Times New Roman" w:hAnsi="Times New Roman"/>
          <w:sz w:val="24"/>
          <w:szCs w:val="24"/>
        </w:rPr>
        <w:t xml:space="preserve"> 01 del INDECOPI recaída en el expediente </w:t>
      </w:r>
      <w:r w:rsidRPr="363341A2" w:rsidR="00806BD8">
        <w:rPr>
          <w:rFonts w:ascii="Times New Roman" w:hAnsi="Times New Roman"/>
          <w:sz w:val="24"/>
          <w:szCs w:val="24"/>
        </w:rPr>
        <w:t>N°</w:t>
      </w:r>
      <w:r w:rsidRPr="363341A2" w:rsidR="00806BD8">
        <w:rPr>
          <w:rFonts w:ascii="Times New Roman" w:hAnsi="Times New Roman"/>
          <w:sz w:val="24"/>
          <w:szCs w:val="24"/>
        </w:rPr>
        <w:t xml:space="preserve"> </w:t>
      </w:r>
      <w:r w:rsidRPr="363341A2" w:rsidR="32F834BD">
        <w:rPr>
          <w:rFonts w:ascii="Times New Roman" w:hAnsi="Times New Roman"/>
          <w:sz w:val="24"/>
          <w:szCs w:val="24"/>
        </w:rPr>
        <w:t>................................</w:t>
      </w:r>
      <w:r w:rsidRPr="363341A2" w:rsidR="00806BD8">
        <w:rPr>
          <w:rFonts w:ascii="Times New Roman" w:hAnsi="Times New Roman"/>
          <w:sz w:val="24"/>
          <w:szCs w:val="24"/>
        </w:rPr>
        <w:t>, mediante la que se declara la inadmisibilidad de la denuncia presentada;</w:t>
      </w:r>
    </w:p>
    <w:p w:rsidRPr="00806BD8" w:rsidR="00806BD8" w:rsidP="00806BD8" w:rsidRDefault="00806BD8" w14:paraId="1D4BF83B" w14:textId="77777777">
      <w:pPr>
        <w:jc w:val="both"/>
        <w:rPr>
          <w:rFonts w:ascii="Times New Roman" w:hAnsi="Times New Roman"/>
          <w:sz w:val="24"/>
          <w:szCs w:val="24"/>
        </w:rPr>
      </w:pPr>
      <w:r w:rsidRPr="00806BD8">
        <w:rPr>
          <w:rStyle w:val="Textoennegrita"/>
          <w:rFonts w:ascii="Times New Roman" w:hAnsi="Times New Roman"/>
          <w:sz w:val="24"/>
          <w:szCs w:val="24"/>
        </w:rPr>
        <w:t>CONSIDERANDO:</w:t>
      </w:r>
    </w:p>
    <w:p w:rsidRPr="00806BD8" w:rsidR="00806BD8" w:rsidP="00806BD8" w:rsidRDefault="00806BD8" w14:paraId="476FA5F3" w14:textId="3EAB5E5D">
      <w:pPr>
        <w:jc w:val="both"/>
        <w:rPr>
          <w:rFonts w:ascii="Times New Roman" w:hAnsi="Times New Roman"/>
          <w:sz w:val="24"/>
          <w:szCs w:val="24"/>
        </w:rPr>
      </w:pPr>
      <w:r w:rsidRPr="00806BD8">
        <w:rPr>
          <w:rFonts w:ascii="Times New Roman" w:hAnsi="Times New Roman"/>
          <w:sz w:val="24"/>
          <w:szCs w:val="24"/>
        </w:rPr>
        <w:t> </w:t>
      </w:r>
      <w:r w:rsidRPr="00806BD8">
        <w:rPr>
          <w:rFonts w:ascii="Times New Roman" w:hAnsi="Times New Roman"/>
          <w:b/>
          <w:sz w:val="24"/>
          <w:szCs w:val="24"/>
          <w:u w:val="single"/>
        </w:rPr>
        <w:t>Primero</w:t>
      </w:r>
      <w:r w:rsidRPr="00806BD8">
        <w:rPr>
          <w:rFonts w:ascii="Times New Roman" w:hAnsi="Times New Roman"/>
          <w:b/>
          <w:sz w:val="24"/>
          <w:szCs w:val="24"/>
        </w:rPr>
        <w:t xml:space="preserve">: </w:t>
      </w:r>
      <w:r w:rsidRPr="00806BD8">
        <w:rPr>
          <w:rFonts w:ascii="Times New Roman" w:hAnsi="Times New Roman"/>
          <w:sz w:val="24"/>
          <w:szCs w:val="24"/>
        </w:rPr>
        <w:t>Conforme a su Reglamento, la</w:t>
      </w:r>
      <w:r w:rsidRPr="00806BD8">
        <w:rPr>
          <w:rFonts w:ascii="Times New Roman" w:hAnsi="Times New Roman"/>
          <w:b/>
          <w:bCs/>
          <w:sz w:val="24"/>
          <w:szCs w:val="24"/>
        </w:rPr>
        <w:t xml:space="preserve"> </w:t>
      </w:r>
      <w:r w:rsidRPr="00806BD8">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00806BD8" w:rsidP="00806BD8" w:rsidRDefault="00806BD8" w14:paraId="72665D85" w14:textId="77777777">
      <w:pPr>
        <w:jc w:val="both"/>
        <w:rPr>
          <w:rFonts w:ascii="Times New Roman" w:hAnsi="Times New Roman"/>
          <w:bCs/>
          <w:sz w:val="24"/>
          <w:szCs w:val="24"/>
        </w:rPr>
      </w:pPr>
      <w:r w:rsidRPr="00806BD8">
        <w:rPr>
          <w:rFonts w:ascii="Times New Roman" w:hAnsi="Times New Roman"/>
          <w:b/>
          <w:bCs/>
          <w:sz w:val="24"/>
          <w:szCs w:val="24"/>
          <w:u w:val="single"/>
        </w:rPr>
        <w:t>Segundo</w:t>
      </w:r>
      <w:r w:rsidRPr="00806BD8">
        <w:rPr>
          <w:rFonts w:ascii="Times New Roman" w:hAnsi="Times New Roman"/>
          <w:b/>
          <w:bCs/>
          <w:sz w:val="24"/>
          <w:szCs w:val="24"/>
        </w:rPr>
        <w:t>:</w:t>
      </w:r>
      <w:r w:rsidRPr="00806BD8">
        <w:rPr>
          <w:rFonts w:ascii="Times New Roman" w:hAnsi="Times New Roman"/>
          <w:bCs/>
          <w:sz w:val="24"/>
          <w:szCs w:val="24"/>
        </w:rPr>
        <w:t xml:space="preserve"> </w:t>
      </w:r>
      <w:r w:rsidRPr="00806BD8">
        <w:rPr>
          <w:rFonts w:ascii="Times New Roman" w:hAnsi="Times New Roman"/>
          <w:sz w:val="24"/>
          <w:szCs w:val="24"/>
        </w:rPr>
        <w:t xml:space="preserve">Asimismo, de acuerdo a </w:t>
      </w:r>
      <w:r w:rsidRPr="00806BD8">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06BD8" w:rsidR="00806BD8" w:rsidP="00806BD8" w:rsidRDefault="00806BD8" w14:paraId="08FFA1B9" w14:textId="04BA1939">
      <w:pPr>
        <w:jc w:val="both"/>
        <w:rPr>
          <w:rFonts w:ascii="Times New Roman" w:hAnsi="Times New Roman"/>
          <w:bCs/>
          <w:sz w:val="24"/>
          <w:szCs w:val="24"/>
        </w:rPr>
      </w:pPr>
      <w:r w:rsidRPr="00806BD8">
        <w:rPr>
          <w:rFonts w:ascii="Times New Roman" w:hAnsi="Times New Roman"/>
          <w:b/>
          <w:bCs/>
          <w:sz w:val="24"/>
          <w:szCs w:val="24"/>
          <w:u w:val="single"/>
        </w:rPr>
        <w:t>Tercero</w:t>
      </w:r>
      <w:r w:rsidRPr="00806BD8">
        <w:rPr>
          <w:rFonts w:ascii="Times New Roman" w:hAnsi="Times New Roman"/>
          <w:b/>
          <w:bCs/>
          <w:sz w:val="24"/>
          <w:szCs w:val="24"/>
        </w:rPr>
        <w:t>:</w:t>
      </w:r>
      <w:r w:rsidRPr="00806BD8">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06BD8" w:rsidR="00806BD8" w:rsidP="00806BD8" w:rsidRDefault="00806BD8" w14:paraId="650012C2" w14:textId="77777777">
      <w:pPr>
        <w:jc w:val="both"/>
        <w:rPr>
          <w:rFonts w:ascii="Times New Roman" w:hAnsi="Times New Roman"/>
          <w:sz w:val="24"/>
          <w:szCs w:val="24"/>
        </w:rPr>
      </w:pPr>
      <w:r w:rsidRPr="00806BD8">
        <w:rPr>
          <w:rFonts w:ascii="Times New Roman" w:hAnsi="Times New Roman"/>
          <w:b/>
          <w:sz w:val="24"/>
          <w:szCs w:val="24"/>
          <w:u w:val="single"/>
        </w:rPr>
        <w:t>Cuarto</w:t>
      </w:r>
      <w:r w:rsidRPr="00806BD8">
        <w:rPr>
          <w:rFonts w:ascii="Times New Roman" w:hAnsi="Times New Roman"/>
          <w:b/>
          <w:sz w:val="24"/>
          <w:szCs w:val="24"/>
        </w:rPr>
        <w:t>:</w:t>
      </w:r>
      <w:r w:rsidRPr="00806BD8">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06BD8" w:rsidR="00806BD8" w:rsidP="00806BD8" w:rsidRDefault="00806BD8" w14:paraId="4EDC8959" w14:textId="77777777">
      <w:pPr>
        <w:jc w:val="both"/>
        <w:rPr>
          <w:rStyle w:val="Textoennegrita"/>
          <w:rFonts w:ascii="Times New Roman" w:hAnsi="Times New Roman"/>
          <w:b w:val="0"/>
          <w:sz w:val="24"/>
          <w:szCs w:val="24"/>
        </w:rPr>
      </w:pPr>
    </w:p>
    <w:p w:rsidRPr="00806BD8" w:rsidR="00806BD8" w:rsidP="00806BD8" w:rsidRDefault="00806BD8" w14:paraId="7D8DF23F" w14:textId="77777777">
      <w:pPr>
        <w:jc w:val="both"/>
        <w:rPr>
          <w:rFonts w:ascii="Times New Roman" w:hAnsi="Times New Roman"/>
          <w:sz w:val="24"/>
          <w:szCs w:val="24"/>
        </w:rPr>
      </w:pPr>
      <w:r w:rsidRPr="00806BD8">
        <w:rPr>
          <w:rStyle w:val="Textoennegrita"/>
          <w:rFonts w:ascii="Times New Roman" w:hAnsi="Times New Roman"/>
          <w:sz w:val="24"/>
          <w:szCs w:val="24"/>
          <w:u w:val="single"/>
        </w:rPr>
        <w:lastRenderedPageBreak/>
        <w:t>Quinto</w:t>
      </w:r>
      <w:r w:rsidRPr="00806BD8">
        <w:rPr>
          <w:rStyle w:val="Textoennegrita"/>
          <w:rFonts w:ascii="Times New Roman" w:hAnsi="Times New Roman"/>
          <w:sz w:val="24"/>
          <w:szCs w:val="24"/>
        </w:rPr>
        <w:t xml:space="preserve">: </w:t>
      </w:r>
      <w:r w:rsidRPr="00806BD8">
        <w:rPr>
          <w:rStyle w:val="Textoennegrita"/>
          <w:rFonts w:ascii="Times New Roman" w:hAnsi="Times New Roman"/>
          <w:b w:val="0"/>
          <w:bCs w:val="0"/>
          <w:sz w:val="24"/>
          <w:szCs w:val="24"/>
        </w:rPr>
        <w:t>Que, conforme al</w:t>
      </w:r>
      <w:r w:rsidRPr="00806BD8">
        <w:rPr>
          <w:rStyle w:val="Textoennegrita"/>
          <w:rFonts w:ascii="Times New Roman" w:hAnsi="Times New Roman"/>
          <w:sz w:val="24"/>
          <w:szCs w:val="24"/>
        </w:rPr>
        <w:t xml:space="preserve"> </w:t>
      </w:r>
      <w:r w:rsidRPr="00806BD8">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06BD8" w:rsidR="00806BD8" w:rsidP="00806BD8" w:rsidRDefault="00806BD8" w14:paraId="54240D6C" w14:textId="77D0BAA8">
      <w:pPr>
        <w:jc w:val="both"/>
        <w:rPr>
          <w:rFonts w:ascii="Times New Roman" w:hAnsi="Times New Roman"/>
          <w:sz w:val="24"/>
          <w:szCs w:val="24"/>
        </w:rPr>
      </w:pPr>
      <w:r w:rsidRPr="00806BD8">
        <w:rPr>
          <w:rStyle w:val="Textoennegrita"/>
          <w:rFonts w:ascii="Times New Roman" w:hAnsi="Times New Roman"/>
          <w:sz w:val="24"/>
          <w:szCs w:val="24"/>
          <w:u w:val="single"/>
        </w:rPr>
        <w:t>Sexto</w:t>
      </w:r>
      <w:r w:rsidRPr="00806BD8">
        <w:rPr>
          <w:rStyle w:val="Textoennegrita"/>
          <w:rFonts w:ascii="Times New Roman" w:hAnsi="Times New Roman"/>
          <w:sz w:val="24"/>
          <w:szCs w:val="24"/>
        </w:rPr>
        <w:t xml:space="preserve">: </w:t>
      </w:r>
      <w:r w:rsidRPr="00806BD8">
        <w:rPr>
          <w:rStyle w:val="Textoennegrita"/>
          <w:rFonts w:ascii="Times New Roman" w:hAnsi="Times New Roman"/>
          <w:b w:val="0"/>
          <w:bCs w:val="0"/>
          <w:sz w:val="24"/>
          <w:szCs w:val="24"/>
        </w:rPr>
        <w:t>Que, sin perjuicio de lo indicado y del recuento de argumentos de las partes</w:t>
      </w:r>
      <w:r w:rsidRPr="00806BD8">
        <w:rPr>
          <w:rFonts w:ascii="Times New Roman" w:hAnsi="Times New Roman"/>
          <w:sz w:val="24"/>
          <w:szCs w:val="24"/>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rsidRPr="00806BD8" w:rsidR="00806BD8" w:rsidP="00806BD8" w:rsidRDefault="00806BD8" w14:paraId="25745D98" w14:textId="5A708164">
      <w:pPr>
        <w:tabs>
          <w:tab w:val="left" w:pos="2160"/>
        </w:tabs>
        <w:jc w:val="both"/>
        <w:rPr>
          <w:rFonts w:ascii="Times New Roman" w:hAnsi="Times New Roman"/>
          <w:sz w:val="24"/>
          <w:szCs w:val="24"/>
        </w:rPr>
      </w:pPr>
      <w:r w:rsidRPr="363341A2" w:rsidR="00806BD8">
        <w:rPr>
          <w:rFonts w:ascii="Times New Roman" w:hAnsi="Times New Roman"/>
          <w:b w:val="1"/>
          <w:bCs w:val="1"/>
          <w:sz w:val="24"/>
          <w:szCs w:val="24"/>
          <w:u w:val="single"/>
        </w:rPr>
        <w:t>Sétimo</w:t>
      </w:r>
      <w:r w:rsidRPr="363341A2" w:rsidR="00806BD8">
        <w:rPr>
          <w:rFonts w:ascii="Times New Roman" w:hAnsi="Times New Roman"/>
          <w:b w:val="1"/>
          <w:bCs w:val="1"/>
          <w:sz w:val="24"/>
          <w:szCs w:val="24"/>
        </w:rPr>
        <w:t xml:space="preserve">: </w:t>
      </w:r>
      <w:r w:rsidRPr="363341A2" w:rsidR="00806BD8">
        <w:rPr>
          <w:rFonts w:ascii="Times New Roman" w:hAnsi="Times New Roman"/>
          <w:sz w:val="24"/>
          <w:szCs w:val="24"/>
        </w:rPr>
        <w:t>Que</w:t>
      </w:r>
      <w:r w:rsidRPr="363341A2" w:rsidR="00806BD8">
        <w:rPr>
          <w:rFonts w:ascii="Times New Roman" w:hAnsi="Times New Roman"/>
          <w:b w:val="1"/>
          <w:bCs w:val="1"/>
          <w:sz w:val="24"/>
          <w:szCs w:val="24"/>
        </w:rPr>
        <w:t>,</w:t>
      </w:r>
      <w:r w:rsidRPr="363341A2" w:rsidR="00806BD8">
        <w:rPr>
          <w:rFonts w:ascii="Times New Roman" w:hAnsi="Times New Roman"/>
          <w:sz w:val="24"/>
          <w:szCs w:val="24"/>
        </w:rPr>
        <w:t xml:space="preserve"> en primer lugar, debemos determinar la controversia que nos ocupa en la presente ocasión. Para ello, nos remitimos a la Carta </w:t>
      </w:r>
      <w:r w:rsidRPr="363341A2" w:rsidR="00806BD8">
        <w:rPr>
          <w:rFonts w:ascii="Times New Roman" w:hAnsi="Times New Roman"/>
          <w:sz w:val="24"/>
          <w:szCs w:val="24"/>
        </w:rPr>
        <w:t>N°</w:t>
      </w:r>
      <w:r w:rsidRPr="363341A2" w:rsidR="00806BD8">
        <w:rPr>
          <w:rFonts w:ascii="Times New Roman" w:hAnsi="Times New Roman"/>
          <w:sz w:val="24"/>
          <w:szCs w:val="24"/>
        </w:rPr>
        <w:t xml:space="preserve"> </w:t>
      </w:r>
      <w:r w:rsidRPr="363341A2" w:rsidR="67E9D4AF">
        <w:rPr>
          <w:rFonts w:ascii="Times New Roman" w:hAnsi="Times New Roman"/>
          <w:sz w:val="24"/>
          <w:szCs w:val="24"/>
        </w:rPr>
        <w:t>.......................................</w:t>
      </w:r>
      <w:r w:rsidRPr="363341A2" w:rsidR="00806BD8">
        <w:rPr>
          <w:rFonts w:ascii="Times New Roman" w:hAnsi="Times New Roman"/>
          <w:sz w:val="24"/>
          <w:szCs w:val="24"/>
        </w:rPr>
        <w:t xml:space="preserve"> (en adelante, la Carta de Rechazo), mediante la que se rechaza la cobertura bajo los siguientes argumentos:</w:t>
      </w:r>
    </w:p>
    <w:p w:rsidRPr="00806BD8" w:rsidR="00806BD8" w:rsidP="00B50917" w:rsidRDefault="00806BD8" w14:paraId="7040C8EB" w14:textId="353F2A3D">
      <w:pPr>
        <w:tabs>
          <w:tab w:val="left" w:pos="2160"/>
        </w:tabs>
        <w:jc w:val="center"/>
      </w:pPr>
      <w:r w:rsidR="5747084B">
        <w:rPr/>
        <w:t>.......................................................................................................................................</w:t>
      </w:r>
    </w:p>
    <w:p w:rsidR="363341A2" w:rsidP="363341A2" w:rsidRDefault="363341A2" w14:paraId="5F319E25" w14:textId="385BCEFF">
      <w:pPr>
        <w:tabs>
          <w:tab w:val="left" w:leader="none" w:pos="2160"/>
        </w:tabs>
        <w:jc w:val="center"/>
      </w:pPr>
    </w:p>
    <w:p w:rsidRPr="00806BD8" w:rsidR="00806BD8" w:rsidP="00806BD8" w:rsidRDefault="00806BD8" w14:paraId="507E715C" w14:textId="5FF89332">
      <w:pPr>
        <w:tabs>
          <w:tab w:val="left" w:pos="2160"/>
        </w:tabs>
        <w:jc w:val="both"/>
        <w:rPr>
          <w:rFonts w:ascii="Times New Roman" w:hAnsi="Times New Roman"/>
          <w:sz w:val="24"/>
          <w:szCs w:val="24"/>
        </w:rPr>
      </w:pPr>
      <w:r w:rsidRPr="00806BD8">
        <w:rPr>
          <w:rFonts w:ascii="Times New Roman" w:hAnsi="Times New Roman"/>
          <w:sz w:val="24"/>
          <w:szCs w:val="24"/>
        </w:rPr>
        <w:t>En buena cuenta, se aprecia que la aseguradora afirma que el rechazo se basa en que el reclamante no realizó la denuncia policial y no pasó por el dosaje etílico respectivo, dentro del plazo establecido. Ello, en vista de constituir un incumplimiento a las obligaciones del reclamante, representa la pérdida de sus derechos indemnizatorios.</w:t>
      </w:r>
    </w:p>
    <w:p w:rsidRPr="00806BD8" w:rsidR="00806BD8" w:rsidP="00806BD8" w:rsidRDefault="00806BD8" w14:paraId="4270887F" w14:textId="0A4B5B26">
      <w:pPr>
        <w:tabs>
          <w:tab w:val="left" w:pos="2160"/>
        </w:tabs>
        <w:jc w:val="both"/>
        <w:rPr>
          <w:rFonts w:ascii="Times New Roman" w:hAnsi="Times New Roman"/>
          <w:sz w:val="24"/>
          <w:szCs w:val="24"/>
        </w:rPr>
      </w:pPr>
      <w:r w:rsidRPr="00806BD8">
        <w:rPr>
          <w:rFonts w:ascii="Times New Roman" w:hAnsi="Times New Roman"/>
          <w:sz w:val="24"/>
          <w:szCs w:val="24"/>
        </w:rPr>
        <w:t xml:space="preserve">Ante ello, el reclamante afirma, entre otros, que solo requería cambiar la llanta, por lo que lo consideró una necesidad de "asistencia/auxilio mecánico". Asimismo, precisa que el representante de la aseguradora no le informó que debía formular la denuncia que ahora requiere la aseguradora, máxime cuando él no conoce “a la letra” las condiciones de la póliza. </w:t>
      </w:r>
    </w:p>
    <w:p w:rsidRPr="00806BD8" w:rsidR="00806BD8" w:rsidP="00806BD8" w:rsidRDefault="00806BD8" w14:paraId="657A49D0" w14:textId="061D4000">
      <w:pPr>
        <w:tabs>
          <w:tab w:val="left" w:pos="2160"/>
        </w:tabs>
        <w:jc w:val="both"/>
        <w:rPr>
          <w:rFonts w:ascii="Times New Roman" w:hAnsi="Times New Roman"/>
          <w:sz w:val="24"/>
          <w:szCs w:val="24"/>
        </w:rPr>
      </w:pPr>
      <w:r w:rsidRPr="363341A2" w:rsidR="00806BD8">
        <w:rPr>
          <w:rFonts w:ascii="Times New Roman" w:hAnsi="Times New Roman"/>
          <w:b w:val="1"/>
          <w:bCs w:val="1"/>
          <w:sz w:val="24"/>
          <w:szCs w:val="24"/>
          <w:u w:val="single"/>
        </w:rPr>
        <w:t>Octavo:</w:t>
      </w:r>
      <w:r w:rsidRPr="363341A2" w:rsidR="00806BD8">
        <w:rPr>
          <w:rFonts w:ascii="Times New Roman" w:hAnsi="Times New Roman"/>
          <w:sz w:val="24"/>
          <w:szCs w:val="24"/>
        </w:rPr>
        <w:t xml:space="preserve">  Que, atendiendo a lo expuesto, el presente Colegiado considera que parte de la controversia implica clarificar lo que las partes interpretan por “siniestro”. En ese sentido, nos remitimos a la definición ofrecida por el Diccionario de Seguros elaborado por la Fundación </w:t>
      </w:r>
      <w:r w:rsidRPr="363341A2" w:rsidR="11AD6DF6">
        <w:rPr>
          <w:rFonts w:ascii="Times New Roman" w:hAnsi="Times New Roman"/>
          <w:sz w:val="24"/>
          <w:szCs w:val="24"/>
        </w:rPr>
        <w:t>................</w:t>
      </w:r>
      <w:r w:rsidRPr="363341A2" w:rsidR="00806BD8">
        <w:rPr>
          <w:rFonts w:ascii="Times New Roman" w:hAnsi="Times New Roman"/>
          <w:sz w:val="24"/>
          <w:szCs w:val="24"/>
        </w:rPr>
        <w:t>:</w:t>
      </w:r>
    </w:p>
    <w:p w:rsidRPr="00806BD8" w:rsidR="00806BD8" w:rsidP="00B50917" w:rsidRDefault="00806BD8" w14:paraId="71B740F2" w14:textId="02820430">
      <w:pPr>
        <w:tabs>
          <w:tab w:val="left" w:pos="2160"/>
        </w:tabs>
        <w:jc w:val="center"/>
      </w:pPr>
      <w:r w:rsidR="02B6FE7A">
        <w:rPr/>
        <w:t>..............................................................................................................................................</w:t>
      </w:r>
    </w:p>
    <w:p w:rsidRPr="00806BD8" w:rsidR="00806BD8" w:rsidP="00806BD8" w:rsidRDefault="00806BD8" w14:paraId="1D0E1D38" w14:textId="04C0B214">
      <w:pPr>
        <w:tabs>
          <w:tab w:val="left" w:pos="2160"/>
        </w:tabs>
        <w:jc w:val="both"/>
        <w:rPr>
          <w:rFonts w:ascii="Times New Roman" w:hAnsi="Times New Roman"/>
          <w:sz w:val="24"/>
          <w:szCs w:val="24"/>
        </w:rPr>
      </w:pPr>
      <w:r w:rsidRPr="00806BD8">
        <w:rPr>
          <w:rFonts w:ascii="Times New Roman" w:hAnsi="Times New Roman"/>
          <w:sz w:val="24"/>
          <w:szCs w:val="24"/>
        </w:rPr>
        <w:t xml:space="preserve">Resulta claro que la definición de siniestro, para el contexto del derecho de seguros, no requiere establecer la naturaleza del accidente, presencia de terceros o el nivel de daño del bien, como alega el reclamante. Por el contrario, la definición de siniestro se vincula con la materialización de cualquier situación que ponga en riesgo las garantías prestadas por la </w:t>
      </w:r>
      <w:r w:rsidRPr="00806BD8">
        <w:rPr>
          <w:rFonts w:ascii="Times New Roman" w:hAnsi="Times New Roman"/>
          <w:sz w:val="24"/>
          <w:szCs w:val="24"/>
        </w:rPr>
        <w:lastRenderedPageBreak/>
        <w:t>póliza o, lo que es lo mismo, cualquier materialización de un riesgo contemplado en la póliza que pueda implicar el pago de una indemnización por parte de la aseguradora.</w:t>
      </w:r>
    </w:p>
    <w:p w:rsidRPr="00806BD8" w:rsidR="00806BD8" w:rsidP="00806BD8" w:rsidRDefault="00806BD8" w14:paraId="7513238C" w14:textId="3A650AA3">
      <w:pPr>
        <w:tabs>
          <w:tab w:val="left" w:pos="2160"/>
        </w:tabs>
        <w:jc w:val="both"/>
        <w:rPr>
          <w:rFonts w:ascii="Times New Roman" w:hAnsi="Times New Roman"/>
          <w:sz w:val="24"/>
          <w:szCs w:val="24"/>
        </w:rPr>
      </w:pPr>
      <w:r w:rsidRPr="00806BD8">
        <w:rPr>
          <w:rFonts w:ascii="Times New Roman" w:hAnsi="Times New Roman"/>
          <w:sz w:val="24"/>
          <w:szCs w:val="24"/>
        </w:rPr>
        <w:t>En el presente caso, queda claro que los hechos narrados por las partes constituyen la configuración de un siniestro, puesto que se materializó un riesgo contemplado en la póliza que, además, trae como -posible- consecuencia el pago de una indemnización por parte de la aseguradora.</w:t>
      </w:r>
    </w:p>
    <w:p w:rsidRPr="00806BD8" w:rsidR="00806BD8" w:rsidP="00806BD8" w:rsidRDefault="00806BD8" w14:paraId="2C027C13" w14:textId="609B79A8">
      <w:pPr>
        <w:tabs>
          <w:tab w:val="left" w:pos="2160"/>
        </w:tabs>
        <w:jc w:val="both"/>
        <w:rPr>
          <w:rFonts w:ascii="Times New Roman" w:hAnsi="Times New Roman"/>
          <w:sz w:val="24"/>
          <w:szCs w:val="24"/>
        </w:rPr>
      </w:pPr>
      <w:r w:rsidRPr="00806BD8">
        <w:rPr>
          <w:rFonts w:ascii="Times New Roman" w:hAnsi="Times New Roman"/>
          <w:b/>
          <w:bCs/>
          <w:sz w:val="24"/>
          <w:szCs w:val="24"/>
          <w:u w:val="single"/>
        </w:rPr>
        <w:t>Noveno</w:t>
      </w:r>
      <w:r w:rsidRPr="00806BD8">
        <w:rPr>
          <w:rFonts w:ascii="Times New Roman" w:hAnsi="Times New Roman"/>
          <w:sz w:val="24"/>
          <w:szCs w:val="24"/>
        </w:rPr>
        <w:t>: Que, en vista de lo indicado, resulta necesario identificar cuál es el procedimiento, según la póliza, para dar aviso de un siniestro. En ese sentido, de una revisión de esta, podemos apreciar que existen dos procedimientos distintos, a saber:</w:t>
      </w:r>
    </w:p>
    <w:p w:rsidRPr="00806BD8" w:rsidR="00806BD8" w:rsidP="00806BD8" w:rsidRDefault="00806BD8" w14:paraId="2A416249" w14:textId="1FD26AEA">
      <w:pPr>
        <w:tabs>
          <w:tab w:val="left" w:pos="2160"/>
        </w:tabs>
        <w:jc w:val="both"/>
        <w:rPr>
          <w:rFonts w:ascii="Times New Roman" w:hAnsi="Times New Roman"/>
          <w:b/>
          <w:bCs/>
          <w:sz w:val="24"/>
          <w:szCs w:val="24"/>
        </w:rPr>
      </w:pPr>
      <w:r w:rsidRPr="00806BD8">
        <w:rPr>
          <w:rFonts w:ascii="Times New Roman" w:hAnsi="Times New Roman"/>
          <w:b/>
          <w:bCs/>
          <w:sz w:val="24"/>
          <w:szCs w:val="24"/>
        </w:rPr>
        <w:t>Según el Condicionado Particular:</w:t>
      </w:r>
    </w:p>
    <w:p w:rsidR="38D99E50" w:rsidP="363341A2" w:rsidRDefault="38D99E50" w14:paraId="311EF81C" w14:textId="185C60ED">
      <w:pPr>
        <w:tabs>
          <w:tab w:val="left" w:leader="none" w:pos="2160"/>
        </w:tabs>
        <w:jc w:val="center"/>
      </w:pPr>
      <w:r w:rsidR="38D99E50">
        <w:rPr/>
        <w:t>...................................................................................................................................................</w:t>
      </w:r>
    </w:p>
    <w:p w:rsidRPr="00B50917" w:rsidR="00806BD8" w:rsidP="00806BD8" w:rsidRDefault="00806BD8" w14:paraId="27715598" w14:textId="72CCD06F">
      <w:pPr>
        <w:tabs>
          <w:tab w:val="left" w:pos="2160"/>
        </w:tabs>
        <w:jc w:val="both"/>
        <w:rPr>
          <w:rFonts w:ascii="Times New Roman" w:hAnsi="Times New Roman"/>
          <w:b/>
          <w:bCs/>
          <w:sz w:val="24"/>
          <w:szCs w:val="24"/>
        </w:rPr>
      </w:pPr>
      <w:r w:rsidRPr="00806BD8">
        <w:rPr>
          <w:rFonts w:ascii="Times New Roman" w:hAnsi="Times New Roman"/>
          <w:b/>
          <w:bCs/>
          <w:sz w:val="24"/>
          <w:szCs w:val="24"/>
        </w:rPr>
        <w:t>Según el Condicionado General:</w:t>
      </w:r>
    </w:p>
    <w:p w:rsidRPr="00806BD8" w:rsidR="00806BD8" w:rsidP="00806BD8" w:rsidRDefault="00806BD8" w14:paraId="41ED6A88" w14:textId="7986E898">
      <w:pPr>
        <w:tabs>
          <w:tab w:val="left" w:pos="2160"/>
        </w:tabs>
        <w:jc w:val="center"/>
      </w:pPr>
      <w:r w:rsidR="57568A71">
        <w:rPr/>
        <w:t>.....................................................................................................................................................</w:t>
      </w:r>
    </w:p>
    <w:p w:rsidRPr="00806BD8" w:rsidR="00806BD8" w:rsidP="363341A2" w:rsidRDefault="00806BD8" w14:paraId="24FA1413" w14:textId="151DDCBD">
      <w:pPr>
        <w:pStyle w:val="Normal"/>
        <w:tabs>
          <w:tab w:val="left" w:pos="2160"/>
        </w:tabs>
        <w:jc w:val="both"/>
        <w:rPr>
          <w:rFonts w:ascii="Times New Roman" w:hAnsi="Times New Roman"/>
          <w:sz w:val="24"/>
          <w:szCs w:val="24"/>
        </w:rPr>
      </w:pPr>
    </w:p>
    <w:p w:rsidRPr="00806BD8" w:rsidR="00806BD8" w:rsidP="363341A2" w:rsidRDefault="00806BD8" w14:paraId="082F1E3A" w14:textId="66CB2344">
      <w:pPr>
        <w:pStyle w:val="Normal"/>
        <w:tabs>
          <w:tab w:val="left" w:pos="2160"/>
        </w:tabs>
        <w:jc w:val="both"/>
        <w:rPr>
          <w:rFonts w:ascii="Times New Roman" w:hAnsi="Times New Roman"/>
          <w:sz w:val="24"/>
          <w:szCs w:val="24"/>
        </w:rPr>
      </w:pPr>
      <w:r w:rsidRPr="363341A2" w:rsidR="00806BD8">
        <w:rPr>
          <w:rFonts w:ascii="Times New Roman" w:hAnsi="Times New Roman"/>
          <w:sz w:val="24"/>
          <w:szCs w:val="24"/>
        </w:rPr>
        <w:t>Conforme podemos apreciar, ambos procedimientos resultan complementarios uno respecto del otro, en tanto el Condicionado General contempla el siguiente paso adicional: “</w:t>
      </w:r>
      <w:r w:rsidRPr="363341A2" w:rsidR="00806BD8">
        <w:rPr>
          <w:rFonts w:ascii="Times New Roman" w:hAnsi="Times New Roman"/>
          <w:i w:val="1"/>
          <w:iCs w:val="1"/>
          <w:sz w:val="24"/>
          <w:szCs w:val="24"/>
        </w:rPr>
        <w:t>realizar la denuncia policial en la comisaría del sector donde se produjo el siniestro dentro de las 4 horas siguientes de producido, así deberás someterte al dosaje etílico correspondiente</w:t>
      </w:r>
      <w:r w:rsidRPr="363341A2" w:rsidR="00806BD8">
        <w:rPr>
          <w:rFonts w:ascii="Times New Roman" w:hAnsi="Times New Roman"/>
          <w:sz w:val="24"/>
          <w:szCs w:val="24"/>
        </w:rPr>
        <w:t>”. En buena cuenta, tal como insistimos, estamos ante procedimientos complementarios entre sí, por lo que la obligación de formular la denuncia policial y pasar el dosaje etílico dentro del plazo establecido en la póliza resulta totalmente exigible al reclamante.</w:t>
      </w:r>
    </w:p>
    <w:p w:rsidRPr="00B50917" w:rsidR="00806BD8" w:rsidP="00806BD8" w:rsidRDefault="00806BD8" w14:paraId="39845045" w14:textId="1728D7B4">
      <w:pPr>
        <w:tabs>
          <w:tab w:val="left" w:pos="2160"/>
        </w:tabs>
        <w:jc w:val="both"/>
        <w:rPr>
          <w:rFonts w:ascii="Times New Roman" w:hAnsi="Times New Roman"/>
          <w:sz w:val="24"/>
          <w:szCs w:val="24"/>
        </w:rPr>
      </w:pPr>
      <w:r w:rsidRPr="00806BD8">
        <w:rPr>
          <w:rFonts w:ascii="Times New Roman" w:hAnsi="Times New Roman"/>
          <w:sz w:val="24"/>
          <w:szCs w:val="24"/>
        </w:rPr>
        <w:t>Ahora bien, tal como fluye de la narración de ambas partes, resulta un hecho cierto que, más allá de las razones brindadas por el reclamante, la obligación comentada anteriormente no ha sido cumplida por el reclamante. Por lo tanto, el presente Colegiado lo tiene como un hecho no controvertido.</w:t>
      </w:r>
    </w:p>
    <w:p w:rsidRPr="00806BD8" w:rsidR="00806BD8" w:rsidP="00806BD8" w:rsidRDefault="00806BD8" w14:paraId="6AD45FC8" w14:textId="2173BA52">
      <w:pPr>
        <w:tabs>
          <w:tab w:val="left" w:pos="2160"/>
        </w:tabs>
        <w:jc w:val="both"/>
        <w:rPr>
          <w:rFonts w:ascii="Times New Roman" w:hAnsi="Times New Roman"/>
          <w:sz w:val="24"/>
          <w:szCs w:val="24"/>
        </w:rPr>
      </w:pPr>
      <w:r w:rsidRPr="00806BD8">
        <w:rPr>
          <w:rFonts w:ascii="Times New Roman" w:hAnsi="Times New Roman"/>
          <w:b/>
          <w:bCs/>
          <w:sz w:val="24"/>
          <w:szCs w:val="24"/>
          <w:u w:val="single"/>
        </w:rPr>
        <w:t>Décimo</w:t>
      </w:r>
      <w:r w:rsidRPr="00806BD8">
        <w:rPr>
          <w:rFonts w:ascii="Times New Roman" w:hAnsi="Times New Roman"/>
          <w:sz w:val="24"/>
          <w:szCs w:val="24"/>
        </w:rPr>
        <w:t>: Que, debemos precisar, además, que los contratos resultan de obligatorio cumplimiento entre las partes. En ese sentido, el Código Civil dispone lo siguiente:</w:t>
      </w:r>
    </w:p>
    <w:p w:rsidRPr="00806BD8" w:rsidR="00806BD8" w:rsidP="00806BD8" w:rsidRDefault="00806BD8" w14:paraId="706B5B56" w14:textId="77777777">
      <w:pPr>
        <w:tabs>
          <w:tab w:val="left" w:pos="2160"/>
        </w:tabs>
        <w:ind w:left="1418"/>
        <w:jc w:val="both"/>
        <w:rPr>
          <w:rFonts w:ascii="Times New Roman" w:hAnsi="Times New Roman"/>
          <w:sz w:val="24"/>
          <w:szCs w:val="24"/>
        </w:rPr>
      </w:pPr>
      <w:r w:rsidRPr="00806BD8">
        <w:rPr>
          <w:rFonts w:ascii="Times New Roman" w:hAnsi="Times New Roman"/>
          <w:b/>
          <w:bCs/>
          <w:sz w:val="24"/>
          <w:szCs w:val="24"/>
        </w:rPr>
        <w:t>Obligatoriedad de los contratos</w:t>
      </w:r>
    </w:p>
    <w:p w:rsidRPr="00806BD8" w:rsidR="00806BD8" w:rsidP="00806BD8" w:rsidRDefault="00806BD8" w14:paraId="619BF0CB" w14:textId="77777777">
      <w:pPr>
        <w:tabs>
          <w:tab w:val="left" w:pos="2160"/>
        </w:tabs>
        <w:ind w:left="1418"/>
        <w:jc w:val="both"/>
        <w:rPr>
          <w:rFonts w:ascii="Times New Roman" w:hAnsi="Times New Roman"/>
          <w:sz w:val="24"/>
          <w:szCs w:val="24"/>
        </w:rPr>
      </w:pPr>
      <w:r w:rsidRPr="00806BD8">
        <w:rPr>
          <w:rFonts w:ascii="Times New Roman" w:hAnsi="Times New Roman"/>
          <w:b/>
          <w:bCs/>
          <w:sz w:val="24"/>
          <w:szCs w:val="24"/>
        </w:rPr>
        <w:t>Artículo 1361.-  </w:t>
      </w:r>
      <w:r w:rsidRPr="00806BD8">
        <w:rPr>
          <w:rFonts w:ascii="Times New Roman" w:hAnsi="Times New Roman"/>
          <w:sz w:val="24"/>
          <w:szCs w:val="24"/>
        </w:rPr>
        <w:t> Los contratos son obligatorios en cuanto se haya expresado en ellos.</w:t>
      </w:r>
    </w:p>
    <w:p w:rsidRPr="00806BD8" w:rsidR="00806BD8" w:rsidP="00B50917" w:rsidRDefault="00806BD8" w14:paraId="3E47D8A8" w14:textId="6E831AED">
      <w:pPr>
        <w:tabs>
          <w:tab w:val="left" w:pos="2160"/>
        </w:tabs>
        <w:ind w:left="1418"/>
        <w:jc w:val="both"/>
        <w:rPr>
          <w:rFonts w:ascii="Times New Roman" w:hAnsi="Times New Roman"/>
          <w:sz w:val="24"/>
          <w:szCs w:val="24"/>
        </w:rPr>
      </w:pPr>
      <w:r w:rsidRPr="00806BD8">
        <w:rPr>
          <w:rFonts w:ascii="Times New Roman" w:hAnsi="Times New Roman"/>
          <w:sz w:val="24"/>
          <w:szCs w:val="24"/>
        </w:rPr>
        <w:t>Se presume que la declaración expresada en el contrato responde a la voluntad común de las partes y quien niegue esa coincidencia debe probarla.</w:t>
      </w:r>
    </w:p>
    <w:p w:rsidRPr="00806BD8" w:rsidR="00806BD8" w:rsidP="00806BD8" w:rsidRDefault="00806BD8" w14:paraId="37EAE9DB" w14:textId="2EDFC745">
      <w:pPr>
        <w:tabs>
          <w:tab w:val="left" w:pos="2160"/>
        </w:tabs>
        <w:jc w:val="both"/>
        <w:rPr>
          <w:rFonts w:ascii="Times New Roman" w:hAnsi="Times New Roman"/>
          <w:sz w:val="24"/>
          <w:szCs w:val="24"/>
        </w:rPr>
      </w:pPr>
      <w:r w:rsidRPr="00806BD8">
        <w:rPr>
          <w:rFonts w:ascii="Times New Roman" w:hAnsi="Times New Roman"/>
          <w:sz w:val="24"/>
          <w:szCs w:val="24"/>
        </w:rPr>
        <w:t>Como vemos, la póliza suscrita por el reclamante contenía todos los términos del contrato celebrado entre estos. En ese sentido, es mandato legal que ambas partes contratantes cumplan escrupulosamente con lo acordado, sin mayor excepción que las expresamente acordadas por estos o por mandato legal expreso. En ese sentido, no se aprecia que el reclamante haya acreditado que exista alguna exención legal que permita que se le exima de la obligación incumplida por él.</w:t>
      </w:r>
    </w:p>
    <w:p w:rsidRPr="00806BD8" w:rsidR="00806BD8" w:rsidP="00806BD8" w:rsidRDefault="00806BD8" w14:paraId="6AE214E2" w14:textId="39851BBE">
      <w:pPr>
        <w:tabs>
          <w:tab w:val="left" w:pos="2160"/>
        </w:tabs>
        <w:jc w:val="both"/>
        <w:rPr>
          <w:rFonts w:ascii="Times New Roman" w:hAnsi="Times New Roman"/>
          <w:sz w:val="24"/>
          <w:szCs w:val="24"/>
        </w:rPr>
      </w:pPr>
      <w:r w:rsidRPr="00806BD8">
        <w:rPr>
          <w:rFonts w:ascii="Times New Roman" w:hAnsi="Times New Roman"/>
          <w:sz w:val="24"/>
          <w:szCs w:val="24"/>
        </w:rPr>
        <w:t>Por ello, salvo que el reclamante acredite que no le era posible conocer los términos contractuales por alguna razón debidamente comprobada, es de cargo de él cumplir con sus obligaciones, sin excepción alguna que no esté contemplada en la póliza o en la ley. Así pues, debemos concluir que es deber del reclamante el informarse debidamente sobre las obligaciones que asume al suscribir la póliza.</w:t>
      </w:r>
    </w:p>
    <w:p w:rsidRPr="00806BD8" w:rsidR="00806BD8" w:rsidP="00806BD8" w:rsidRDefault="00806BD8" w14:paraId="30645B91" w14:textId="1742B3F2">
      <w:pPr>
        <w:tabs>
          <w:tab w:val="left" w:pos="2160"/>
        </w:tabs>
        <w:jc w:val="both"/>
        <w:rPr>
          <w:rFonts w:ascii="Times New Roman" w:hAnsi="Times New Roman"/>
          <w:sz w:val="24"/>
          <w:szCs w:val="24"/>
        </w:rPr>
      </w:pPr>
      <w:r w:rsidRPr="00806BD8">
        <w:rPr>
          <w:rFonts w:ascii="Times New Roman" w:hAnsi="Times New Roman"/>
          <w:sz w:val="24"/>
          <w:szCs w:val="24"/>
        </w:rPr>
        <w:t>En conclusión, no se ha acreditado causal alguna que exima al reclamante de las obligaciones que, conforme hemos determinado, se incumplieron. Por lo señalado, el rechazo de la aseguradora resulta legítimo.</w:t>
      </w:r>
    </w:p>
    <w:p w:rsidRPr="00806BD8" w:rsidR="00806BD8" w:rsidP="00806BD8" w:rsidRDefault="00806BD8" w14:paraId="151999A1" w14:textId="77777777">
      <w:pPr>
        <w:tabs>
          <w:tab w:val="left" w:pos="2160"/>
        </w:tabs>
        <w:jc w:val="both"/>
        <w:rPr>
          <w:rFonts w:ascii="Times New Roman" w:hAnsi="Times New Roman"/>
          <w:b/>
          <w:sz w:val="24"/>
          <w:szCs w:val="24"/>
        </w:rPr>
      </w:pPr>
      <w:r w:rsidRPr="00806BD8">
        <w:rPr>
          <w:rFonts w:ascii="Times New Roman" w:hAnsi="Times New Roman"/>
          <w:b/>
          <w:sz w:val="24"/>
          <w:szCs w:val="24"/>
        </w:rPr>
        <w:t>Atendiendo a lo expresado, este colegiado concluye su apreciación razonada y conjunta al amparo de lo establecido en su Reglamento, por lo que resuelve:</w:t>
      </w:r>
    </w:p>
    <w:p w:rsidRPr="00806BD8" w:rsidR="00806BD8" w:rsidP="00806BD8" w:rsidRDefault="00806BD8" w14:paraId="122761B3" w14:textId="77777777">
      <w:pPr>
        <w:tabs>
          <w:tab w:val="left" w:pos="2160"/>
        </w:tabs>
        <w:jc w:val="both"/>
        <w:rPr>
          <w:rFonts w:ascii="Times New Roman" w:hAnsi="Times New Roman"/>
          <w:sz w:val="24"/>
          <w:szCs w:val="24"/>
        </w:rPr>
      </w:pPr>
    </w:p>
    <w:p w:rsidRPr="00806BD8" w:rsidR="0014184D" w:rsidP="00B50917" w:rsidRDefault="00806BD8" w14:paraId="4B5922D3" w14:textId="7750037B">
      <w:pPr>
        <w:tabs>
          <w:tab w:val="left" w:pos="2160"/>
        </w:tabs>
        <w:jc w:val="both"/>
        <w:rPr>
          <w:rFonts w:ascii="Times New Roman" w:hAnsi="Times New Roman"/>
          <w:sz w:val="24"/>
          <w:szCs w:val="24"/>
        </w:rPr>
      </w:pPr>
      <w:r w:rsidRPr="363341A2" w:rsidR="00806BD8">
        <w:rPr>
          <w:rFonts w:ascii="Times New Roman" w:hAnsi="Times New Roman"/>
          <w:sz w:val="24"/>
          <w:szCs w:val="24"/>
        </w:rPr>
        <w:t xml:space="preserve">Declarar </w:t>
      </w:r>
      <w:r w:rsidRPr="363341A2" w:rsidR="00806BD8">
        <w:rPr>
          <w:rFonts w:ascii="Times New Roman" w:hAnsi="Times New Roman"/>
          <w:b w:val="1"/>
          <w:bCs w:val="1"/>
          <w:sz w:val="24"/>
          <w:szCs w:val="24"/>
        </w:rPr>
        <w:t xml:space="preserve">INFUNDADA </w:t>
      </w:r>
      <w:r w:rsidRPr="363341A2" w:rsidR="00806BD8">
        <w:rPr>
          <w:rFonts w:ascii="Times New Roman" w:hAnsi="Times New Roman"/>
          <w:sz w:val="24"/>
          <w:szCs w:val="24"/>
        </w:rPr>
        <w:t>la reclamación interpuesta por don</w:t>
      </w:r>
      <w:r w:rsidRPr="363341A2" w:rsidR="0F90F2CC">
        <w:rPr>
          <w:rFonts w:ascii="Times New Roman" w:hAnsi="Times New Roman"/>
          <w:sz w:val="24"/>
          <w:szCs w:val="24"/>
        </w:rPr>
        <w:t xml:space="preserve"> </w:t>
      </w:r>
      <w:r w:rsidRPr="363341A2" w:rsidR="3A08C6B0">
        <w:rPr>
          <w:rFonts w:ascii="Times New Roman" w:hAnsi="Times New Roman"/>
          <w:b w:val="1"/>
          <w:bCs w:val="1"/>
          <w:sz w:val="24"/>
          <w:szCs w:val="24"/>
        </w:rPr>
        <w:t>..............................................</w:t>
      </w:r>
      <w:r w:rsidRPr="363341A2" w:rsidR="00806BD8">
        <w:rPr>
          <w:rFonts w:ascii="Times New Roman" w:hAnsi="Times New Roman"/>
          <w:b w:val="1"/>
          <w:bCs w:val="1"/>
          <w:sz w:val="24"/>
          <w:szCs w:val="24"/>
        </w:rPr>
        <w:t xml:space="preserve"> </w:t>
      </w:r>
      <w:r w:rsidRPr="363341A2" w:rsidR="00806BD8">
        <w:rPr>
          <w:rFonts w:ascii="Times New Roman" w:hAnsi="Times New Roman"/>
          <w:sz w:val="24"/>
          <w:szCs w:val="24"/>
        </w:rPr>
        <w:t xml:space="preserve">contra </w:t>
      </w:r>
      <w:r w:rsidRPr="363341A2" w:rsidR="1C1C400F">
        <w:rPr>
          <w:rFonts w:ascii="Times New Roman" w:hAnsi="Times New Roman"/>
          <w:b w:val="1"/>
          <w:bCs w:val="1"/>
          <w:sz w:val="24"/>
          <w:szCs w:val="24"/>
        </w:rPr>
        <w:t>..............................................................................</w:t>
      </w:r>
      <w:r w:rsidRPr="363341A2" w:rsidR="00806BD8">
        <w:rPr>
          <w:rFonts w:ascii="Times New Roman" w:hAnsi="Times New Roman"/>
          <w:sz w:val="24"/>
          <w:szCs w:val="24"/>
        </w:rPr>
        <w:t>, dejando a salvo el derecho de las partes de acudir ante las instancias que estimen pertinentes.</w:t>
      </w:r>
    </w:p>
    <w:p w:rsidRPr="00806BD8" w:rsidR="007E21A6" w:rsidP="00F3482B" w:rsidRDefault="00D00142" w14:paraId="2DE1D337" w14:textId="55B42B0D">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Pr="00806BD8" w:rsidR="00806BD8">
        <w:rPr>
          <w:rFonts w:ascii="Times New Roman" w:hAnsi="Times New Roman"/>
          <w:sz w:val="24"/>
          <w:szCs w:val="24"/>
        </w:rPr>
        <w:t>6</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 xml:space="preserve">Rolando Eyzaguirre Maccan – </w:t>
      </w:r>
      <w:proofErr w:type="gramStart"/>
      <w:r w:rsidRPr="00806BD8">
        <w:rPr>
          <w:rFonts w:ascii="Times New Roman" w:hAnsi="Times New Roman"/>
          <w:b/>
          <w:bCs/>
          <w:sz w:val="24"/>
          <w:szCs w:val="24"/>
        </w:rPr>
        <w:t>Presidente</w:t>
      </w:r>
      <w:proofErr w:type="gramEnd"/>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Omar Alfaro Villanueva – Vocal</w:t>
      </w:r>
    </w:p>
    <w:p w:rsidRPr="00806BD8" w:rsidR="00922F8A" w:rsidP="00922F8A" w:rsidRDefault="00922F8A" w14:paraId="2C915666" w14:textId="77777777">
      <w:pPr>
        <w:spacing w:line="240" w:lineRule="auto"/>
        <w:jc w:val="center"/>
        <w:rPr>
          <w:rFonts w:ascii="Times New Roman" w:hAnsi="Times New Roman"/>
          <w:sz w:val="24"/>
          <w:szCs w:val="24"/>
          <w:lang w:val="es-MX"/>
        </w:rPr>
      </w:pPr>
      <w:r w:rsidRPr="00806BD8">
        <w:rPr>
          <w:rFonts w:ascii="Times New Roman" w:hAnsi="Times New Roman"/>
          <w:b/>
          <w:bCs/>
          <w:sz w:val="24"/>
          <w:szCs w:val="24"/>
        </w:rPr>
        <w:t>Gonzalo Abad del Busto - Vocal</w:t>
      </w:r>
    </w:p>
    <w:p w:rsidRPr="00365C1E" w:rsidR="000341A4" w:rsidP="001D5079" w:rsidRDefault="000341A4" w14:paraId="78842804" w14:textId="77777777">
      <w:pPr>
        <w:jc w:val="both"/>
        <w:rPr>
          <w:rFonts w:ascii="Times New Roman" w:hAnsi="Times New Roman"/>
          <w:sz w:val="24"/>
          <w:szCs w:val="24"/>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4434" w:rsidP="00722F1A" w:rsidRDefault="00B24434" w14:paraId="3E6D355D" w14:textId="77777777">
      <w:pPr>
        <w:spacing w:after="0" w:line="240" w:lineRule="auto"/>
      </w:pPr>
      <w:r>
        <w:separator/>
      </w:r>
    </w:p>
  </w:endnote>
  <w:endnote w:type="continuationSeparator" w:id="0">
    <w:p w:rsidR="00B24434" w:rsidP="00722F1A" w:rsidRDefault="00B24434" w14:paraId="1A9E646E" w14:textId="77777777">
      <w:pPr>
        <w:spacing w:after="0" w:line="240" w:lineRule="auto"/>
      </w:pPr>
      <w:r>
        <w:continuationSeparator/>
      </w:r>
    </w:p>
  </w:endnote>
  <w:endnote w:type="continuationNotice" w:id="1">
    <w:p w:rsidR="00B24434" w:rsidRDefault="00B24434" w14:paraId="406B7D1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4434" w:rsidP="00722F1A" w:rsidRDefault="00B24434" w14:paraId="43B53555" w14:textId="77777777">
      <w:pPr>
        <w:spacing w:after="0" w:line="240" w:lineRule="auto"/>
      </w:pPr>
      <w:r>
        <w:separator/>
      </w:r>
    </w:p>
  </w:footnote>
  <w:footnote w:type="continuationSeparator" w:id="0">
    <w:p w:rsidR="00B24434" w:rsidP="00722F1A" w:rsidRDefault="00B24434" w14:paraId="3EC30120" w14:textId="77777777">
      <w:pPr>
        <w:spacing w:after="0" w:line="240" w:lineRule="auto"/>
      </w:pPr>
      <w:r>
        <w:continuationSeparator/>
      </w:r>
    </w:p>
  </w:footnote>
  <w:footnote w:type="continuationNotice" w:id="1">
    <w:p w:rsidR="00B24434" w:rsidRDefault="00B24434" w14:paraId="0B65D1D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2B6FE7A"/>
    <w:rsid w:val="0F90F2CC"/>
    <w:rsid w:val="11AD6DF6"/>
    <w:rsid w:val="16D982D2"/>
    <w:rsid w:val="1A4CC287"/>
    <w:rsid w:val="1C1C400F"/>
    <w:rsid w:val="30EFAD63"/>
    <w:rsid w:val="326F7CA6"/>
    <w:rsid w:val="32F834BD"/>
    <w:rsid w:val="351588F8"/>
    <w:rsid w:val="363341A2"/>
    <w:rsid w:val="3887D32D"/>
    <w:rsid w:val="38D99E50"/>
    <w:rsid w:val="3A08C6B0"/>
    <w:rsid w:val="50D39C20"/>
    <w:rsid w:val="5747084B"/>
    <w:rsid w:val="57568A71"/>
    <w:rsid w:val="5A53D3F8"/>
    <w:rsid w:val="67E9D4AF"/>
    <w:rsid w:val="73DB25F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1471958-86DE-4078-9808-0A1A7C961270}"/>
</file>

<file path=customXml/itemProps3.xml><?xml version="1.0" encoding="utf-8"?>
<ds:datastoreItem xmlns:ds="http://schemas.openxmlformats.org/officeDocument/2006/customXml" ds:itemID="{C1D0F2A7-64EF-43CC-B950-98579AD50484}"/>
</file>

<file path=customXml/itemProps4.xml><?xml version="1.0" encoding="utf-8"?>
<ds:datastoreItem xmlns:ds="http://schemas.openxmlformats.org/officeDocument/2006/customXml" ds:itemID="{4668FDA8-DCC2-4EA6-B1B2-CEB367CEAC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1089</cp:revision>
  <cp:lastPrinted>2024-12-19T16:01:00Z</cp:lastPrinted>
  <dcterms:created xsi:type="dcterms:W3CDTF">2022-12-22T22:59:00Z</dcterms:created>
  <dcterms:modified xsi:type="dcterms:W3CDTF">2025-11-24T19:17:59Z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