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806BD8" w:rsidR="000341A4" w:rsidP="00EA7580" w:rsidRDefault="000341A4" w14:paraId="6752CB7C" w14:textId="77777777">
      <w:pPr>
        <w:pStyle w:val="Puesto"/>
        <w:tabs>
          <w:tab w:val="left" w:pos="2730"/>
          <w:tab w:val="center" w:pos="4419"/>
        </w:tabs>
        <w:jc w:val="both"/>
        <w:outlineLvl w:val="0"/>
        <w:rPr>
          <w:rStyle w:val="Textoennegrita"/>
          <w:lang w:val="es-ES"/>
        </w:rPr>
      </w:pPr>
    </w:p>
    <w:p w:rsidRPr="00806BD8" w:rsidR="000341A4" w:rsidP="00EA7580" w:rsidRDefault="000341A4" w14:paraId="56329F19" w14:textId="77777777">
      <w:pPr>
        <w:pStyle w:val="Puesto"/>
        <w:tabs>
          <w:tab w:val="left" w:pos="2730"/>
          <w:tab w:val="center" w:pos="4419"/>
        </w:tabs>
        <w:jc w:val="both"/>
        <w:outlineLvl w:val="0"/>
        <w:rPr>
          <w:rStyle w:val="Textoennegrita"/>
          <w:lang w:val="es-ES"/>
        </w:rPr>
      </w:pPr>
    </w:p>
    <w:p w:rsidRPr="00806BD8" w:rsidR="00365C1E" w:rsidP="00365C1E" w:rsidRDefault="00D00142" w14:paraId="08A09AC2" w14:textId="7DE69478">
      <w:pPr>
        <w:pStyle w:val="Puesto"/>
        <w:tabs>
          <w:tab w:val="left" w:pos="2730"/>
          <w:tab w:val="center" w:pos="4419"/>
        </w:tabs>
        <w:outlineLvl w:val="0"/>
        <w:rPr>
          <w:rStyle w:val="Textoennegrita"/>
          <w:b/>
          <w:bCs/>
          <w:lang w:val="es-ES"/>
        </w:rPr>
      </w:pPr>
      <w:r w:rsidRPr="00806BD8">
        <w:rPr>
          <w:rStyle w:val="Textoennegrita"/>
          <w:b/>
          <w:bCs/>
          <w:lang w:val="es-ES"/>
        </w:rPr>
        <w:t>RESOLUCION N°</w:t>
      </w:r>
      <w:r w:rsidRPr="00806BD8" w:rsidR="000341A4">
        <w:rPr>
          <w:rStyle w:val="Textoennegrita"/>
          <w:b/>
          <w:bCs/>
          <w:lang w:val="es-ES"/>
        </w:rPr>
        <w:t xml:space="preserve"> </w:t>
      </w:r>
      <w:r w:rsidRPr="00806BD8" w:rsidR="005E0729">
        <w:rPr>
          <w:rStyle w:val="Textoennegrita"/>
          <w:b/>
          <w:bCs/>
          <w:lang w:val="es-ES"/>
        </w:rPr>
        <w:t>2</w:t>
      </w:r>
      <w:r w:rsidRPr="00806BD8" w:rsidR="00526549">
        <w:rPr>
          <w:rStyle w:val="Textoennegrita"/>
          <w:b/>
          <w:bCs/>
          <w:lang w:val="es-ES"/>
        </w:rPr>
        <w:t>5</w:t>
      </w:r>
      <w:r w:rsidR="009D2F17">
        <w:rPr>
          <w:rStyle w:val="Textoennegrita"/>
          <w:b/>
          <w:bCs/>
          <w:lang w:val="es-ES"/>
        </w:rPr>
        <w:t>5</w:t>
      </w:r>
      <w:r w:rsidRPr="00806BD8">
        <w:rPr>
          <w:rStyle w:val="Textoennegrita"/>
          <w:b/>
          <w:bCs/>
          <w:lang w:val="es-ES"/>
        </w:rPr>
        <w:t>/2</w:t>
      </w:r>
      <w:r w:rsidRPr="00806BD8" w:rsidR="004B168E">
        <w:rPr>
          <w:rStyle w:val="Textoennegrita"/>
          <w:b/>
          <w:bCs/>
          <w:lang w:val="es-ES"/>
        </w:rPr>
        <w:t>4</w:t>
      </w:r>
    </w:p>
    <w:p w:rsidRPr="00D207B7" w:rsidR="00D207B7" w:rsidP="00D207B7" w:rsidRDefault="00D207B7" w14:paraId="570CEC89" w14:textId="77777777">
      <w:pPr>
        <w:jc w:val="both"/>
        <w:rPr>
          <w:rFonts w:ascii="Times New Roman" w:hAnsi="Times New Roman"/>
          <w:b/>
          <w:bCs/>
          <w:sz w:val="24"/>
          <w:szCs w:val="24"/>
        </w:rPr>
      </w:pPr>
      <w:r w:rsidRPr="00D207B7">
        <w:rPr>
          <w:rFonts w:ascii="Times New Roman" w:hAnsi="Times New Roman"/>
          <w:b/>
          <w:bCs/>
          <w:sz w:val="24"/>
          <w:szCs w:val="24"/>
        </w:rPr>
        <w:t>Vistos:</w:t>
      </w:r>
    </w:p>
    <w:p w:rsidRPr="00D207B7" w:rsidR="00D207B7" w:rsidP="00D207B7" w:rsidRDefault="00D207B7" w14:paraId="62FD307B" w14:textId="100FD551">
      <w:pPr>
        <w:jc w:val="both"/>
        <w:rPr>
          <w:rFonts w:ascii="Times New Roman" w:hAnsi="Times New Roman"/>
          <w:sz w:val="24"/>
          <w:szCs w:val="24"/>
        </w:rPr>
      </w:pPr>
      <w:r w:rsidRPr="586655AF" w:rsidR="00D207B7">
        <w:rPr>
          <w:rFonts w:ascii="Times New Roman" w:hAnsi="Times New Roman"/>
          <w:sz w:val="24"/>
          <w:szCs w:val="24"/>
        </w:rPr>
        <w:t xml:space="preserve">Que, el 12 de setiembre de 2024 doña </w:t>
      </w:r>
      <w:r w:rsidRPr="586655AF" w:rsidR="4A979C5C">
        <w:rPr>
          <w:rFonts w:ascii="Times New Roman" w:hAnsi="Times New Roman"/>
          <w:sz w:val="24"/>
          <w:szCs w:val="24"/>
        </w:rPr>
        <w:t>......................................................................................</w:t>
      </w:r>
      <w:r w:rsidRPr="586655AF" w:rsidR="00D207B7">
        <w:rPr>
          <w:rFonts w:ascii="Times New Roman" w:hAnsi="Times New Roman"/>
          <w:sz w:val="24"/>
          <w:szCs w:val="24"/>
        </w:rPr>
        <w:t xml:space="preserve">, interpone reclamación ante esta Defensoría del Asegurado (DEFASEG), solicitando que </w:t>
      </w:r>
      <w:r w:rsidRPr="586655AF" w:rsidR="0E95465B">
        <w:rPr>
          <w:rFonts w:ascii="Times New Roman" w:hAnsi="Times New Roman"/>
          <w:sz w:val="24"/>
          <w:szCs w:val="24"/>
        </w:rPr>
        <w:t>......................................................................................</w:t>
      </w:r>
      <w:r w:rsidRPr="586655AF" w:rsidR="00D207B7">
        <w:rPr>
          <w:rFonts w:ascii="Times New Roman" w:hAnsi="Times New Roman"/>
          <w:sz w:val="24"/>
          <w:szCs w:val="24"/>
        </w:rPr>
        <w:t xml:space="preserve"> (</w:t>
      </w:r>
      <w:r w:rsidRPr="586655AF" w:rsidR="54F631BB">
        <w:rPr>
          <w:rFonts w:ascii="Times New Roman" w:hAnsi="Times New Roman"/>
          <w:sz w:val="24"/>
          <w:szCs w:val="24"/>
        </w:rPr>
        <w:t>..............................</w:t>
      </w:r>
      <w:r w:rsidRPr="586655AF" w:rsidR="00D207B7">
        <w:rPr>
          <w:rFonts w:ascii="Times New Roman" w:hAnsi="Times New Roman"/>
          <w:sz w:val="24"/>
          <w:szCs w:val="24"/>
        </w:rPr>
        <w:t xml:space="preserve">) otorgue cobertura de seguro de desgravamen por su situación de invalidez conforme a la póliza de desgravamen adquirida a través del Banco Interbank; </w:t>
      </w:r>
    </w:p>
    <w:p w:rsidRPr="00D207B7" w:rsidR="00D207B7" w:rsidP="00D207B7" w:rsidRDefault="00D207B7" w14:paraId="0F3500AF" w14:textId="77777777">
      <w:pPr>
        <w:jc w:val="both"/>
        <w:rPr>
          <w:rFonts w:ascii="Times New Roman" w:hAnsi="Times New Roman"/>
          <w:sz w:val="24"/>
          <w:szCs w:val="24"/>
        </w:rPr>
      </w:pPr>
      <w:r w:rsidRPr="00D207B7">
        <w:rPr>
          <w:rFonts w:ascii="Times New Roman" w:hAnsi="Times New Roman"/>
          <w:sz w:val="24"/>
          <w:szCs w:val="24"/>
        </w:rPr>
        <w:t>Que, la señalada reclamación cumple con los requisitos de materia, cuantía y oportunidad establecidos en el Reglamento de la DEFASEG (http://www.defaseg.com.pe/reglamento);</w:t>
      </w:r>
    </w:p>
    <w:p w:rsidRPr="00D207B7" w:rsidR="00D207B7" w:rsidP="00D207B7" w:rsidRDefault="00D207B7" w14:paraId="508AE291" w14:textId="77777777">
      <w:pPr>
        <w:jc w:val="both"/>
        <w:rPr>
          <w:rFonts w:ascii="Times New Roman" w:hAnsi="Times New Roman"/>
          <w:sz w:val="24"/>
          <w:szCs w:val="24"/>
        </w:rPr>
      </w:pPr>
      <w:r w:rsidRPr="00D207B7">
        <w:rPr>
          <w:rFonts w:ascii="Times New Roman" w:hAnsi="Times New Roman"/>
          <w:sz w:val="24"/>
          <w:szCs w:val="24"/>
        </w:rPr>
        <w:t>Que, habiéndose corrido traslado de la respectiva reclamación, la aseguradora presentó sus descargos el 15 de octubre de 2024, adjuntando la documentación correspondiente.</w:t>
      </w:r>
    </w:p>
    <w:p w:rsidRPr="00D207B7" w:rsidR="00D207B7" w:rsidP="00D207B7" w:rsidRDefault="00D207B7" w14:paraId="7E373C7B" w14:textId="4583C49D">
      <w:pPr>
        <w:jc w:val="both"/>
        <w:rPr>
          <w:rFonts w:ascii="Times New Roman" w:hAnsi="Times New Roman"/>
          <w:sz w:val="24"/>
          <w:szCs w:val="24"/>
        </w:rPr>
      </w:pPr>
      <w:r w:rsidRPr="586655AF" w:rsidR="00D207B7">
        <w:rPr>
          <w:rFonts w:ascii="Times New Roman" w:hAnsi="Times New Roman"/>
          <w:sz w:val="24"/>
          <w:szCs w:val="24"/>
        </w:rPr>
        <w:t xml:space="preserve">Que, el 16 de diciembre de 2024 se realizó la correspondiente audiencia de vista con la sola participación de la compañía de seguro, oportunidad en la cual expuso su posición </w:t>
      </w:r>
      <w:r w:rsidRPr="586655AF" w:rsidR="00D207B7">
        <w:rPr>
          <w:rFonts w:ascii="Times New Roman" w:hAnsi="Times New Roman"/>
          <w:sz w:val="24"/>
          <w:szCs w:val="24"/>
        </w:rPr>
        <w:t>y  absolvió</w:t>
      </w:r>
      <w:r w:rsidRPr="586655AF" w:rsidR="00D207B7">
        <w:rPr>
          <w:rFonts w:ascii="Times New Roman" w:hAnsi="Times New Roman"/>
          <w:sz w:val="24"/>
          <w:szCs w:val="24"/>
        </w:rPr>
        <w:t xml:space="preserve"> las distintas preguntas formuladas, dejándose constancia de la inasistencia de la reclamante pese a haber sido oportunamente convocada, conforme consta de la correspondiente acta.</w:t>
      </w:r>
    </w:p>
    <w:p w:rsidRPr="00D207B7" w:rsidR="00D207B7" w:rsidP="00D207B7" w:rsidRDefault="00D207B7" w14:paraId="4521E201" w14:textId="77777777">
      <w:pPr>
        <w:jc w:val="both"/>
        <w:rPr>
          <w:rFonts w:ascii="Times New Roman" w:hAnsi="Times New Roman"/>
          <w:sz w:val="24"/>
          <w:szCs w:val="24"/>
        </w:rPr>
      </w:pPr>
      <w:r w:rsidRPr="00D207B7">
        <w:rPr>
          <w:rFonts w:ascii="Times New Roman" w:hAnsi="Times New Roman"/>
          <w:sz w:val="24"/>
          <w:szCs w:val="24"/>
        </w:rPr>
        <w:t>Que, la reclamante sustenta su pedido resumidamente en lo siguiente: a) A la fecha padece de insuficiencia renal crónica en estadio terminal, lo que la obliga a dializarse res veces por semana y depender de una máquina; b) desde este año ya no trabaja y no puede seguir pagando su deuda con Interbank; c) en diciembre presentó la documentación al Banco para solicitar el uso del seguro de desgravamen, pero su solicitud fue rechazada, a diferencia de otro banco que sí aceptó su solicitud; d) la única opción que le ofreció Interbank fue refinanciar su deuda, la representante que la atendió le indicó que aceptara el refinanciamiento con la promesa de que con un segundo dictamen COMAFP se volvería a evaluar su caso; e) a pesar que Interbank estaba informada de su condición médica formalizaron este refinanciamiento, ahora al presentar el nuevo dictamen le informan que no procede la cobertura ya que al momento de firmar el refinanciamiento, este año, ya padecía la enfermedad; f) es sorprendente y decepcionante el manejo y trato recibido, considerando su disposición siempre presente para cumplir con sus obligaciones de pago, su intención no fue eludir el pago, sino encontrar un solución viable; solicita la evaluación de su caso y apoyo para encontrar una solución justa y humana a su situación.</w:t>
      </w:r>
    </w:p>
    <w:p w:rsidRPr="00D207B7" w:rsidR="00D207B7" w:rsidP="00D207B7" w:rsidRDefault="00D207B7" w14:paraId="46562DA8" w14:textId="033C0B62">
      <w:pPr>
        <w:jc w:val="both"/>
        <w:rPr>
          <w:rFonts w:ascii="Times New Roman" w:hAnsi="Times New Roman"/>
          <w:sz w:val="24"/>
          <w:szCs w:val="24"/>
        </w:rPr>
      </w:pPr>
      <w:r w:rsidRPr="586655AF" w:rsidR="00D207B7">
        <w:rPr>
          <w:rFonts w:ascii="Times New Roman" w:hAnsi="Times New Roman"/>
          <w:sz w:val="24"/>
          <w:szCs w:val="24"/>
        </w:rPr>
        <w:t xml:space="preserve">Que, por su parte la aseguradora ratifica el rechazo de cobertura, sustentando su posición resumidamente en lo siguiente: a) la reclamante contrató con fecha 17 de abril de 2023,  la póliza de desgravamen individual No. </w:t>
      </w:r>
      <w:r w:rsidRPr="586655AF" w:rsidR="41465E88">
        <w:rPr>
          <w:rFonts w:ascii="Times New Roman" w:hAnsi="Times New Roman"/>
          <w:sz w:val="24"/>
          <w:szCs w:val="24"/>
        </w:rPr>
        <w:t>.....................................</w:t>
      </w:r>
      <w:r w:rsidRPr="586655AF" w:rsidR="00D207B7">
        <w:rPr>
          <w:rFonts w:ascii="Times New Roman" w:hAnsi="Times New Roman"/>
          <w:sz w:val="24"/>
          <w:szCs w:val="24"/>
        </w:rPr>
        <w:t xml:space="preserve">, referido al mismo crédito; b) adjuntan constancia de envío de la póliza correspondiente el 25 de abril de 2023, con constancia de leído el 05 de mayo de 2023; c) con fecha 16 de enero de 2024, la reclamante solicito la activación del seguro, presentando un dictamen COMAFP que le otorga una invalidez de grado total  y naturaleza temporal; la cual es declarada improcedente con fecha 09 de febrero del mismo año, en tanto solo se cubría la invalidez total y permanente; d) posteriormente con fecha 20 de febrero de 2024, la reclamante contrató un nuevo seguro de </w:t>
      </w:r>
      <w:r w:rsidRPr="586655AF" w:rsidR="00D207B7">
        <w:rPr>
          <w:rFonts w:ascii="Times New Roman" w:hAnsi="Times New Roman"/>
          <w:sz w:val="24"/>
          <w:szCs w:val="24"/>
        </w:rPr>
        <w:t xml:space="preserve">desgravamen individual referido al crédito refinanciado; adjuntan constancia de entrega de la póliza el 15 de marzo de 2023 al correo electrónico de la reclamante; e) con fecha 03 de setiembre de 2024, la reclamante volvió a solicitar la activación del seguro, pero esta vez se identificó que además de señalar una invalidez total de naturaleza temporal, la causa de la invalidez sería una enfermedad preexistente a la contratación del seguro; motivo por el cual se rechazó su solicitud;  pues la preexistencia es una causal de exclusión de acuerdo a lo establecido en la póliza; f) la reclamante señala que Interbank le habría brindado una atención deficiente, provocando que su solicitud de cobertura sea rechazada, al respecto señalan que dicha situación debería ser reclamada directamente al banco; sin perjuicio de ello, señalan que la enfermedad preexistente es diagnosticada desde febrero de 2023, siendo que el primer crédito contratado por la señora Noriega en fecha posterior, esto es, el 17 de abril de 2023;  g) </w:t>
      </w:r>
      <w:r w:rsidRPr="586655AF" w:rsidR="54F631BB">
        <w:rPr>
          <w:rFonts w:ascii="Times New Roman" w:hAnsi="Times New Roman"/>
          <w:sz w:val="24"/>
          <w:szCs w:val="24"/>
        </w:rPr>
        <w:t>..............................</w:t>
      </w:r>
      <w:r w:rsidRPr="586655AF" w:rsidR="00D207B7">
        <w:rPr>
          <w:rFonts w:ascii="Times New Roman" w:hAnsi="Times New Roman"/>
          <w:sz w:val="24"/>
          <w:szCs w:val="24"/>
        </w:rPr>
        <w:t xml:space="preserve"> respondió a ambas solicitudes de cobertura rechazando el seguro en base a lo establecido en la póliza.</w:t>
      </w:r>
    </w:p>
    <w:p w:rsidR="00D207B7" w:rsidP="00D207B7" w:rsidRDefault="00D207B7" w14:paraId="11D80BE8" w14:textId="77777777">
      <w:pPr>
        <w:jc w:val="both"/>
        <w:rPr>
          <w:rFonts w:ascii="Times New Roman" w:hAnsi="Times New Roman"/>
          <w:sz w:val="24"/>
          <w:szCs w:val="24"/>
        </w:rPr>
      </w:pPr>
      <w:r w:rsidRPr="00D207B7">
        <w:rPr>
          <w:rFonts w:ascii="Times New Roman" w:hAnsi="Times New Roman"/>
          <w:b/>
          <w:bCs/>
          <w:sz w:val="24"/>
          <w:szCs w:val="24"/>
        </w:rPr>
        <w:t>Considerando:</w:t>
      </w:r>
    </w:p>
    <w:p w:rsidRPr="00D207B7" w:rsidR="00D207B7" w:rsidP="00D207B7" w:rsidRDefault="00D207B7" w14:paraId="57A3824B" w14:textId="123EE4B1">
      <w:pPr>
        <w:jc w:val="both"/>
        <w:rPr>
          <w:rFonts w:ascii="Times New Roman" w:hAnsi="Times New Roman"/>
          <w:sz w:val="24"/>
          <w:szCs w:val="24"/>
        </w:rPr>
      </w:pPr>
      <w:r w:rsidRPr="00D207B7">
        <w:rPr>
          <w:rFonts w:ascii="Times New Roman" w:hAnsi="Times New Roman"/>
          <w:b/>
          <w:sz w:val="24"/>
          <w:szCs w:val="24"/>
          <w:u w:val="single"/>
        </w:rPr>
        <w:t>Primero</w:t>
      </w:r>
      <w:r w:rsidRPr="00D207B7">
        <w:rPr>
          <w:rFonts w:ascii="Times New Roman" w:hAnsi="Times New Roman"/>
          <w:b/>
          <w:sz w:val="24"/>
          <w:szCs w:val="24"/>
        </w:rPr>
        <w:t xml:space="preserve">: </w:t>
      </w:r>
      <w:r w:rsidRPr="00D207B7">
        <w:rPr>
          <w:rFonts w:ascii="Times New Roman" w:hAnsi="Times New Roman"/>
          <w:sz w:val="24"/>
          <w:szCs w:val="24"/>
        </w:rPr>
        <w:t>Conforme a su Reglamento, la</w:t>
      </w:r>
      <w:r w:rsidRPr="00D207B7">
        <w:rPr>
          <w:rFonts w:ascii="Times New Roman" w:hAnsi="Times New Roman"/>
          <w:b/>
          <w:bCs/>
          <w:sz w:val="24"/>
          <w:szCs w:val="24"/>
        </w:rPr>
        <w:t xml:space="preserve"> </w:t>
      </w:r>
      <w:r w:rsidRPr="00D207B7">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D207B7" w:rsidR="00D207B7" w:rsidP="00D207B7" w:rsidRDefault="00D207B7" w14:paraId="0E611EF5" w14:textId="77777777">
      <w:pPr>
        <w:jc w:val="both"/>
        <w:rPr>
          <w:rFonts w:ascii="Times New Roman" w:hAnsi="Times New Roman"/>
          <w:bCs/>
          <w:sz w:val="24"/>
          <w:szCs w:val="24"/>
        </w:rPr>
      </w:pPr>
      <w:r w:rsidRPr="00D207B7">
        <w:rPr>
          <w:rFonts w:ascii="Times New Roman" w:hAnsi="Times New Roman"/>
          <w:b/>
          <w:bCs/>
          <w:sz w:val="24"/>
          <w:szCs w:val="24"/>
          <w:u w:val="single"/>
        </w:rPr>
        <w:t>Segundo</w:t>
      </w:r>
      <w:r w:rsidRPr="00D207B7">
        <w:rPr>
          <w:rFonts w:ascii="Times New Roman" w:hAnsi="Times New Roman"/>
          <w:b/>
          <w:bCs/>
          <w:sz w:val="24"/>
          <w:szCs w:val="24"/>
        </w:rPr>
        <w:t>:</w:t>
      </w:r>
      <w:r w:rsidRPr="00D207B7">
        <w:rPr>
          <w:rFonts w:ascii="Times New Roman" w:hAnsi="Times New Roman"/>
          <w:bCs/>
          <w:sz w:val="24"/>
          <w:szCs w:val="24"/>
        </w:rPr>
        <w:t xml:space="preserve"> </w:t>
      </w:r>
      <w:r w:rsidRPr="00D207B7">
        <w:rPr>
          <w:rFonts w:ascii="Times New Roman" w:hAnsi="Times New Roman"/>
          <w:sz w:val="24"/>
          <w:szCs w:val="24"/>
        </w:rPr>
        <w:t xml:space="preserve">Asimismo, de acuerdo a </w:t>
      </w:r>
      <w:r w:rsidRPr="00D207B7">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D207B7" w:rsidR="00D207B7" w:rsidP="00D207B7" w:rsidRDefault="00D207B7" w14:paraId="2F5DE591" w14:textId="77777777">
      <w:pPr>
        <w:jc w:val="both"/>
        <w:rPr>
          <w:rFonts w:ascii="Times New Roman" w:hAnsi="Times New Roman"/>
          <w:sz w:val="24"/>
          <w:szCs w:val="24"/>
          <w:lang w:val="es-ES"/>
        </w:rPr>
      </w:pPr>
      <w:r w:rsidRPr="00D207B7">
        <w:rPr>
          <w:rFonts w:ascii="Times New Roman" w:hAnsi="Times New Roman"/>
          <w:b/>
          <w:bCs/>
          <w:sz w:val="24"/>
          <w:szCs w:val="24"/>
          <w:u w:val="single"/>
        </w:rPr>
        <w:t>Tercero</w:t>
      </w:r>
      <w:r w:rsidRPr="00D207B7">
        <w:rPr>
          <w:rFonts w:ascii="Times New Roman" w:hAnsi="Times New Roman"/>
          <w:b/>
          <w:bCs/>
          <w:sz w:val="24"/>
          <w:szCs w:val="24"/>
        </w:rPr>
        <w:t>:</w:t>
      </w:r>
      <w:r w:rsidRPr="00D207B7">
        <w:rPr>
          <w:rFonts w:ascii="Times New Roman" w:hAnsi="Times New Roman"/>
          <w:sz w:val="24"/>
          <w:szCs w:val="24"/>
        </w:rPr>
        <w:t xml:space="preserve"> Que, de acuerdo a la Ley Nro. </w:t>
      </w:r>
      <w:r w:rsidRPr="00D207B7">
        <w:rPr>
          <w:rFonts w:ascii="Times New Roman" w:hAnsi="Times New Roman"/>
          <w:sz w:val="24"/>
          <w:szCs w:val="24"/>
          <w:lang w:val="es-ES"/>
        </w:rPr>
        <w:t xml:space="preserve">29946 – Ley del Contrato de Seguro, norma legal vigente con ocasión de la celebración del contrato al cual se contrae el presente caso, </w:t>
      </w:r>
      <w:r w:rsidRPr="00D207B7">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D207B7" w:rsidR="00D207B7" w:rsidP="00D207B7" w:rsidRDefault="00D207B7" w14:paraId="742D84BF" w14:textId="77777777">
      <w:pPr>
        <w:jc w:val="both"/>
        <w:rPr>
          <w:rFonts w:ascii="Times New Roman" w:hAnsi="Times New Roman"/>
          <w:sz w:val="24"/>
          <w:szCs w:val="24"/>
        </w:rPr>
      </w:pPr>
      <w:r w:rsidRPr="00D207B7">
        <w:rPr>
          <w:rFonts w:ascii="Times New Roman" w:hAnsi="Times New Roman"/>
          <w:b/>
          <w:sz w:val="24"/>
          <w:szCs w:val="24"/>
          <w:u w:val="single"/>
        </w:rPr>
        <w:t>Cuarto</w:t>
      </w:r>
      <w:r w:rsidRPr="00D207B7">
        <w:rPr>
          <w:rFonts w:ascii="Times New Roman" w:hAnsi="Times New Roman"/>
          <w:b/>
          <w:sz w:val="24"/>
          <w:szCs w:val="24"/>
        </w:rPr>
        <w:t>:</w:t>
      </w:r>
      <w:r w:rsidRPr="00D207B7">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D207B7" w:rsidR="00D207B7" w:rsidP="00D207B7" w:rsidRDefault="00D207B7" w14:paraId="7340EE4B" w14:textId="77777777">
      <w:pPr>
        <w:jc w:val="both"/>
        <w:rPr>
          <w:rFonts w:ascii="Times New Roman" w:hAnsi="Times New Roman"/>
          <w:sz w:val="24"/>
          <w:szCs w:val="24"/>
          <w:lang w:val="es-ES"/>
        </w:rPr>
      </w:pPr>
      <w:r w:rsidRPr="00D207B7">
        <w:rPr>
          <w:rFonts w:ascii="Times New Roman" w:hAnsi="Times New Roman"/>
          <w:b/>
          <w:bCs/>
          <w:sz w:val="24"/>
          <w:szCs w:val="24"/>
          <w:u w:val="single"/>
        </w:rPr>
        <w:t>Quinto</w:t>
      </w:r>
      <w:r w:rsidRPr="00D207B7">
        <w:rPr>
          <w:rFonts w:ascii="Times New Roman" w:hAnsi="Times New Roman"/>
          <w:b/>
          <w:bCs/>
          <w:sz w:val="24"/>
          <w:szCs w:val="24"/>
        </w:rPr>
        <w:t xml:space="preserve">: </w:t>
      </w:r>
      <w:r w:rsidRPr="00D207B7">
        <w:rPr>
          <w:rFonts w:ascii="Times New Roman" w:hAnsi="Times New Roman"/>
          <w:sz w:val="24"/>
          <w:szCs w:val="24"/>
        </w:rPr>
        <w:t>Que, conforme al</w:t>
      </w:r>
      <w:r w:rsidRPr="00D207B7">
        <w:rPr>
          <w:rFonts w:ascii="Times New Roman" w:hAnsi="Times New Roman"/>
          <w:b/>
          <w:bCs/>
          <w:sz w:val="24"/>
          <w:szCs w:val="24"/>
        </w:rPr>
        <w:t xml:space="preserve"> </w:t>
      </w:r>
      <w:r w:rsidRPr="00D207B7">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D207B7" w:rsidR="00D207B7" w:rsidP="00D207B7" w:rsidRDefault="00D207B7" w14:paraId="1D029ACD" w14:textId="77777777">
      <w:pPr>
        <w:jc w:val="both"/>
        <w:rPr>
          <w:rFonts w:ascii="Times New Roman" w:hAnsi="Times New Roman"/>
          <w:sz w:val="24"/>
          <w:szCs w:val="24"/>
          <w:lang w:val="es-ES"/>
        </w:rPr>
      </w:pPr>
    </w:p>
    <w:p w:rsidRPr="00D207B7" w:rsidR="00D207B7" w:rsidP="00D207B7" w:rsidRDefault="00D207B7" w14:paraId="07F95F27" w14:textId="77777777">
      <w:pPr>
        <w:jc w:val="both"/>
        <w:rPr>
          <w:rFonts w:ascii="Times New Roman" w:hAnsi="Times New Roman"/>
          <w:sz w:val="24"/>
          <w:szCs w:val="24"/>
          <w:lang w:val="es-ES"/>
        </w:rPr>
      </w:pPr>
      <w:r w:rsidRPr="00D207B7">
        <w:rPr>
          <w:rFonts w:ascii="Times New Roman" w:hAnsi="Times New Roman"/>
          <w:b/>
          <w:sz w:val="24"/>
          <w:szCs w:val="24"/>
          <w:u w:val="single"/>
          <w:lang w:val="es-ES"/>
        </w:rPr>
        <w:t>Sexto</w:t>
      </w:r>
      <w:r w:rsidRPr="00D207B7">
        <w:rPr>
          <w:rFonts w:ascii="Times New Roman" w:hAnsi="Times New Roman"/>
          <w:b/>
          <w:sz w:val="24"/>
          <w:szCs w:val="24"/>
          <w:lang w:val="es-ES"/>
        </w:rPr>
        <w:t>:</w:t>
      </w:r>
      <w:r w:rsidRPr="00D207B7">
        <w:rPr>
          <w:rFonts w:ascii="Times New Roman" w:hAnsi="Times New Roman"/>
          <w:b/>
          <w:sz w:val="24"/>
          <w:szCs w:val="24"/>
        </w:rPr>
        <w:t xml:space="preserve"> </w:t>
      </w:r>
      <w:r w:rsidRPr="00D207B7">
        <w:rPr>
          <w:rFonts w:ascii="Times New Roman" w:hAnsi="Times New Roman"/>
          <w:sz w:val="24"/>
          <w:szCs w:val="24"/>
        </w:rPr>
        <w:t xml:space="preserve">Sobre la base de los </w:t>
      </w:r>
      <w:r w:rsidRPr="00D207B7">
        <w:rPr>
          <w:rFonts w:ascii="Times New Roman" w:hAnsi="Times New Roman"/>
          <w:sz w:val="24"/>
          <w:szCs w:val="24"/>
          <w:lang w:val="es-ES"/>
        </w:rPr>
        <w:t>términos contenidos en el rechazo, la reclamación y en la respectiva absolución, así como a lo tratado en la audiencia de vista, la solución de la presente controversia consiste en determinar si el rechazo de cobertura, resulta o no legítimo.</w:t>
      </w:r>
    </w:p>
    <w:p w:rsidRPr="00D207B7" w:rsidR="00D207B7" w:rsidP="00D207B7" w:rsidRDefault="00D207B7" w14:paraId="6EAF55EA" w14:textId="77777777">
      <w:pPr>
        <w:jc w:val="both"/>
        <w:rPr>
          <w:rFonts w:ascii="Times New Roman" w:hAnsi="Times New Roman"/>
          <w:sz w:val="24"/>
          <w:szCs w:val="24"/>
          <w:lang w:val="es-ES"/>
        </w:rPr>
      </w:pPr>
      <w:r w:rsidRPr="00D207B7">
        <w:rPr>
          <w:rFonts w:ascii="Times New Roman" w:hAnsi="Times New Roman"/>
          <w:sz w:val="24"/>
          <w:szCs w:val="24"/>
          <w:lang w:val="es-ES"/>
        </w:rPr>
        <w:t>En este caso se aprecia que, que las cartas de rechazo  señalan que no procede la cobertura porque la invalidez no correspondía a una invalidez permanente, sino temporal y porque deriva de una enfermedad preexistente.</w:t>
      </w:r>
    </w:p>
    <w:p w:rsidRPr="00D207B7" w:rsidR="00D207B7" w:rsidP="00D207B7" w:rsidRDefault="00D207B7" w14:paraId="61A43CFD" w14:textId="77777777">
      <w:pPr>
        <w:jc w:val="both"/>
        <w:rPr>
          <w:rFonts w:ascii="Times New Roman" w:hAnsi="Times New Roman"/>
          <w:sz w:val="24"/>
          <w:szCs w:val="24"/>
          <w:lang w:val="es-ES"/>
        </w:rPr>
      </w:pPr>
      <w:r w:rsidRPr="00D207B7">
        <w:rPr>
          <w:rFonts w:ascii="Times New Roman" w:hAnsi="Times New Roman"/>
          <w:sz w:val="24"/>
          <w:szCs w:val="24"/>
          <w:lang w:val="es-ES"/>
        </w:rPr>
        <w:t>Teniendo en cuenta que para que proceda la cobertura de seguro, debe acreditarse que se ha producido el riesgo asegurado, es decir, la invalidez invocada, en primer lugar se analizará si la misma se encuentra acreditada; y de, estarlo, se analizara si la misma se deriva de una enfermedad preexistente.</w:t>
      </w:r>
    </w:p>
    <w:p w:rsidRPr="00D207B7" w:rsidR="00D207B7" w:rsidP="00D207B7" w:rsidRDefault="00D207B7" w14:paraId="340DA773" w14:textId="3DA2CF35">
      <w:pPr>
        <w:jc w:val="both"/>
        <w:rPr>
          <w:rFonts w:ascii="Times New Roman" w:hAnsi="Times New Roman"/>
          <w:sz w:val="24"/>
          <w:szCs w:val="24"/>
          <w:lang w:val="es-419"/>
        </w:rPr>
      </w:pPr>
      <w:r w:rsidRPr="586655AF" w:rsidR="00D207B7">
        <w:rPr>
          <w:rFonts w:ascii="Times New Roman" w:hAnsi="Times New Roman"/>
          <w:b w:val="1"/>
          <w:bCs w:val="1"/>
          <w:sz w:val="24"/>
          <w:szCs w:val="24"/>
          <w:u w:val="single"/>
        </w:rPr>
        <w:t>Sétimo:</w:t>
      </w:r>
      <w:r w:rsidRPr="586655AF" w:rsidR="00D207B7">
        <w:rPr>
          <w:rFonts w:ascii="Times New Roman" w:hAnsi="Times New Roman"/>
          <w:sz w:val="24"/>
          <w:szCs w:val="24"/>
        </w:rPr>
        <w:t xml:space="preserve"> </w:t>
      </w:r>
      <w:r w:rsidRPr="586655AF" w:rsidR="00D207B7">
        <w:rPr>
          <w:rFonts w:ascii="Times New Roman" w:hAnsi="Times New Roman"/>
          <w:sz w:val="24"/>
          <w:szCs w:val="24"/>
          <w:lang w:val="es-419"/>
        </w:rPr>
        <w:t>En materia de seguros es aceptado que la cobertura se puede delimitar tanto positiva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se deben aplicar literalmente, descansando su carga probatoria en la aseguradora.</w:t>
      </w:r>
    </w:p>
    <w:p w:rsidRPr="00D207B7" w:rsidR="00D207B7" w:rsidP="00D207B7" w:rsidRDefault="00D207B7" w14:paraId="695DADD3" w14:textId="772E3E41">
      <w:pPr>
        <w:jc w:val="both"/>
        <w:rPr>
          <w:rFonts w:ascii="Times New Roman" w:hAnsi="Times New Roman"/>
          <w:sz w:val="24"/>
          <w:szCs w:val="24"/>
          <w:lang w:val="es-419"/>
        </w:rPr>
      </w:pPr>
      <w:r w:rsidRPr="00D207B7">
        <w:rPr>
          <w:rFonts w:ascii="Times New Roman" w:hAnsi="Times New Roman"/>
          <w:sz w:val="24"/>
          <w:szCs w:val="24"/>
          <w:lang w:val="es-419"/>
        </w:rPr>
        <w:t>En el caso de la configuración del siniestro, es decir a la situación de invalidez total permanente conforme a ley, la carga de la prueba de acreditarlo corresponde al asegurado. Es por ello que el artículo 77 de la Ley 29946, Ley del Contrato de Seguro señala:</w:t>
      </w:r>
    </w:p>
    <w:p w:rsidRPr="00D207B7" w:rsidR="00D207B7" w:rsidP="00C560A9" w:rsidRDefault="00D207B7" w14:paraId="49E25CE1" w14:textId="77777777">
      <w:pPr>
        <w:ind w:left="708"/>
        <w:jc w:val="both"/>
        <w:rPr>
          <w:rFonts w:ascii="Times New Roman" w:hAnsi="Times New Roman"/>
          <w:b/>
          <w:bCs/>
          <w:i/>
          <w:iCs/>
          <w:sz w:val="24"/>
          <w:szCs w:val="24"/>
          <w:lang w:val="es-ES"/>
        </w:rPr>
      </w:pPr>
      <w:r w:rsidRPr="00D207B7">
        <w:rPr>
          <w:rFonts w:ascii="Times New Roman" w:hAnsi="Times New Roman"/>
          <w:b/>
          <w:bCs/>
          <w:i/>
          <w:iCs/>
          <w:sz w:val="24"/>
          <w:szCs w:val="24"/>
          <w:lang w:val="es-419"/>
        </w:rPr>
        <w:t>“</w:t>
      </w:r>
      <w:r w:rsidRPr="00D207B7">
        <w:rPr>
          <w:rFonts w:ascii="Times New Roman" w:hAnsi="Times New Roman"/>
          <w:b/>
          <w:bCs/>
          <w:i/>
          <w:iCs/>
          <w:sz w:val="24"/>
          <w:szCs w:val="24"/>
          <w:lang w:val="es-ES"/>
        </w:rPr>
        <w:t>Artículo 77. Cargas de las partes</w:t>
      </w:r>
    </w:p>
    <w:p w:rsidRPr="00D207B7" w:rsidR="00D207B7" w:rsidP="00C560A9" w:rsidRDefault="00D207B7" w14:paraId="0C120CCB" w14:textId="77777777">
      <w:pPr>
        <w:ind w:left="708"/>
        <w:jc w:val="both"/>
        <w:rPr>
          <w:rFonts w:ascii="Times New Roman" w:hAnsi="Times New Roman"/>
          <w:b/>
          <w:bCs/>
          <w:i/>
          <w:iCs/>
          <w:sz w:val="24"/>
          <w:szCs w:val="24"/>
          <w:lang w:val="es-ES"/>
        </w:rPr>
      </w:pPr>
      <w:r w:rsidRPr="00D207B7">
        <w:rPr>
          <w:rFonts w:ascii="Times New Roman" w:hAnsi="Times New Roman"/>
          <w:i/>
          <w:iCs/>
          <w:sz w:val="24"/>
          <w:szCs w:val="24"/>
          <w:lang w:val="es-ES"/>
        </w:rPr>
        <w:t>Corresponde al asegurado demostrar la ocurrencia del siniestro, así como la cuantía de la pérdida si fuera el caso, y al asegurador la carga de demostrar las causas que lo liberan de su prestación indemnizatoria.”</w:t>
      </w:r>
    </w:p>
    <w:p w:rsidRPr="00D207B7" w:rsidR="00D207B7" w:rsidP="00D207B7" w:rsidRDefault="00D207B7" w14:paraId="2B816E30" w14:textId="77777777">
      <w:pPr>
        <w:jc w:val="both"/>
        <w:rPr>
          <w:rFonts w:ascii="Times New Roman" w:hAnsi="Times New Roman"/>
          <w:sz w:val="24"/>
          <w:szCs w:val="24"/>
        </w:rPr>
      </w:pPr>
    </w:p>
    <w:p w:rsidRPr="00D207B7" w:rsidR="00D207B7" w:rsidP="00D207B7" w:rsidRDefault="00D207B7" w14:paraId="2F2268A7" w14:textId="1FDAE00A">
      <w:pPr>
        <w:jc w:val="both"/>
        <w:rPr>
          <w:rFonts w:ascii="Times New Roman" w:hAnsi="Times New Roman"/>
          <w:sz w:val="24"/>
          <w:szCs w:val="24"/>
          <w:lang w:val="es-ES"/>
        </w:rPr>
      </w:pPr>
      <w:r w:rsidRPr="00D207B7">
        <w:rPr>
          <w:rFonts w:ascii="Times New Roman" w:hAnsi="Times New Roman"/>
          <w:sz w:val="24"/>
          <w:szCs w:val="24"/>
          <w:lang w:val="es-ES"/>
        </w:rPr>
        <w:t>Asimismo, la séptima regla de interpretación del contrato de seguro, establecida en la Ley 29946, Ley del Contrato de Seguro, señala:</w:t>
      </w:r>
    </w:p>
    <w:p w:rsidRPr="00D207B7" w:rsidR="00D207B7" w:rsidP="586655AF" w:rsidRDefault="00D207B7" w14:paraId="17EB7508" w14:textId="0162518C">
      <w:pPr>
        <w:ind w:left="708"/>
        <w:jc w:val="both"/>
        <w:rPr>
          <w:rFonts w:ascii="Times New Roman" w:hAnsi="Times New Roman"/>
          <w:i w:val="1"/>
          <w:iCs w:val="1"/>
          <w:sz w:val="24"/>
          <w:szCs w:val="24"/>
          <w:lang w:val="es-ES"/>
        </w:rPr>
      </w:pPr>
      <w:r w:rsidRPr="586655AF" w:rsidR="00D207B7">
        <w:rPr>
          <w:rFonts w:ascii="Times New Roman" w:hAnsi="Times New Roman"/>
          <w:b w:val="1"/>
          <w:bCs w:val="1"/>
          <w:i w:val="1"/>
          <w:iCs w:val="1"/>
          <w:sz w:val="24"/>
          <w:szCs w:val="24"/>
          <w:lang w:val="es-ES"/>
        </w:rPr>
        <w:t>“Séptima.</w:t>
      </w:r>
      <w:r w:rsidRPr="586655AF" w:rsidR="00D207B7">
        <w:rPr>
          <w:rFonts w:ascii="Times New Roman" w:hAnsi="Times New Roman"/>
          <w:i w:val="1"/>
          <w:iCs w:val="1"/>
          <w:sz w:val="24"/>
          <w:szCs w:val="24"/>
          <w:lang w:val="es-ES"/>
        </w:rPr>
        <w:t xml:space="preserve"> La cobertura, exclusiones y, en general, la extensión del </w:t>
      </w:r>
      <w:r w:rsidRPr="586655AF" w:rsidR="00D207B7">
        <w:rPr>
          <w:rFonts w:ascii="Times New Roman" w:hAnsi="Times New Roman"/>
          <w:i w:val="1"/>
          <w:iCs w:val="1"/>
          <w:sz w:val="24"/>
          <w:szCs w:val="24"/>
          <w:lang w:val="es-ES"/>
        </w:rPr>
        <w:t>riesgo</w:t>
      </w:r>
      <w:r w:rsidRPr="586655AF" w:rsidR="00D207B7">
        <w:rPr>
          <w:rFonts w:ascii="Times New Roman" w:hAnsi="Times New Roman"/>
          <w:i w:val="1"/>
          <w:iCs w:val="1"/>
          <w:sz w:val="24"/>
          <w:szCs w:val="24"/>
          <w:lang w:val="es-ES"/>
        </w:rPr>
        <w:t xml:space="preserve"> así como los derechos de los beneficiarios, previstos en el contrato de seguro, deben interpretarse literalmente”.</w:t>
      </w:r>
    </w:p>
    <w:p w:rsidRPr="00D207B7" w:rsidR="00D207B7" w:rsidP="00D207B7" w:rsidRDefault="00D207B7" w14:paraId="6818C5EF" w14:textId="4656A036">
      <w:pPr>
        <w:jc w:val="both"/>
        <w:rPr>
          <w:rFonts w:ascii="Times New Roman" w:hAnsi="Times New Roman"/>
          <w:sz w:val="24"/>
          <w:szCs w:val="24"/>
        </w:rPr>
      </w:pPr>
      <w:r w:rsidRPr="00D207B7">
        <w:rPr>
          <w:rFonts w:ascii="Times New Roman" w:hAnsi="Times New Roman"/>
          <w:sz w:val="24"/>
          <w:szCs w:val="24"/>
        </w:rPr>
        <w:lastRenderedPageBreak/>
        <w:t>En este caso, se aprecia que la póliza otorga cobertura por fallecimiento y por invalidez total PERMANENTE (el énfasis es nuestro). Es decir, no cubre ante una situación de invalidez parcial, ni ante una situación de invalidez temporal, así sea total.</w:t>
      </w:r>
    </w:p>
    <w:p w:rsidRPr="00D207B7" w:rsidR="00D207B7" w:rsidP="00D207B7" w:rsidRDefault="00D207B7" w14:paraId="391E2A73" w14:textId="01897568">
      <w:pPr>
        <w:jc w:val="both"/>
        <w:rPr>
          <w:rFonts w:ascii="Times New Roman" w:hAnsi="Times New Roman"/>
          <w:sz w:val="24"/>
          <w:szCs w:val="24"/>
        </w:rPr>
      </w:pPr>
      <w:r w:rsidRPr="00D207B7">
        <w:rPr>
          <w:rFonts w:ascii="Times New Roman" w:hAnsi="Times New Roman"/>
          <w:sz w:val="24"/>
          <w:szCs w:val="24"/>
        </w:rPr>
        <w:t>La reclamante ha presentado el segundo dictamen COMAFP, el cual, en efecto, reconoce una invalidez total por el diagnóstico de insuficiencia renal terminal, pero no otorga la naturaleza permanente a dicha condición, sino por el momento temporal.</w:t>
      </w:r>
    </w:p>
    <w:p w:rsidRPr="00D207B7" w:rsidR="00D207B7" w:rsidP="00D207B7" w:rsidRDefault="00D207B7" w14:paraId="60A77125" w14:textId="54FB6354">
      <w:pPr>
        <w:jc w:val="both"/>
        <w:rPr>
          <w:rFonts w:ascii="Times New Roman" w:hAnsi="Times New Roman"/>
          <w:sz w:val="24"/>
          <w:szCs w:val="24"/>
        </w:rPr>
      </w:pPr>
      <w:r w:rsidRPr="00D207B7">
        <w:rPr>
          <w:rFonts w:ascii="Times New Roman" w:hAnsi="Times New Roman"/>
          <w:sz w:val="24"/>
          <w:szCs w:val="24"/>
        </w:rPr>
        <w:t xml:space="preserve">Con lo cual, dicho dictamen no resulta suficiente para determinar que se ha configurado el riesgo de invalidez total y permanente previsto en la póliza para que se active la cobertura. </w:t>
      </w:r>
    </w:p>
    <w:p w:rsidRPr="00D207B7" w:rsidR="00D207B7" w:rsidP="00D207B7" w:rsidRDefault="00D207B7" w14:paraId="7FF8FFAC" w14:textId="1CA9BF5D">
      <w:pPr>
        <w:jc w:val="both"/>
        <w:rPr>
          <w:rFonts w:ascii="Times New Roman" w:hAnsi="Times New Roman"/>
          <w:sz w:val="24"/>
          <w:szCs w:val="24"/>
        </w:rPr>
      </w:pPr>
      <w:r w:rsidRPr="00D207B7">
        <w:rPr>
          <w:rFonts w:ascii="Times New Roman" w:hAnsi="Times New Roman"/>
          <w:sz w:val="24"/>
          <w:szCs w:val="24"/>
        </w:rPr>
        <w:t>En este caso, la aseguradora, pese a que no se había acreditado la naturaleza permanente de la invalidez, revisó los antecedentes consignados en el propio dictamen, y en base a ellos concluyó que la invocada invalidez deriva de una condición preexistente, no solo a la última póliza de desgravamen contratada en el año 2024, sino incluso a la póliza de desgravamen anterior contratada en abril de 2023.</w:t>
      </w:r>
    </w:p>
    <w:p w:rsidRPr="00D207B7" w:rsidR="00D207B7" w:rsidP="00D207B7" w:rsidRDefault="00D207B7" w14:paraId="4B1C22D2" w14:textId="696BC47E">
      <w:pPr>
        <w:jc w:val="both"/>
        <w:rPr>
          <w:rFonts w:ascii="Times New Roman" w:hAnsi="Times New Roman"/>
          <w:sz w:val="24"/>
          <w:szCs w:val="24"/>
        </w:rPr>
      </w:pPr>
      <w:r w:rsidRPr="00D207B7">
        <w:rPr>
          <w:rFonts w:ascii="Times New Roman" w:hAnsi="Times New Roman"/>
          <w:sz w:val="24"/>
          <w:szCs w:val="24"/>
        </w:rPr>
        <w:t>En efecto, en el dictamen COMAFP y en el informe médico que obra en el expediente, se aprecia que se indica que, desde febrero 2023, la reclamante tenía controles particulares por la enfermedad renal que presentaba, tal y como figura en el presente documento:</w:t>
      </w:r>
    </w:p>
    <w:p w:rsidR="33EAC2E5" w:rsidP="586655AF" w:rsidRDefault="33EAC2E5" w14:paraId="2CD0FD2A" w14:textId="73D0535D">
      <w:pPr>
        <w:jc w:val="both"/>
      </w:pPr>
      <w:r w:rsidR="33EAC2E5">
        <w:rPr/>
        <w:t>..............................................................................................................................................</w:t>
      </w:r>
    </w:p>
    <w:p w:rsidRPr="00D207B7" w:rsidR="00D207B7" w:rsidP="00D207B7" w:rsidRDefault="00D207B7" w14:paraId="446A09A1" w14:textId="1B79EEEE">
      <w:pPr>
        <w:jc w:val="both"/>
        <w:rPr>
          <w:rFonts w:ascii="Times New Roman" w:hAnsi="Times New Roman"/>
          <w:sz w:val="24"/>
          <w:szCs w:val="24"/>
        </w:rPr>
      </w:pPr>
      <w:r w:rsidRPr="00D207B7">
        <w:rPr>
          <w:rFonts w:ascii="Times New Roman" w:hAnsi="Times New Roman"/>
          <w:sz w:val="24"/>
          <w:szCs w:val="24"/>
        </w:rPr>
        <w:t>Sin perjuicio de ello, es decir, aun cuando no se hubiera invocado la exclusión por preexistencia, como se ha expresado anteriormente, no estando acreditada la naturaleza permanente de la invalidez, el reclamo resulta improcedente.</w:t>
      </w:r>
    </w:p>
    <w:p w:rsidRPr="00D207B7" w:rsidR="00D207B7" w:rsidP="586655AF" w:rsidRDefault="00D207B7" w14:paraId="298D8214" w14:textId="0ACD1BD9">
      <w:pPr>
        <w:jc w:val="both"/>
        <w:rPr>
          <w:rFonts w:ascii="Times New Roman" w:hAnsi="Times New Roman"/>
          <w:sz w:val="24"/>
          <w:szCs w:val="24"/>
        </w:rPr>
      </w:pPr>
      <w:r w:rsidRPr="586655AF" w:rsidR="00D207B7">
        <w:rPr>
          <w:rFonts w:ascii="Times New Roman" w:hAnsi="Times New Roman"/>
          <w:sz w:val="24"/>
          <w:szCs w:val="24"/>
        </w:rPr>
        <w:t xml:space="preserve">Atendiendo a lo expresado, este colegiado </w:t>
      </w:r>
      <w:r w:rsidRPr="586655AF" w:rsidR="00D207B7">
        <w:rPr>
          <w:rFonts w:ascii="Times New Roman" w:hAnsi="Times New Roman"/>
          <w:sz w:val="24"/>
          <w:szCs w:val="24"/>
          <w:lang w:val="es-ES"/>
        </w:rPr>
        <w:t>concluye su apreciación razonada y conjunta al amparo de lo establecido en el Reglamento de la DEFASEG, determinando que la solicitud de cobertura no resulta procedente; por lo que</w:t>
      </w:r>
      <w:r w:rsidRPr="586655AF" w:rsidR="00D207B7">
        <w:rPr>
          <w:rFonts w:ascii="Times New Roman" w:hAnsi="Times New Roman"/>
          <w:sz w:val="24"/>
          <w:szCs w:val="24"/>
        </w:rPr>
        <w:t xml:space="preserve"> </w:t>
      </w:r>
    </w:p>
    <w:p w:rsidRPr="00D207B7" w:rsidR="00D207B7" w:rsidP="00D207B7" w:rsidRDefault="00D207B7" w14:paraId="6120A459" w14:textId="2CF97DDE">
      <w:pPr>
        <w:jc w:val="both"/>
        <w:rPr>
          <w:rFonts w:ascii="Times New Roman" w:hAnsi="Times New Roman"/>
          <w:b/>
          <w:sz w:val="24"/>
          <w:szCs w:val="24"/>
        </w:rPr>
      </w:pPr>
      <w:r w:rsidRPr="00D207B7">
        <w:rPr>
          <w:rFonts w:ascii="Times New Roman" w:hAnsi="Times New Roman"/>
          <w:b/>
          <w:sz w:val="24"/>
          <w:szCs w:val="24"/>
        </w:rPr>
        <w:lastRenderedPageBreak/>
        <w:t>Resuelve:</w:t>
      </w:r>
    </w:p>
    <w:p w:rsidRPr="00D207B7" w:rsidR="00D207B7" w:rsidP="00D207B7" w:rsidRDefault="00D207B7" w14:paraId="3C4DE5F7" w14:textId="3487DBB4">
      <w:pPr>
        <w:jc w:val="both"/>
        <w:rPr>
          <w:rFonts w:ascii="Times New Roman" w:hAnsi="Times New Roman"/>
          <w:sz w:val="24"/>
          <w:szCs w:val="24"/>
        </w:rPr>
      </w:pPr>
      <w:r w:rsidRPr="586655AF" w:rsidR="00D207B7">
        <w:rPr>
          <w:rFonts w:ascii="Times New Roman" w:hAnsi="Times New Roman"/>
          <w:sz w:val="24"/>
          <w:szCs w:val="24"/>
        </w:rPr>
        <w:t xml:space="preserve">Declarar </w:t>
      </w:r>
      <w:r w:rsidRPr="586655AF" w:rsidR="00D207B7">
        <w:rPr>
          <w:rFonts w:ascii="Times New Roman" w:hAnsi="Times New Roman"/>
          <w:b w:val="1"/>
          <w:bCs w:val="1"/>
          <w:sz w:val="24"/>
          <w:szCs w:val="24"/>
        </w:rPr>
        <w:t xml:space="preserve">IMPROCEDENTE </w:t>
      </w:r>
      <w:r w:rsidRPr="586655AF" w:rsidR="00D207B7">
        <w:rPr>
          <w:rFonts w:ascii="Times New Roman" w:hAnsi="Times New Roman"/>
          <w:sz w:val="24"/>
          <w:szCs w:val="24"/>
        </w:rPr>
        <w:t xml:space="preserve">la reclamación interpuesta por doña </w:t>
      </w:r>
      <w:r w:rsidRPr="586655AF" w:rsidR="4A979C5C">
        <w:rPr>
          <w:rFonts w:ascii="Times New Roman" w:hAnsi="Times New Roman"/>
          <w:sz w:val="24"/>
          <w:szCs w:val="24"/>
        </w:rPr>
        <w:t>......................................................................................</w:t>
      </w:r>
      <w:r w:rsidRPr="586655AF" w:rsidR="00D207B7">
        <w:rPr>
          <w:rFonts w:ascii="Times New Roman" w:hAnsi="Times New Roman"/>
          <w:sz w:val="24"/>
          <w:szCs w:val="24"/>
        </w:rPr>
        <w:t xml:space="preserve">, respecto a la póliza de desgravamen contratada a través de Interbank; dejando a salvo el derecho de la reclamante, de acudir ante las instancias que estime pertinente.  </w:t>
      </w:r>
    </w:p>
    <w:p w:rsidRPr="00806BD8" w:rsidR="007E21A6" w:rsidP="00F3482B" w:rsidRDefault="00D00142" w14:paraId="2DE1D337" w14:textId="48014B60">
      <w:pPr>
        <w:jc w:val="right"/>
        <w:rPr>
          <w:rFonts w:ascii="Times New Roman" w:hAnsi="Times New Roman"/>
          <w:sz w:val="24"/>
          <w:szCs w:val="24"/>
        </w:rPr>
      </w:pPr>
      <w:r w:rsidRPr="00806BD8">
        <w:rPr>
          <w:rFonts w:ascii="Times New Roman" w:hAnsi="Times New Roman"/>
          <w:sz w:val="24"/>
          <w:szCs w:val="24"/>
        </w:rPr>
        <w:t>Lima,</w:t>
      </w:r>
      <w:r w:rsidRPr="00806BD8" w:rsidR="0034229F">
        <w:rPr>
          <w:rFonts w:ascii="Times New Roman" w:hAnsi="Times New Roman"/>
          <w:sz w:val="24"/>
          <w:szCs w:val="24"/>
        </w:rPr>
        <w:t xml:space="preserve"> </w:t>
      </w:r>
      <w:r w:rsidRPr="00806BD8" w:rsidR="00365C1E">
        <w:rPr>
          <w:rFonts w:ascii="Times New Roman" w:hAnsi="Times New Roman"/>
          <w:sz w:val="24"/>
          <w:szCs w:val="24"/>
        </w:rPr>
        <w:t>1</w:t>
      </w:r>
      <w:r w:rsidR="004D1B64">
        <w:rPr>
          <w:rFonts w:ascii="Times New Roman" w:hAnsi="Times New Roman"/>
          <w:sz w:val="24"/>
          <w:szCs w:val="24"/>
        </w:rPr>
        <w:t>9</w:t>
      </w:r>
      <w:r w:rsidRPr="00806BD8" w:rsidR="008B7675">
        <w:rPr>
          <w:rFonts w:ascii="Times New Roman" w:hAnsi="Times New Roman"/>
          <w:sz w:val="24"/>
          <w:szCs w:val="24"/>
        </w:rPr>
        <w:t xml:space="preserve"> </w:t>
      </w:r>
      <w:r w:rsidRPr="00806BD8">
        <w:rPr>
          <w:rFonts w:ascii="Times New Roman" w:hAnsi="Times New Roman"/>
          <w:sz w:val="24"/>
          <w:szCs w:val="24"/>
        </w:rPr>
        <w:t>de</w:t>
      </w:r>
      <w:r w:rsidRPr="00806BD8" w:rsidR="00D874A8">
        <w:rPr>
          <w:rFonts w:ascii="Times New Roman" w:hAnsi="Times New Roman"/>
          <w:sz w:val="24"/>
          <w:szCs w:val="24"/>
        </w:rPr>
        <w:t xml:space="preserve"> </w:t>
      </w:r>
      <w:r w:rsidRPr="00806BD8" w:rsidR="00A217F0">
        <w:rPr>
          <w:rFonts w:ascii="Times New Roman" w:hAnsi="Times New Roman"/>
          <w:sz w:val="24"/>
          <w:szCs w:val="24"/>
        </w:rPr>
        <w:t>diciembre</w:t>
      </w:r>
      <w:r w:rsidRPr="00806BD8" w:rsidR="000A7BCF">
        <w:rPr>
          <w:rFonts w:ascii="Times New Roman" w:hAnsi="Times New Roman"/>
          <w:sz w:val="24"/>
          <w:szCs w:val="24"/>
        </w:rPr>
        <w:t xml:space="preserve"> </w:t>
      </w:r>
      <w:r w:rsidRPr="00806BD8">
        <w:rPr>
          <w:rFonts w:ascii="Times New Roman" w:hAnsi="Times New Roman"/>
          <w:sz w:val="24"/>
          <w:szCs w:val="24"/>
        </w:rPr>
        <w:t>de 202</w:t>
      </w:r>
      <w:r w:rsidRPr="00806BD8" w:rsidR="00BF08F9">
        <w:rPr>
          <w:rFonts w:ascii="Times New Roman" w:hAnsi="Times New Roman"/>
          <w:sz w:val="24"/>
          <w:szCs w:val="24"/>
        </w:rPr>
        <w:t>4</w:t>
      </w:r>
    </w:p>
    <w:p w:rsidRPr="00806BD8" w:rsidR="00922F8A" w:rsidP="001A4E48" w:rsidRDefault="00922F8A" w14:paraId="370F6A9B" w14:textId="45F0A5A9">
      <w:pPr>
        <w:jc w:val="center"/>
        <w:rPr>
          <w:rFonts w:ascii="Times New Roman" w:hAnsi="Times New Roman"/>
          <w:b/>
          <w:bCs/>
          <w:i/>
          <w:iCs/>
          <w:sz w:val="24"/>
          <w:szCs w:val="24"/>
          <w:lang w:val="es-ES_tradnl"/>
        </w:rPr>
      </w:pPr>
      <w:r w:rsidRPr="00806BD8">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806BD8" w:rsidR="00922F8A" w:rsidP="00922F8A" w:rsidRDefault="00922F8A" w14:paraId="0EA87B5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Rolando Eyzaguirre Maccan – Presidente</w:t>
      </w:r>
    </w:p>
    <w:p w:rsidRPr="00806BD8" w:rsidR="00922F8A" w:rsidP="00922F8A" w:rsidRDefault="00922F8A" w14:paraId="7090BA3B"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María Eugenia Valdez Fernández Baca – Vocal</w:t>
      </w:r>
    </w:p>
    <w:p w:rsidRPr="00806BD8" w:rsidR="00922F8A" w:rsidP="00922F8A" w:rsidRDefault="00922F8A" w14:paraId="7B454C69" w14:textId="77777777">
      <w:pPr>
        <w:spacing w:line="240" w:lineRule="auto"/>
        <w:jc w:val="center"/>
        <w:rPr>
          <w:rFonts w:ascii="Times New Roman" w:hAnsi="Times New Roman"/>
          <w:b/>
          <w:bCs/>
          <w:sz w:val="24"/>
          <w:szCs w:val="24"/>
        </w:rPr>
      </w:pPr>
      <w:r w:rsidRPr="00806BD8">
        <w:rPr>
          <w:rFonts w:ascii="Times New Roman" w:hAnsi="Times New Roman"/>
          <w:b/>
          <w:bCs/>
          <w:sz w:val="24"/>
          <w:szCs w:val="24"/>
        </w:rPr>
        <w:t>Omar Alfaro Villanueva – Vocal</w:t>
      </w:r>
    </w:p>
    <w:p w:rsidRPr="001A4E48" w:rsidR="0089374D" w:rsidP="586655AF" w:rsidRDefault="0089374D" w14:paraId="7A3A0BC6" w14:textId="52E621DA">
      <w:pPr>
        <w:spacing w:line="240" w:lineRule="auto"/>
        <w:jc w:val="center"/>
        <w:rPr>
          <w:rFonts w:ascii="Times New Roman" w:hAnsi="Times New Roman"/>
          <w:sz w:val="24"/>
          <w:szCs w:val="24"/>
          <w:lang w:val="es-MX"/>
        </w:rPr>
      </w:pPr>
      <w:r w:rsidRPr="586655AF" w:rsidR="00922F8A">
        <w:rPr>
          <w:rFonts w:ascii="Times New Roman" w:hAnsi="Times New Roman"/>
          <w:b w:val="1"/>
          <w:bCs w:val="1"/>
          <w:sz w:val="24"/>
          <w:szCs w:val="24"/>
        </w:rPr>
        <w:t>Gonzalo Abad del Busto - Vocal</w:t>
      </w:r>
    </w:p>
    <w:sectPr w:rsidRPr="001A4E48" w:rsidR="0089374D" w:rsidSect="0072788D">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35975" w:rsidP="00722F1A" w:rsidRDefault="00635975" w14:paraId="3F03BBA0" w14:textId="77777777">
      <w:pPr>
        <w:spacing w:after="0" w:line="240" w:lineRule="auto"/>
      </w:pPr>
      <w:r>
        <w:separator/>
      </w:r>
    </w:p>
  </w:endnote>
  <w:endnote w:type="continuationSeparator" w:id="0">
    <w:p w:rsidR="00635975" w:rsidP="00722F1A" w:rsidRDefault="00635975" w14:paraId="2BA85485" w14:textId="77777777">
      <w:pPr>
        <w:spacing w:after="0" w:line="240" w:lineRule="auto"/>
      </w:pPr>
      <w:r>
        <w:continuationSeparator/>
      </w:r>
    </w:p>
  </w:endnote>
  <w:endnote w:type="continuationNotice" w:id="1">
    <w:p w:rsidR="00635975" w:rsidRDefault="00635975" w14:paraId="0BCE18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35975" w:rsidP="00722F1A" w:rsidRDefault="00635975" w14:paraId="238B5B68" w14:textId="77777777">
      <w:pPr>
        <w:spacing w:after="0" w:line="240" w:lineRule="auto"/>
      </w:pPr>
      <w:r>
        <w:separator/>
      </w:r>
    </w:p>
  </w:footnote>
  <w:footnote w:type="continuationSeparator" w:id="0">
    <w:p w:rsidR="00635975" w:rsidP="00722F1A" w:rsidRDefault="00635975" w14:paraId="599E2D30" w14:textId="77777777">
      <w:pPr>
        <w:spacing w:after="0" w:line="240" w:lineRule="auto"/>
      </w:pPr>
      <w:r>
        <w:continuationSeparator/>
      </w:r>
    </w:p>
  </w:footnote>
  <w:footnote w:type="continuationNotice" w:id="1">
    <w:p w:rsidR="00635975" w:rsidRDefault="00635975" w14:paraId="229127C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CAD7A55A"/>
    <w:multiLevelType w:val="hybridMultilevel"/>
    <w:tmpl w:val="FFFFFFFF"/>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5D74357"/>
    <w:multiLevelType w:val="hybridMultilevel"/>
    <w:tmpl w:val="1706A3A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76C39E6"/>
    <w:multiLevelType w:val="hybridMultilevel"/>
    <w:tmpl w:val="970625F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D3B1EE6"/>
    <w:multiLevelType w:val="hybridMultilevel"/>
    <w:tmpl w:val="463CE0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DF1D15"/>
    <w:multiLevelType w:val="hybridMultilevel"/>
    <w:tmpl w:val="A852E066"/>
    <w:lvl w:ilvl="0" w:tplc="E160E534">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21FF5F55"/>
    <w:multiLevelType w:val="hybridMultilevel"/>
    <w:tmpl w:val="0B4CC2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4836291"/>
    <w:multiLevelType w:val="hybridMultilevel"/>
    <w:tmpl w:val="16482590"/>
    <w:lvl w:ilvl="0" w:tplc="56A2E60C">
      <w:numFmt w:val="bullet"/>
      <w:lvlText w:val="-"/>
      <w:lvlJc w:val="left"/>
      <w:pPr>
        <w:ind w:left="720" w:hanging="360"/>
      </w:pPr>
      <w:rPr>
        <w:rFonts w:hint="default" w:ascii="Arial" w:hAnsi="Arial" w:cs="Arial"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2A3274DF"/>
    <w:multiLevelType w:val="hybridMultilevel"/>
    <w:tmpl w:val="5BEA96A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2A9E1FE4"/>
    <w:multiLevelType w:val="hybridMultilevel"/>
    <w:tmpl w:val="05CA892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AC34528"/>
    <w:multiLevelType w:val="multilevel"/>
    <w:tmpl w:val="B958099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30AD08A0"/>
    <w:multiLevelType w:val="hybridMultilevel"/>
    <w:tmpl w:val="42D2BDB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34762D4"/>
    <w:multiLevelType w:val="hybridMultilevel"/>
    <w:tmpl w:val="1D220C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3520553"/>
    <w:multiLevelType w:val="hybridMultilevel"/>
    <w:tmpl w:val="1706A3A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3CE1BC2"/>
    <w:multiLevelType w:val="hybridMultilevel"/>
    <w:tmpl w:val="06A2CBA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34A25A27"/>
    <w:multiLevelType w:val="hybridMultilevel"/>
    <w:tmpl w:val="13DC655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52E6E92"/>
    <w:multiLevelType w:val="hybridMultilevel"/>
    <w:tmpl w:val="0B4CC2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35EC5E47"/>
    <w:multiLevelType w:val="hybridMultilevel"/>
    <w:tmpl w:val="2238297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3B710F11"/>
    <w:multiLevelType w:val="multilevel"/>
    <w:tmpl w:val="63AC2F5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3FBA70F3"/>
    <w:multiLevelType w:val="hybridMultilevel"/>
    <w:tmpl w:val="11B21AE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25160CA"/>
    <w:multiLevelType w:val="hybridMultilevel"/>
    <w:tmpl w:val="6A1E967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447B6F08"/>
    <w:multiLevelType w:val="hybridMultilevel"/>
    <w:tmpl w:val="44D87D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459D5C95"/>
    <w:multiLevelType w:val="hybridMultilevel"/>
    <w:tmpl w:val="00B69B8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47F4203C"/>
    <w:multiLevelType w:val="hybridMultilevel"/>
    <w:tmpl w:val="EE7CC92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87273AB"/>
    <w:multiLevelType w:val="hybridMultilevel"/>
    <w:tmpl w:val="06A2CBA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4C117E1D"/>
    <w:multiLevelType w:val="hybridMultilevel"/>
    <w:tmpl w:val="6A1E967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4E043D78"/>
    <w:multiLevelType w:val="hybridMultilevel"/>
    <w:tmpl w:val="E268552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50993584"/>
    <w:multiLevelType w:val="hybridMultilevel"/>
    <w:tmpl w:val="2238297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58ED48B9"/>
    <w:multiLevelType w:val="hybridMultilevel"/>
    <w:tmpl w:val="EDF0BA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59781A3B"/>
    <w:multiLevelType w:val="hybridMultilevel"/>
    <w:tmpl w:val="11B21A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98506EC"/>
    <w:multiLevelType w:val="hybridMultilevel"/>
    <w:tmpl w:val="463CE0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EE5574"/>
    <w:multiLevelType w:val="hybridMultilevel"/>
    <w:tmpl w:val="402658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6E4E7B53"/>
    <w:multiLevelType w:val="hybridMultilevel"/>
    <w:tmpl w:val="D378512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6F0148DD"/>
    <w:multiLevelType w:val="hybridMultilevel"/>
    <w:tmpl w:val="45D8F45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1175C00"/>
    <w:multiLevelType w:val="hybridMultilevel"/>
    <w:tmpl w:val="970625F0"/>
    <w:lvl w:ilvl="0" w:tplc="280A000F">
      <w:start w:val="1"/>
      <w:numFmt w:val="decimal"/>
      <w:lvlText w:val="%1."/>
      <w:lvlJc w:val="left"/>
      <w:pPr>
        <w:ind w:left="1080" w:hanging="360"/>
      </w:p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34" w15:restartNumberingAfterBreak="0">
    <w:nsid w:val="73665F0E"/>
    <w:multiLevelType w:val="hybridMultilevel"/>
    <w:tmpl w:val="44D87D0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74715D51"/>
    <w:multiLevelType w:val="hybridMultilevel"/>
    <w:tmpl w:val="5BEA96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77303056"/>
    <w:multiLevelType w:val="hybridMultilevel"/>
    <w:tmpl w:val="D63AFBF6"/>
    <w:lvl w:ilvl="0" w:tplc="A8C89EB2">
      <w:start w:val="1"/>
      <w:numFmt w:val="lowerLetter"/>
      <w:lvlText w:val="%1)"/>
      <w:lvlJc w:val="left"/>
      <w:pPr>
        <w:ind w:left="1080" w:hanging="72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 w15:restartNumberingAfterBreak="0">
    <w:nsid w:val="79045963"/>
    <w:multiLevelType w:val="hybridMultilevel"/>
    <w:tmpl w:val="4026586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7D086AA3"/>
    <w:multiLevelType w:val="hybridMultilevel"/>
    <w:tmpl w:val="00B69B8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94600106">
    <w:abstractNumId w:val="0"/>
    <w:lvlOverride w:ilvl="0">
      <w:startOverride w:val="1"/>
    </w:lvlOverride>
    <w:lvlOverride w:ilvl="1"/>
    <w:lvlOverride w:ilvl="2"/>
    <w:lvlOverride w:ilvl="3"/>
    <w:lvlOverride w:ilvl="4"/>
    <w:lvlOverride w:ilvl="5"/>
    <w:lvlOverride w:ilvl="6"/>
    <w:lvlOverride w:ilvl="7"/>
    <w:lvlOverride w:ilvl="8"/>
  </w:num>
  <w:num w:numId="2" w16cid:durableId="286548253">
    <w:abstractNumId w:val="6"/>
  </w:num>
  <w:num w:numId="3" w16cid:durableId="1340812648">
    <w:abstractNumId w:val="36"/>
  </w:num>
  <w:num w:numId="4" w16cid:durableId="428040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216050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1165107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1720486">
    <w:abstractNumId w:val="2"/>
  </w:num>
  <w:num w:numId="8" w16cid:durableId="1157187982">
    <w:abstractNumId w:val="29"/>
  </w:num>
  <w:num w:numId="9" w16cid:durableId="1430198479">
    <w:abstractNumId w:val="8"/>
  </w:num>
  <w:num w:numId="10" w16cid:durableId="1888687822">
    <w:abstractNumId w:val="17"/>
  </w:num>
  <w:num w:numId="11" w16cid:durableId="16015722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21014132">
    <w:abstractNumId w:val="4"/>
  </w:num>
  <w:num w:numId="13" w16cid:durableId="9976591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468475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1301153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257047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957107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9445716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4861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249744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49128211">
    <w:abstractNumId w:val="35"/>
  </w:num>
  <w:num w:numId="22" w16cid:durableId="741103113">
    <w:abstractNumId w:val="23"/>
  </w:num>
  <w:num w:numId="23" w16cid:durableId="471177">
    <w:abstractNumId w:val="10"/>
  </w:num>
  <w:num w:numId="24" w16cid:durableId="1754013007">
    <w:abstractNumId w:val="32"/>
  </w:num>
  <w:num w:numId="25" w16cid:durableId="15746615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652065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38976314">
    <w:abstractNumId w:val="24"/>
  </w:num>
  <w:num w:numId="28" w16cid:durableId="602500253">
    <w:abstractNumId w:val="15"/>
  </w:num>
  <w:num w:numId="29" w16cid:durableId="78573305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93071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85277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653307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606697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0014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023144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32896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2536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465213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67738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07056"/>
    <w:rsid w:val="00010A11"/>
    <w:rsid w:val="00015903"/>
    <w:rsid w:val="00017850"/>
    <w:rsid w:val="000201AA"/>
    <w:rsid w:val="000221A8"/>
    <w:rsid w:val="000227FD"/>
    <w:rsid w:val="00023A12"/>
    <w:rsid w:val="00024897"/>
    <w:rsid w:val="00025508"/>
    <w:rsid w:val="00025724"/>
    <w:rsid w:val="00025E30"/>
    <w:rsid w:val="000303B6"/>
    <w:rsid w:val="00031F0F"/>
    <w:rsid w:val="000329BA"/>
    <w:rsid w:val="000341A4"/>
    <w:rsid w:val="00037822"/>
    <w:rsid w:val="00040F0F"/>
    <w:rsid w:val="00042F08"/>
    <w:rsid w:val="00043955"/>
    <w:rsid w:val="00043F2F"/>
    <w:rsid w:val="00045EF3"/>
    <w:rsid w:val="00046F71"/>
    <w:rsid w:val="00050CC2"/>
    <w:rsid w:val="000529D1"/>
    <w:rsid w:val="00053495"/>
    <w:rsid w:val="00053FF9"/>
    <w:rsid w:val="0005658F"/>
    <w:rsid w:val="00056E10"/>
    <w:rsid w:val="00057C1F"/>
    <w:rsid w:val="000603E9"/>
    <w:rsid w:val="0006070E"/>
    <w:rsid w:val="00065DB0"/>
    <w:rsid w:val="00072DC0"/>
    <w:rsid w:val="00072E77"/>
    <w:rsid w:val="00074170"/>
    <w:rsid w:val="00075BED"/>
    <w:rsid w:val="00076043"/>
    <w:rsid w:val="00080950"/>
    <w:rsid w:val="0008098B"/>
    <w:rsid w:val="00082464"/>
    <w:rsid w:val="0008641C"/>
    <w:rsid w:val="00086F3A"/>
    <w:rsid w:val="0008736D"/>
    <w:rsid w:val="00090E5B"/>
    <w:rsid w:val="0009238C"/>
    <w:rsid w:val="00093044"/>
    <w:rsid w:val="000943A4"/>
    <w:rsid w:val="0009571A"/>
    <w:rsid w:val="00096D11"/>
    <w:rsid w:val="000A7BCF"/>
    <w:rsid w:val="000B29AE"/>
    <w:rsid w:val="000B4C03"/>
    <w:rsid w:val="000B6820"/>
    <w:rsid w:val="000C3E03"/>
    <w:rsid w:val="000C4E83"/>
    <w:rsid w:val="000D06BF"/>
    <w:rsid w:val="000E14A6"/>
    <w:rsid w:val="000E1BAE"/>
    <w:rsid w:val="000E29AE"/>
    <w:rsid w:val="000E771D"/>
    <w:rsid w:val="000F291D"/>
    <w:rsid w:val="000F44AD"/>
    <w:rsid w:val="000F52F7"/>
    <w:rsid w:val="00110C5A"/>
    <w:rsid w:val="00112981"/>
    <w:rsid w:val="0012144D"/>
    <w:rsid w:val="00123A80"/>
    <w:rsid w:val="00123B3A"/>
    <w:rsid w:val="00126C86"/>
    <w:rsid w:val="0013141A"/>
    <w:rsid w:val="00132E9A"/>
    <w:rsid w:val="00136C86"/>
    <w:rsid w:val="00137907"/>
    <w:rsid w:val="00140B17"/>
    <w:rsid w:val="00140E9C"/>
    <w:rsid w:val="0014184D"/>
    <w:rsid w:val="001423B0"/>
    <w:rsid w:val="001459A2"/>
    <w:rsid w:val="00156440"/>
    <w:rsid w:val="00163348"/>
    <w:rsid w:val="00163666"/>
    <w:rsid w:val="00163C04"/>
    <w:rsid w:val="0016703A"/>
    <w:rsid w:val="001700F1"/>
    <w:rsid w:val="00173030"/>
    <w:rsid w:val="00173308"/>
    <w:rsid w:val="00175329"/>
    <w:rsid w:val="00180E23"/>
    <w:rsid w:val="00181367"/>
    <w:rsid w:val="00181784"/>
    <w:rsid w:val="00184444"/>
    <w:rsid w:val="00185516"/>
    <w:rsid w:val="00187FCB"/>
    <w:rsid w:val="00190318"/>
    <w:rsid w:val="00190DC3"/>
    <w:rsid w:val="0019133F"/>
    <w:rsid w:val="0019297C"/>
    <w:rsid w:val="0019479B"/>
    <w:rsid w:val="00194FAA"/>
    <w:rsid w:val="0019552A"/>
    <w:rsid w:val="00197A32"/>
    <w:rsid w:val="001A0DC6"/>
    <w:rsid w:val="001A1A0C"/>
    <w:rsid w:val="001A2C08"/>
    <w:rsid w:val="001A4E48"/>
    <w:rsid w:val="001A6119"/>
    <w:rsid w:val="001A6FD9"/>
    <w:rsid w:val="001B19E2"/>
    <w:rsid w:val="001B1C2B"/>
    <w:rsid w:val="001B2E7B"/>
    <w:rsid w:val="001B5CDE"/>
    <w:rsid w:val="001C0012"/>
    <w:rsid w:val="001C026D"/>
    <w:rsid w:val="001C0599"/>
    <w:rsid w:val="001C1BC7"/>
    <w:rsid w:val="001C23FC"/>
    <w:rsid w:val="001C2D48"/>
    <w:rsid w:val="001C35BC"/>
    <w:rsid w:val="001C509F"/>
    <w:rsid w:val="001D15D2"/>
    <w:rsid w:val="001D437B"/>
    <w:rsid w:val="001D5079"/>
    <w:rsid w:val="001D71B9"/>
    <w:rsid w:val="001D7600"/>
    <w:rsid w:val="001E0928"/>
    <w:rsid w:val="001E272B"/>
    <w:rsid w:val="001E347B"/>
    <w:rsid w:val="001E466C"/>
    <w:rsid w:val="001E5710"/>
    <w:rsid w:val="001F0BCC"/>
    <w:rsid w:val="001F4171"/>
    <w:rsid w:val="001F4833"/>
    <w:rsid w:val="001F5220"/>
    <w:rsid w:val="001F5485"/>
    <w:rsid w:val="002021B2"/>
    <w:rsid w:val="00203146"/>
    <w:rsid w:val="00206222"/>
    <w:rsid w:val="00210165"/>
    <w:rsid w:val="002103C9"/>
    <w:rsid w:val="00210FFE"/>
    <w:rsid w:val="00211CA2"/>
    <w:rsid w:val="0021509B"/>
    <w:rsid w:val="00221164"/>
    <w:rsid w:val="002219B0"/>
    <w:rsid w:val="00221E3C"/>
    <w:rsid w:val="002221D9"/>
    <w:rsid w:val="00223964"/>
    <w:rsid w:val="00226DB9"/>
    <w:rsid w:val="002313AB"/>
    <w:rsid w:val="00232054"/>
    <w:rsid w:val="00232114"/>
    <w:rsid w:val="00232267"/>
    <w:rsid w:val="00233543"/>
    <w:rsid w:val="00236323"/>
    <w:rsid w:val="00244B6F"/>
    <w:rsid w:val="0024745C"/>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1900"/>
    <w:rsid w:val="0029257F"/>
    <w:rsid w:val="00293CC2"/>
    <w:rsid w:val="0029558D"/>
    <w:rsid w:val="002974A1"/>
    <w:rsid w:val="002A3D68"/>
    <w:rsid w:val="002A4CFE"/>
    <w:rsid w:val="002A7697"/>
    <w:rsid w:val="002B2AFD"/>
    <w:rsid w:val="002B7B44"/>
    <w:rsid w:val="002C32EB"/>
    <w:rsid w:val="002C3DCD"/>
    <w:rsid w:val="002C5A2D"/>
    <w:rsid w:val="002C66C2"/>
    <w:rsid w:val="002C7BAD"/>
    <w:rsid w:val="002D07BA"/>
    <w:rsid w:val="002D4D68"/>
    <w:rsid w:val="002D5228"/>
    <w:rsid w:val="002D5755"/>
    <w:rsid w:val="002D6AC5"/>
    <w:rsid w:val="002D7167"/>
    <w:rsid w:val="002D7D52"/>
    <w:rsid w:val="002E464C"/>
    <w:rsid w:val="002F2037"/>
    <w:rsid w:val="002F56FD"/>
    <w:rsid w:val="002F7107"/>
    <w:rsid w:val="00306F31"/>
    <w:rsid w:val="00310439"/>
    <w:rsid w:val="00313B25"/>
    <w:rsid w:val="00313C03"/>
    <w:rsid w:val="00315252"/>
    <w:rsid w:val="00315EFA"/>
    <w:rsid w:val="00316305"/>
    <w:rsid w:val="00317779"/>
    <w:rsid w:val="003179C7"/>
    <w:rsid w:val="00320005"/>
    <w:rsid w:val="0032316C"/>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5C1E"/>
    <w:rsid w:val="00367366"/>
    <w:rsid w:val="003720C5"/>
    <w:rsid w:val="0037287F"/>
    <w:rsid w:val="0037738A"/>
    <w:rsid w:val="00377CD0"/>
    <w:rsid w:val="00381607"/>
    <w:rsid w:val="0038226B"/>
    <w:rsid w:val="00385BAF"/>
    <w:rsid w:val="00386E4E"/>
    <w:rsid w:val="00390F6C"/>
    <w:rsid w:val="00391328"/>
    <w:rsid w:val="003939E3"/>
    <w:rsid w:val="0039405E"/>
    <w:rsid w:val="003943CE"/>
    <w:rsid w:val="00395250"/>
    <w:rsid w:val="003957A8"/>
    <w:rsid w:val="00396623"/>
    <w:rsid w:val="00397B7E"/>
    <w:rsid w:val="003A08CB"/>
    <w:rsid w:val="003A2D44"/>
    <w:rsid w:val="003A3175"/>
    <w:rsid w:val="003A3F48"/>
    <w:rsid w:val="003A459F"/>
    <w:rsid w:val="003A5178"/>
    <w:rsid w:val="003A5576"/>
    <w:rsid w:val="003A6387"/>
    <w:rsid w:val="003B3018"/>
    <w:rsid w:val="003B6C85"/>
    <w:rsid w:val="003B7DDE"/>
    <w:rsid w:val="003C08D0"/>
    <w:rsid w:val="003C2403"/>
    <w:rsid w:val="003C28B2"/>
    <w:rsid w:val="003C4B02"/>
    <w:rsid w:val="003C4F9E"/>
    <w:rsid w:val="003C6546"/>
    <w:rsid w:val="003C7842"/>
    <w:rsid w:val="003D0B19"/>
    <w:rsid w:val="003D1117"/>
    <w:rsid w:val="003D2269"/>
    <w:rsid w:val="003D437F"/>
    <w:rsid w:val="003D4E82"/>
    <w:rsid w:val="003D5D7C"/>
    <w:rsid w:val="003E1707"/>
    <w:rsid w:val="003E2A5C"/>
    <w:rsid w:val="003E2DA9"/>
    <w:rsid w:val="003E3E64"/>
    <w:rsid w:val="003E531C"/>
    <w:rsid w:val="003F108B"/>
    <w:rsid w:val="003F1D8B"/>
    <w:rsid w:val="003F21BF"/>
    <w:rsid w:val="003F2DE7"/>
    <w:rsid w:val="00401FF7"/>
    <w:rsid w:val="004020C2"/>
    <w:rsid w:val="004034FC"/>
    <w:rsid w:val="004037E1"/>
    <w:rsid w:val="00403A57"/>
    <w:rsid w:val="00404BDC"/>
    <w:rsid w:val="00406BCF"/>
    <w:rsid w:val="00407368"/>
    <w:rsid w:val="0040773B"/>
    <w:rsid w:val="00407A18"/>
    <w:rsid w:val="004111C9"/>
    <w:rsid w:val="00411C9C"/>
    <w:rsid w:val="00414702"/>
    <w:rsid w:val="00417E39"/>
    <w:rsid w:val="004202DC"/>
    <w:rsid w:val="004205D2"/>
    <w:rsid w:val="004206EE"/>
    <w:rsid w:val="00426947"/>
    <w:rsid w:val="00427834"/>
    <w:rsid w:val="00430735"/>
    <w:rsid w:val="00434B8E"/>
    <w:rsid w:val="00444B0A"/>
    <w:rsid w:val="0044595E"/>
    <w:rsid w:val="00446F01"/>
    <w:rsid w:val="00454B7E"/>
    <w:rsid w:val="00454FD1"/>
    <w:rsid w:val="0045636B"/>
    <w:rsid w:val="004571A0"/>
    <w:rsid w:val="00461DC4"/>
    <w:rsid w:val="004646D6"/>
    <w:rsid w:val="00464821"/>
    <w:rsid w:val="00464DB7"/>
    <w:rsid w:val="00466D00"/>
    <w:rsid w:val="0046762F"/>
    <w:rsid w:val="00467F3C"/>
    <w:rsid w:val="0047277D"/>
    <w:rsid w:val="004727BA"/>
    <w:rsid w:val="004739D5"/>
    <w:rsid w:val="00476C8E"/>
    <w:rsid w:val="00480302"/>
    <w:rsid w:val="00481B0F"/>
    <w:rsid w:val="00482C24"/>
    <w:rsid w:val="00483545"/>
    <w:rsid w:val="00484E51"/>
    <w:rsid w:val="004855A7"/>
    <w:rsid w:val="00486BB0"/>
    <w:rsid w:val="00486E3D"/>
    <w:rsid w:val="004876C4"/>
    <w:rsid w:val="004878C5"/>
    <w:rsid w:val="00487E42"/>
    <w:rsid w:val="00492389"/>
    <w:rsid w:val="004974C6"/>
    <w:rsid w:val="004A0685"/>
    <w:rsid w:val="004A54D1"/>
    <w:rsid w:val="004A5CA2"/>
    <w:rsid w:val="004A6281"/>
    <w:rsid w:val="004B168E"/>
    <w:rsid w:val="004B1C35"/>
    <w:rsid w:val="004B23B9"/>
    <w:rsid w:val="004B4F1A"/>
    <w:rsid w:val="004B4F66"/>
    <w:rsid w:val="004B5ED6"/>
    <w:rsid w:val="004B6207"/>
    <w:rsid w:val="004B6665"/>
    <w:rsid w:val="004B7F72"/>
    <w:rsid w:val="004C0B81"/>
    <w:rsid w:val="004C20F7"/>
    <w:rsid w:val="004C7131"/>
    <w:rsid w:val="004D1B64"/>
    <w:rsid w:val="004D32FA"/>
    <w:rsid w:val="004D7B3F"/>
    <w:rsid w:val="004E09C5"/>
    <w:rsid w:val="004E0D61"/>
    <w:rsid w:val="004E2072"/>
    <w:rsid w:val="004E2A3F"/>
    <w:rsid w:val="004E46DC"/>
    <w:rsid w:val="004F0094"/>
    <w:rsid w:val="004F1A61"/>
    <w:rsid w:val="004F3EBD"/>
    <w:rsid w:val="004F5873"/>
    <w:rsid w:val="00503030"/>
    <w:rsid w:val="00503F64"/>
    <w:rsid w:val="00507135"/>
    <w:rsid w:val="00512ADC"/>
    <w:rsid w:val="00516204"/>
    <w:rsid w:val="00524DC5"/>
    <w:rsid w:val="00526549"/>
    <w:rsid w:val="005303A9"/>
    <w:rsid w:val="00531E54"/>
    <w:rsid w:val="00535EE2"/>
    <w:rsid w:val="005409B6"/>
    <w:rsid w:val="00541D87"/>
    <w:rsid w:val="00541FB9"/>
    <w:rsid w:val="00542A2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336"/>
    <w:rsid w:val="005745B9"/>
    <w:rsid w:val="00574E09"/>
    <w:rsid w:val="00576375"/>
    <w:rsid w:val="005805CF"/>
    <w:rsid w:val="00583138"/>
    <w:rsid w:val="00583AAA"/>
    <w:rsid w:val="00584164"/>
    <w:rsid w:val="00584BAE"/>
    <w:rsid w:val="00584D4D"/>
    <w:rsid w:val="00584F14"/>
    <w:rsid w:val="005861E5"/>
    <w:rsid w:val="005865CA"/>
    <w:rsid w:val="00587B74"/>
    <w:rsid w:val="00587CC2"/>
    <w:rsid w:val="0059013F"/>
    <w:rsid w:val="005942BE"/>
    <w:rsid w:val="005945F7"/>
    <w:rsid w:val="00595511"/>
    <w:rsid w:val="005A1BF7"/>
    <w:rsid w:val="005A5404"/>
    <w:rsid w:val="005A5F3C"/>
    <w:rsid w:val="005A6F5E"/>
    <w:rsid w:val="005B1319"/>
    <w:rsid w:val="005B7527"/>
    <w:rsid w:val="005B781D"/>
    <w:rsid w:val="005C2472"/>
    <w:rsid w:val="005D470E"/>
    <w:rsid w:val="005E0729"/>
    <w:rsid w:val="005E076E"/>
    <w:rsid w:val="005E1F72"/>
    <w:rsid w:val="005E3A24"/>
    <w:rsid w:val="005E455C"/>
    <w:rsid w:val="005E526B"/>
    <w:rsid w:val="005E6AC3"/>
    <w:rsid w:val="005E6AE4"/>
    <w:rsid w:val="005F28DE"/>
    <w:rsid w:val="005F3253"/>
    <w:rsid w:val="005F659E"/>
    <w:rsid w:val="00601AB2"/>
    <w:rsid w:val="00605B3E"/>
    <w:rsid w:val="00606FB3"/>
    <w:rsid w:val="006072FC"/>
    <w:rsid w:val="00611030"/>
    <w:rsid w:val="00611D0F"/>
    <w:rsid w:val="0061244A"/>
    <w:rsid w:val="00621292"/>
    <w:rsid w:val="00624915"/>
    <w:rsid w:val="00624E89"/>
    <w:rsid w:val="00627BCD"/>
    <w:rsid w:val="00627C4C"/>
    <w:rsid w:val="00630A15"/>
    <w:rsid w:val="00631229"/>
    <w:rsid w:val="00633243"/>
    <w:rsid w:val="00635975"/>
    <w:rsid w:val="00636287"/>
    <w:rsid w:val="00637751"/>
    <w:rsid w:val="00637DB6"/>
    <w:rsid w:val="0064025F"/>
    <w:rsid w:val="00651DB4"/>
    <w:rsid w:val="006550D8"/>
    <w:rsid w:val="00655C05"/>
    <w:rsid w:val="0066411D"/>
    <w:rsid w:val="00664D34"/>
    <w:rsid w:val="0066714F"/>
    <w:rsid w:val="006677FB"/>
    <w:rsid w:val="006700A3"/>
    <w:rsid w:val="006712E8"/>
    <w:rsid w:val="00673E6F"/>
    <w:rsid w:val="00674D55"/>
    <w:rsid w:val="00676333"/>
    <w:rsid w:val="00676995"/>
    <w:rsid w:val="00681A20"/>
    <w:rsid w:val="006862B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D4FA0"/>
    <w:rsid w:val="006D60CA"/>
    <w:rsid w:val="006E0A3E"/>
    <w:rsid w:val="006E215D"/>
    <w:rsid w:val="006E5DDC"/>
    <w:rsid w:val="006F001C"/>
    <w:rsid w:val="006F309C"/>
    <w:rsid w:val="006F5F21"/>
    <w:rsid w:val="00706A1A"/>
    <w:rsid w:val="00711C57"/>
    <w:rsid w:val="0071399D"/>
    <w:rsid w:val="0071585D"/>
    <w:rsid w:val="00717281"/>
    <w:rsid w:val="00722F1A"/>
    <w:rsid w:val="007245C2"/>
    <w:rsid w:val="0072563C"/>
    <w:rsid w:val="00726106"/>
    <w:rsid w:val="0072788D"/>
    <w:rsid w:val="00734A73"/>
    <w:rsid w:val="00740529"/>
    <w:rsid w:val="00741BD2"/>
    <w:rsid w:val="00741FAE"/>
    <w:rsid w:val="00745323"/>
    <w:rsid w:val="00747942"/>
    <w:rsid w:val="00753D6A"/>
    <w:rsid w:val="007540D0"/>
    <w:rsid w:val="00757E4A"/>
    <w:rsid w:val="0076391F"/>
    <w:rsid w:val="007649EE"/>
    <w:rsid w:val="00766307"/>
    <w:rsid w:val="00766E78"/>
    <w:rsid w:val="00767297"/>
    <w:rsid w:val="00770984"/>
    <w:rsid w:val="00773552"/>
    <w:rsid w:val="00775058"/>
    <w:rsid w:val="0077737C"/>
    <w:rsid w:val="00783849"/>
    <w:rsid w:val="0078567F"/>
    <w:rsid w:val="00786219"/>
    <w:rsid w:val="00790DF4"/>
    <w:rsid w:val="00792BF2"/>
    <w:rsid w:val="007942E5"/>
    <w:rsid w:val="007A08FF"/>
    <w:rsid w:val="007A193B"/>
    <w:rsid w:val="007A2F36"/>
    <w:rsid w:val="007A4A6D"/>
    <w:rsid w:val="007A51E2"/>
    <w:rsid w:val="007A554B"/>
    <w:rsid w:val="007A69E2"/>
    <w:rsid w:val="007B1C95"/>
    <w:rsid w:val="007B3E34"/>
    <w:rsid w:val="007B4078"/>
    <w:rsid w:val="007B4101"/>
    <w:rsid w:val="007B48E1"/>
    <w:rsid w:val="007B7C56"/>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0683"/>
    <w:rsid w:val="007F12B3"/>
    <w:rsid w:val="007F4488"/>
    <w:rsid w:val="007F5817"/>
    <w:rsid w:val="007F5B4F"/>
    <w:rsid w:val="00801C5F"/>
    <w:rsid w:val="00803158"/>
    <w:rsid w:val="008041CD"/>
    <w:rsid w:val="008050AA"/>
    <w:rsid w:val="008054F9"/>
    <w:rsid w:val="00805B57"/>
    <w:rsid w:val="00806576"/>
    <w:rsid w:val="00806BD8"/>
    <w:rsid w:val="008076B8"/>
    <w:rsid w:val="00814ECD"/>
    <w:rsid w:val="008156DD"/>
    <w:rsid w:val="0081637E"/>
    <w:rsid w:val="0081715A"/>
    <w:rsid w:val="00820F79"/>
    <w:rsid w:val="00826317"/>
    <w:rsid w:val="00830643"/>
    <w:rsid w:val="00831CCC"/>
    <w:rsid w:val="008371AD"/>
    <w:rsid w:val="00837965"/>
    <w:rsid w:val="00842964"/>
    <w:rsid w:val="008467F7"/>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774B2"/>
    <w:rsid w:val="00880966"/>
    <w:rsid w:val="00880FE1"/>
    <w:rsid w:val="008813C6"/>
    <w:rsid w:val="008815C6"/>
    <w:rsid w:val="00882170"/>
    <w:rsid w:val="00884239"/>
    <w:rsid w:val="0088680E"/>
    <w:rsid w:val="00891422"/>
    <w:rsid w:val="0089374D"/>
    <w:rsid w:val="008953F2"/>
    <w:rsid w:val="008A0CF4"/>
    <w:rsid w:val="008A29AF"/>
    <w:rsid w:val="008A51FF"/>
    <w:rsid w:val="008A68D5"/>
    <w:rsid w:val="008B2500"/>
    <w:rsid w:val="008B38C9"/>
    <w:rsid w:val="008B410F"/>
    <w:rsid w:val="008B4426"/>
    <w:rsid w:val="008B587F"/>
    <w:rsid w:val="008B5E3C"/>
    <w:rsid w:val="008B6DC7"/>
    <w:rsid w:val="008B7188"/>
    <w:rsid w:val="008B74D9"/>
    <w:rsid w:val="008B7675"/>
    <w:rsid w:val="008B79F4"/>
    <w:rsid w:val="008C00D4"/>
    <w:rsid w:val="008C0D17"/>
    <w:rsid w:val="008C18AA"/>
    <w:rsid w:val="008C2EF4"/>
    <w:rsid w:val="008C2F89"/>
    <w:rsid w:val="008C3617"/>
    <w:rsid w:val="008C37FB"/>
    <w:rsid w:val="008C4426"/>
    <w:rsid w:val="008C5A9C"/>
    <w:rsid w:val="008C6600"/>
    <w:rsid w:val="008D1F11"/>
    <w:rsid w:val="008D4CA0"/>
    <w:rsid w:val="008D51EF"/>
    <w:rsid w:val="008D5777"/>
    <w:rsid w:val="008D6231"/>
    <w:rsid w:val="008D7125"/>
    <w:rsid w:val="008D77C2"/>
    <w:rsid w:val="008E32C6"/>
    <w:rsid w:val="008E3E02"/>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2328"/>
    <w:rsid w:val="00922F8A"/>
    <w:rsid w:val="0092351B"/>
    <w:rsid w:val="00923F4E"/>
    <w:rsid w:val="00924C74"/>
    <w:rsid w:val="009278EB"/>
    <w:rsid w:val="009322AE"/>
    <w:rsid w:val="0093234B"/>
    <w:rsid w:val="009354E1"/>
    <w:rsid w:val="00936470"/>
    <w:rsid w:val="0093654E"/>
    <w:rsid w:val="00937046"/>
    <w:rsid w:val="0093770E"/>
    <w:rsid w:val="00940963"/>
    <w:rsid w:val="009437E1"/>
    <w:rsid w:val="00946F83"/>
    <w:rsid w:val="00950713"/>
    <w:rsid w:val="00954297"/>
    <w:rsid w:val="00960CAD"/>
    <w:rsid w:val="00961DCF"/>
    <w:rsid w:val="00962DDA"/>
    <w:rsid w:val="00962F29"/>
    <w:rsid w:val="00963C48"/>
    <w:rsid w:val="009651D2"/>
    <w:rsid w:val="00966493"/>
    <w:rsid w:val="00966813"/>
    <w:rsid w:val="009701B5"/>
    <w:rsid w:val="00970D55"/>
    <w:rsid w:val="00971A3E"/>
    <w:rsid w:val="00972E6F"/>
    <w:rsid w:val="0097444E"/>
    <w:rsid w:val="00974631"/>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634"/>
    <w:rsid w:val="009B1C6E"/>
    <w:rsid w:val="009B2153"/>
    <w:rsid w:val="009B24C0"/>
    <w:rsid w:val="009B4777"/>
    <w:rsid w:val="009B58C9"/>
    <w:rsid w:val="009B68D2"/>
    <w:rsid w:val="009C5334"/>
    <w:rsid w:val="009C5E18"/>
    <w:rsid w:val="009D127D"/>
    <w:rsid w:val="009D2D7C"/>
    <w:rsid w:val="009D2F17"/>
    <w:rsid w:val="009E202C"/>
    <w:rsid w:val="009E3317"/>
    <w:rsid w:val="009E37B9"/>
    <w:rsid w:val="009E44F7"/>
    <w:rsid w:val="009E5B55"/>
    <w:rsid w:val="009F232F"/>
    <w:rsid w:val="009F257A"/>
    <w:rsid w:val="00A0201B"/>
    <w:rsid w:val="00A031DD"/>
    <w:rsid w:val="00A07ACC"/>
    <w:rsid w:val="00A102E1"/>
    <w:rsid w:val="00A1304D"/>
    <w:rsid w:val="00A1356B"/>
    <w:rsid w:val="00A13BA5"/>
    <w:rsid w:val="00A151A2"/>
    <w:rsid w:val="00A17B8F"/>
    <w:rsid w:val="00A204F8"/>
    <w:rsid w:val="00A209BF"/>
    <w:rsid w:val="00A20CA1"/>
    <w:rsid w:val="00A217F0"/>
    <w:rsid w:val="00A24595"/>
    <w:rsid w:val="00A2495F"/>
    <w:rsid w:val="00A2559D"/>
    <w:rsid w:val="00A265AA"/>
    <w:rsid w:val="00A27659"/>
    <w:rsid w:val="00A27C06"/>
    <w:rsid w:val="00A30166"/>
    <w:rsid w:val="00A32C5D"/>
    <w:rsid w:val="00A3337F"/>
    <w:rsid w:val="00A33AF1"/>
    <w:rsid w:val="00A3452D"/>
    <w:rsid w:val="00A36289"/>
    <w:rsid w:val="00A368F4"/>
    <w:rsid w:val="00A405FD"/>
    <w:rsid w:val="00A40FB5"/>
    <w:rsid w:val="00A44920"/>
    <w:rsid w:val="00A47E1A"/>
    <w:rsid w:val="00A53A3F"/>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64C1"/>
    <w:rsid w:val="00A7774E"/>
    <w:rsid w:val="00A7791B"/>
    <w:rsid w:val="00A81C37"/>
    <w:rsid w:val="00A858BA"/>
    <w:rsid w:val="00A876AE"/>
    <w:rsid w:val="00A87E32"/>
    <w:rsid w:val="00A91FB7"/>
    <w:rsid w:val="00A9359F"/>
    <w:rsid w:val="00A943EC"/>
    <w:rsid w:val="00A94BDC"/>
    <w:rsid w:val="00A95A83"/>
    <w:rsid w:val="00A95D6E"/>
    <w:rsid w:val="00A96C6E"/>
    <w:rsid w:val="00A96EB1"/>
    <w:rsid w:val="00A97C02"/>
    <w:rsid w:val="00AA13DB"/>
    <w:rsid w:val="00AA2571"/>
    <w:rsid w:val="00AA2D27"/>
    <w:rsid w:val="00AA32FE"/>
    <w:rsid w:val="00AA41DA"/>
    <w:rsid w:val="00AA5EA6"/>
    <w:rsid w:val="00AB4A3C"/>
    <w:rsid w:val="00AB6141"/>
    <w:rsid w:val="00AB7740"/>
    <w:rsid w:val="00AC1B51"/>
    <w:rsid w:val="00AC2EB8"/>
    <w:rsid w:val="00AC37F0"/>
    <w:rsid w:val="00AC65B1"/>
    <w:rsid w:val="00AC7A61"/>
    <w:rsid w:val="00AD07E0"/>
    <w:rsid w:val="00AD28BA"/>
    <w:rsid w:val="00AD56AF"/>
    <w:rsid w:val="00AD5D04"/>
    <w:rsid w:val="00AD7E43"/>
    <w:rsid w:val="00AE3B71"/>
    <w:rsid w:val="00AE5BA1"/>
    <w:rsid w:val="00AE5C6D"/>
    <w:rsid w:val="00AE5CE3"/>
    <w:rsid w:val="00AF23F0"/>
    <w:rsid w:val="00AF51BE"/>
    <w:rsid w:val="00AF57F2"/>
    <w:rsid w:val="00AF7C02"/>
    <w:rsid w:val="00B008FB"/>
    <w:rsid w:val="00B0138B"/>
    <w:rsid w:val="00B02DE8"/>
    <w:rsid w:val="00B063AF"/>
    <w:rsid w:val="00B130DD"/>
    <w:rsid w:val="00B154BD"/>
    <w:rsid w:val="00B17B1A"/>
    <w:rsid w:val="00B21365"/>
    <w:rsid w:val="00B21849"/>
    <w:rsid w:val="00B24434"/>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0917"/>
    <w:rsid w:val="00B5182F"/>
    <w:rsid w:val="00B52337"/>
    <w:rsid w:val="00B537DE"/>
    <w:rsid w:val="00B53960"/>
    <w:rsid w:val="00B54767"/>
    <w:rsid w:val="00B570FD"/>
    <w:rsid w:val="00B63A49"/>
    <w:rsid w:val="00B643AD"/>
    <w:rsid w:val="00B662AB"/>
    <w:rsid w:val="00B6630C"/>
    <w:rsid w:val="00B66439"/>
    <w:rsid w:val="00B67BB6"/>
    <w:rsid w:val="00B67BDE"/>
    <w:rsid w:val="00B7022C"/>
    <w:rsid w:val="00B70670"/>
    <w:rsid w:val="00B71411"/>
    <w:rsid w:val="00B75D55"/>
    <w:rsid w:val="00B76155"/>
    <w:rsid w:val="00B81BC6"/>
    <w:rsid w:val="00B83808"/>
    <w:rsid w:val="00B841DC"/>
    <w:rsid w:val="00B84979"/>
    <w:rsid w:val="00B84E04"/>
    <w:rsid w:val="00B8618B"/>
    <w:rsid w:val="00B863AB"/>
    <w:rsid w:val="00B876E9"/>
    <w:rsid w:val="00B931C5"/>
    <w:rsid w:val="00B962BF"/>
    <w:rsid w:val="00B97051"/>
    <w:rsid w:val="00BA2F42"/>
    <w:rsid w:val="00BB0B6D"/>
    <w:rsid w:val="00BB32F1"/>
    <w:rsid w:val="00BB4F10"/>
    <w:rsid w:val="00BC0F09"/>
    <w:rsid w:val="00BC19B0"/>
    <w:rsid w:val="00BC3B77"/>
    <w:rsid w:val="00BC69EF"/>
    <w:rsid w:val="00BC6A2D"/>
    <w:rsid w:val="00BD52E3"/>
    <w:rsid w:val="00BD5530"/>
    <w:rsid w:val="00BD747C"/>
    <w:rsid w:val="00BD7BB1"/>
    <w:rsid w:val="00BE0BE9"/>
    <w:rsid w:val="00BE1DD6"/>
    <w:rsid w:val="00BE20BB"/>
    <w:rsid w:val="00BE287A"/>
    <w:rsid w:val="00BE33FF"/>
    <w:rsid w:val="00BE3EBB"/>
    <w:rsid w:val="00BE4A84"/>
    <w:rsid w:val="00BE4AC4"/>
    <w:rsid w:val="00BE50B7"/>
    <w:rsid w:val="00BE5FB3"/>
    <w:rsid w:val="00BE7116"/>
    <w:rsid w:val="00BF08F9"/>
    <w:rsid w:val="00BF2DF8"/>
    <w:rsid w:val="00C04542"/>
    <w:rsid w:val="00C04AB3"/>
    <w:rsid w:val="00C06FF7"/>
    <w:rsid w:val="00C15254"/>
    <w:rsid w:val="00C2073B"/>
    <w:rsid w:val="00C2198B"/>
    <w:rsid w:val="00C227C7"/>
    <w:rsid w:val="00C22A8E"/>
    <w:rsid w:val="00C25494"/>
    <w:rsid w:val="00C332C0"/>
    <w:rsid w:val="00C339A3"/>
    <w:rsid w:val="00C363F9"/>
    <w:rsid w:val="00C36917"/>
    <w:rsid w:val="00C37B2E"/>
    <w:rsid w:val="00C37F16"/>
    <w:rsid w:val="00C45618"/>
    <w:rsid w:val="00C4616E"/>
    <w:rsid w:val="00C472F3"/>
    <w:rsid w:val="00C5028F"/>
    <w:rsid w:val="00C52E1E"/>
    <w:rsid w:val="00C53313"/>
    <w:rsid w:val="00C537C3"/>
    <w:rsid w:val="00C53DBF"/>
    <w:rsid w:val="00C560A9"/>
    <w:rsid w:val="00C567DE"/>
    <w:rsid w:val="00C56F86"/>
    <w:rsid w:val="00C577AF"/>
    <w:rsid w:val="00C613E6"/>
    <w:rsid w:val="00C6288C"/>
    <w:rsid w:val="00C64E6F"/>
    <w:rsid w:val="00C66D8C"/>
    <w:rsid w:val="00C73828"/>
    <w:rsid w:val="00C73CAF"/>
    <w:rsid w:val="00C75095"/>
    <w:rsid w:val="00C75398"/>
    <w:rsid w:val="00C80567"/>
    <w:rsid w:val="00C84C97"/>
    <w:rsid w:val="00C87F2C"/>
    <w:rsid w:val="00C910DC"/>
    <w:rsid w:val="00C94E4D"/>
    <w:rsid w:val="00C9684D"/>
    <w:rsid w:val="00CA32FC"/>
    <w:rsid w:val="00CA3FDE"/>
    <w:rsid w:val="00CB39D7"/>
    <w:rsid w:val="00CB3CF3"/>
    <w:rsid w:val="00CB3E2D"/>
    <w:rsid w:val="00CB58AD"/>
    <w:rsid w:val="00CC180F"/>
    <w:rsid w:val="00CC2828"/>
    <w:rsid w:val="00CC4EEF"/>
    <w:rsid w:val="00CC596D"/>
    <w:rsid w:val="00CC6D45"/>
    <w:rsid w:val="00CC6DB6"/>
    <w:rsid w:val="00CC6F2C"/>
    <w:rsid w:val="00CD14C6"/>
    <w:rsid w:val="00CD191C"/>
    <w:rsid w:val="00CD2A95"/>
    <w:rsid w:val="00CD3176"/>
    <w:rsid w:val="00CD5B43"/>
    <w:rsid w:val="00CD6A37"/>
    <w:rsid w:val="00CE6144"/>
    <w:rsid w:val="00CE7399"/>
    <w:rsid w:val="00CF3B25"/>
    <w:rsid w:val="00CF40F1"/>
    <w:rsid w:val="00CF6493"/>
    <w:rsid w:val="00D00142"/>
    <w:rsid w:val="00D02522"/>
    <w:rsid w:val="00D029C1"/>
    <w:rsid w:val="00D04DD6"/>
    <w:rsid w:val="00D052E2"/>
    <w:rsid w:val="00D05BAE"/>
    <w:rsid w:val="00D066E9"/>
    <w:rsid w:val="00D1360F"/>
    <w:rsid w:val="00D1380F"/>
    <w:rsid w:val="00D13D8F"/>
    <w:rsid w:val="00D159E5"/>
    <w:rsid w:val="00D160A0"/>
    <w:rsid w:val="00D207B7"/>
    <w:rsid w:val="00D21037"/>
    <w:rsid w:val="00D23AC5"/>
    <w:rsid w:val="00D242C0"/>
    <w:rsid w:val="00D24C19"/>
    <w:rsid w:val="00D25674"/>
    <w:rsid w:val="00D25E76"/>
    <w:rsid w:val="00D30342"/>
    <w:rsid w:val="00D32C0F"/>
    <w:rsid w:val="00D3403B"/>
    <w:rsid w:val="00D362DC"/>
    <w:rsid w:val="00D4002D"/>
    <w:rsid w:val="00D40383"/>
    <w:rsid w:val="00D437B1"/>
    <w:rsid w:val="00D450B5"/>
    <w:rsid w:val="00D4582A"/>
    <w:rsid w:val="00D50D21"/>
    <w:rsid w:val="00D5252C"/>
    <w:rsid w:val="00D52D69"/>
    <w:rsid w:val="00D53401"/>
    <w:rsid w:val="00D5553E"/>
    <w:rsid w:val="00D568BC"/>
    <w:rsid w:val="00D61CAB"/>
    <w:rsid w:val="00D63CFD"/>
    <w:rsid w:val="00D645CF"/>
    <w:rsid w:val="00D65868"/>
    <w:rsid w:val="00D66F3E"/>
    <w:rsid w:val="00D73368"/>
    <w:rsid w:val="00D75700"/>
    <w:rsid w:val="00D77FFB"/>
    <w:rsid w:val="00D80CF0"/>
    <w:rsid w:val="00D810BA"/>
    <w:rsid w:val="00D81343"/>
    <w:rsid w:val="00D8287E"/>
    <w:rsid w:val="00D841AD"/>
    <w:rsid w:val="00D85259"/>
    <w:rsid w:val="00D855A4"/>
    <w:rsid w:val="00D85E5F"/>
    <w:rsid w:val="00D874A8"/>
    <w:rsid w:val="00D90081"/>
    <w:rsid w:val="00D90777"/>
    <w:rsid w:val="00D92C30"/>
    <w:rsid w:val="00D93652"/>
    <w:rsid w:val="00D95994"/>
    <w:rsid w:val="00DA10E5"/>
    <w:rsid w:val="00DA1D06"/>
    <w:rsid w:val="00DA2065"/>
    <w:rsid w:val="00DA26F9"/>
    <w:rsid w:val="00DA2B69"/>
    <w:rsid w:val="00DA2FE2"/>
    <w:rsid w:val="00DA612A"/>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0B51"/>
    <w:rsid w:val="00E319CE"/>
    <w:rsid w:val="00E31DD4"/>
    <w:rsid w:val="00E41357"/>
    <w:rsid w:val="00E437C2"/>
    <w:rsid w:val="00E4479E"/>
    <w:rsid w:val="00E55A3A"/>
    <w:rsid w:val="00E571C5"/>
    <w:rsid w:val="00E6025B"/>
    <w:rsid w:val="00E60C57"/>
    <w:rsid w:val="00E621CA"/>
    <w:rsid w:val="00E638CC"/>
    <w:rsid w:val="00E63DD9"/>
    <w:rsid w:val="00E67DCC"/>
    <w:rsid w:val="00E70F53"/>
    <w:rsid w:val="00E74388"/>
    <w:rsid w:val="00E74D95"/>
    <w:rsid w:val="00E75B16"/>
    <w:rsid w:val="00E81EAF"/>
    <w:rsid w:val="00E8336B"/>
    <w:rsid w:val="00E85DE4"/>
    <w:rsid w:val="00E86C86"/>
    <w:rsid w:val="00E920D1"/>
    <w:rsid w:val="00E92970"/>
    <w:rsid w:val="00E941E1"/>
    <w:rsid w:val="00E96B65"/>
    <w:rsid w:val="00E96D56"/>
    <w:rsid w:val="00EA0572"/>
    <w:rsid w:val="00EA05EB"/>
    <w:rsid w:val="00EA193D"/>
    <w:rsid w:val="00EA1F14"/>
    <w:rsid w:val="00EA48E7"/>
    <w:rsid w:val="00EA4D76"/>
    <w:rsid w:val="00EA5D03"/>
    <w:rsid w:val="00EA6298"/>
    <w:rsid w:val="00EA6BC3"/>
    <w:rsid w:val="00EA7580"/>
    <w:rsid w:val="00EB2C0D"/>
    <w:rsid w:val="00EB6E1A"/>
    <w:rsid w:val="00EB739B"/>
    <w:rsid w:val="00EC0BCA"/>
    <w:rsid w:val="00EC1324"/>
    <w:rsid w:val="00EC1C7A"/>
    <w:rsid w:val="00EC37A0"/>
    <w:rsid w:val="00EC46F0"/>
    <w:rsid w:val="00EC4F46"/>
    <w:rsid w:val="00EC5394"/>
    <w:rsid w:val="00EC5417"/>
    <w:rsid w:val="00EC7C42"/>
    <w:rsid w:val="00EC7F26"/>
    <w:rsid w:val="00ED0BEC"/>
    <w:rsid w:val="00ED3111"/>
    <w:rsid w:val="00ED63B0"/>
    <w:rsid w:val="00EE1375"/>
    <w:rsid w:val="00EE1D4B"/>
    <w:rsid w:val="00EE5BD4"/>
    <w:rsid w:val="00EE60ED"/>
    <w:rsid w:val="00EE7FD2"/>
    <w:rsid w:val="00EF19E4"/>
    <w:rsid w:val="00EF45CD"/>
    <w:rsid w:val="00EF631B"/>
    <w:rsid w:val="00EF6E96"/>
    <w:rsid w:val="00EF70E2"/>
    <w:rsid w:val="00F019D1"/>
    <w:rsid w:val="00F0249B"/>
    <w:rsid w:val="00F03223"/>
    <w:rsid w:val="00F06494"/>
    <w:rsid w:val="00F104DE"/>
    <w:rsid w:val="00F1173D"/>
    <w:rsid w:val="00F11E47"/>
    <w:rsid w:val="00F11F00"/>
    <w:rsid w:val="00F12422"/>
    <w:rsid w:val="00F1467F"/>
    <w:rsid w:val="00F14E12"/>
    <w:rsid w:val="00F15771"/>
    <w:rsid w:val="00F26229"/>
    <w:rsid w:val="00F263A9"/>
    <w:rsid w:val="00F278EA"/>
    <w:rsid w:val="00F307CA"/>
    <w:rsid w:val="00F329FB"/>
    <w:rsid w:val="00F3482B"/>
    <w:rsid w:val="00F374B2"/>
    <w:rsid w:val="00F407B9"/>
    <w:rsid w:val="00F408E6"/>
    <w:rsid w:val="00F41556"/>
    <w:rsid w:val="00F44939"/>
    <w:rsid w:val="00F464EC"/>
    <w:rsid w:val="00F52177"/>
    <w:rsid w:val="00F52ADB"/>
    <w:rsid w:val="00F602CE"/>
    <w:rsid w:val="00F62CF6"/>
    <w:rsid w:val="00F65395"/>
    <w:rsid w:val="00F66108"/>
    <w:rsid w:val="00F704B1"/>
    <w:rsid w:val="00F73787"/>
    <w:rsid w:val="00F778E2"/>
    <w:rsid w:val="00F80A3F"/>
    <w:rsid w:val="00F85750"/>
    <w:rsid w:val="00F8639B"/>
    <w:rsid w:val="00F86B44"/>
    <w:rsid w:val="00F873BF"/>
    <w:rsid w:val="00F90D00"/>
    <w:rsid w:val="00F94D3C"/>
    <w:rsid w:val="00F95A46"/>
    <w:rsid w:val="00F95FBF"/>
    <w:rsid w:val="00FA2432"/>
    <w:rsid w:val="00FA2AB4"/>
    <w:rsid w:val="00FA3490"/>
    <w:rsid w:val="00FA53FE"/>
    <w:rsid w:val="00FA57E1"/>
    <w:rsid w:val="00FB0D1D"/>
    <w:rsid w:val="00FB114A"/>
    <w:rsid w:val="00FB4427"/>
    <w:rsid w:val="00FB4AA4"/>
    <w:rsid w:val="00FB5D13"/>
    <w:rsid w:val="00FB695F"/>
    <w:rsid w:val="00FB6E62"/>
    <w:rsid w:val="00FC05DE"/>
    <w:rsid w:val="00FC50C5"/>
    <w:rsid w:val="00FC5226"/>
    <w:rsid w:val="00FC56D3"/>
    <w:rsid w:val="00FC7596"/>
    <w:rsid w:val="00FC79F6"/>
    <w:rsid w:val="00FD25A1"/>
    <w:rsid w:val="00FD48FC"/>
    <w:rsid w:val="00FE0AE9"/>
    <w:rsid w:val="00FE0CCE"/>
    <w:rsid w:val="00FE17B0"/>
    <w:rsid w:val="00FE2A70"/>
    <w:rsid w:val="00FE4167"/>
    <w:rsid w:val="00FE4A2F"/>
    <w:rsid w:val="00FE50F9"/>
    <w:rsid w:val="00FE5CEA"/>
    <w:rsid w:val="00FE6BAE"/>
    <w:rsid w:val="00FF0137"/>
    <w:rsid w:val="00FF2E3D"/>
    <w:rsid w:val="00FF5F77"/>
    <w:rsid w:val="0E95465B"/>
    <w:rsid w:val="0F0C8FC7"/>
    <w:rsid w:val="19CE5A94"/>
    <w:rsid w:val="239ABF94"/>
    <w:rsid w:val="2E46ACBE"/>
    <w:rsid w:val="30C195B9"/>
    <w:rsid w:val="33EAC2E5"/>
    <w:rsid w:val="34C498FA"/>
    <w:rsid w:val="41465E88"/>
    <w:rsid w:val="4A979C5C"/>
    <w:rsid w:val="4FCC1329"/>
    <w:rsid w:val="510EE176"/>
    <w:rsid w:val="5398E00A"/>
    <w:rsid w:val="54F631BB"/>
    <w:rsid w:val="586655AF"/>
    <w:rsid w:val="61AB41C1"/>
    <w:rsid w:val="6B9361CF"/>
    <w:rsid w:val="6EE5A493"/>
    <w:rsid w:val="72AD789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94250592">
      <w:bodyDiv w:val="1"/>
      <w:marLeft w:val="0"/>
      <w:marRight w:val="0"/>
      <w:marTop w:val="0"/>
      <w:marBottom w:val="0"/>
      <w:divBdr>
        <w:top w:val="none" w:sz="0" w:space="0" w:color="auto"/>
        <w:left w:val="none" w:sz="0" w:space="0" w:color="auto"/>
        <w:bottom w:val="none" w:sz="0" w:space="0" w:color="auto"/>
        <w:right w:val="none" w:sz="0" w:space="0" w:color="auto"/>
      </w:divBdr>
    </w:div>
    <w:div w:id="98717523">
      <w:bodyDiv w:val="1"/>
      <w:marLeft w:val="0"/>
      <w:marRight w:val="0"/>
      <w:marTop w:val="0"/>
      <w:marBottom w:val="0"/>
      <w:divBdr>
        <w:top w:val="none" w:sz="0" w:space="0" w:color="auto"/>
        <w:left w:val="none" w:sz="0" w:space="0" w:color="auto"/>
        <w:bottom w:val="none" w:sz="0" w:space="0" w:color="auto"/>
        <w:right w:val="none" w:sz="0" w:space="0" w:color="auto"/>
      </w:divBdr>
    </w:div>
    <w:div w:id="109471275">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25130246">
      <w:bodyDiv w:val="1"/>
      <w:marLeft w:val="0"/>
      <w:marRight w:val="0"/>
      <w:marTop w:val="0"/>
      <w:marBottom w:val="0"/>
      <w:divBdr>
        <w:top w:val="none" w:sz="0" w:space="0" w:color="auto"/>
        <w:left w:val="none" w:sz="0" w:space="0" w:color="auto"/>
        <w:bottom w:val="none" w:sz="0" w:space="0" w:color="auto"/>
        <w:right w:val="none" w:sz="0" w:space="0" w:color="auto"/>
      </w:divBdr>
    </w:div>
    <w:div w:id="156968669">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195507699">
      <w:bodyDiv w:val="1"/>
      <w:marLeft w:val="0"/>
      <w:marRight w:val="0"/>
      <w:marTop w:val="0"/>
      <w:marBottom w:val="0"/>
      <w:divBdr>
        <w:top w:val="none" w:sz="0" w:space="0" w:color="auto"/>
        <w:left w:val="none" w:sz="0" w:space="0" w:color="auto"/>
        <w:bottom w:val="none" w:sz="0" w:space="0" w:color="auto"/>
        <w:right w:val="none" w:sz="0" w:space="0" w:color="auto"/>
      </w:divBdr>
    </w:div>
    <w:div w:id="221410138">
      <w:bodyDiv w:val="1"/>
      <w:marLeft w:val="0"/>
      <w:marRight w:val="0"/>
      <w:marTop w:val="0"/>
      <w:marBottom w:val="0"/>
      <w:divBdr>
        <w:top w:val="none" w:sz="0" w:space="0" w:color="auto"/>
        <w:left w:val="none" w:sz="0" w:space="0" w:color="auto"/>
        <w:bottom w:val="none" w:sz="0" w:space="0" w:color="auto"/>
        <w:right w:val="none" w:sz="0" w:space="0" w:color="auto"/>
      </w:divBdr>
    </w:div>
    <w:div w:id="241372873">
      <w:bodyDiv w:val="1"/>
      <w:marLeft w:val="0"/>
      <w:marRight w:val="0"/>
      <w:marTop w:val="0"/>
      <w:marBottom w:val="0"/>
      <w:divBdr>
        <w:top w:val="none" w:sz="0" w:space="0" w:color="auto"/>
        <w:left w:val="none" w:sz="0" w:space="0" w:color="auto"/>
        <w:bottom w:val="none" w:sz="0" w:space="0" w:color="auto"/>
        <w:right w:val="none" w:sz="0" w:space="0" w:color="auto"/>
      </w:divBdr>
    </w:div>
    <w:div w:id="256716521">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4121072">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77176116">
      <w:bodyDiv w:val="1"/>
      <w:marLeft w:val="0"/>
      <w:marRight w:val="0"/>
      <w:marTop w:val="0"/>
      <w:marBottom w:val="0"/>
      <w:divBdr>
        <w:top w:val="none" w:sz="0" w:space="0" w:color="auto"/>
        <w:left w:val="none" w:sz="0" w:space="0" w:color="auto"/>
        <w:bottom w:val="none" w:sz="0" w:space="0" w:color="auto"/>
        <w:right w:val="none" w:sz="0" w:space="0" w:color="auto"/>
      </w:divBdr>
    </w:div>
    <w:div w:id="284697679">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24286755">
      <w:bodyDiv w:val="1"/>
      <w:marLeft w:val="0"/>
      <w:marRight w:val="0"/>
      <w:marTop w:val="0"/>
      <w:marBottom w:val="0"/>
      <w:divBdr>
        <w:top w:val="none" w:sz="0" w:space="0" w:color="auto"/>
        <w:left w:val="none" w:sz="0" w:space="0" w:color="auto"/>
        <w:bottom w:val="none" w:sz="0" w:space="0" w:color="auto"/>
        <w:right w:val="none" w:sz="0" w:space="0" w:color="auto"/>
      </w:divBdr>
    </w:div>
    <w:div w:id="333923792">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59820632">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86076743">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397555354">
      <w:bodyDiv w:val="1"/>
      <w:marLeft w:val="0"/>
      <w:marRight w:val="0"/>
      <w:marTop w:val="0"/>
      <w:marBottom w:val="0"/>
      <w:divBdr>
        <w:top w:val="none" w:sz="0" w:space="0" w:color="auto"/>
        <w:left w:val="none" w:sz="0" w:space="0" w:color="auto"/>
        <w:bottom w:val="none" w:sz="0" w:space="0" w:color="auto"/>
        <w:right w:val="none" w:sz="0" w:space="0" w:color="auto"/>
      </w:divBdr>
    </w:div>
    <w:div w:id="398984847">
      <w:bodyDiv w:val="1"/>
      <w:marLeft w:val="0"/>
      <w:marRight w:val="0"/>
      <w:marTop w:val="0"/>
      <w:marBottom w:val="0"/>
      <w:divBdr>
        <w:top w:val="none" w:sz="0" w:space="0" w:color="auto"/>
        <w:left w:val="none" w:sz="0" w:space="0" w:color="auto"/>
        <w:bottom w:val="none" w:sz="0" w:space="0" w:color="auto"/>
        <w:right w:val="none" w:sz="0" w:space="0" w:color="auto"/>
      </w:divBdr>
    </w:div>
    <w:div w:id="422995708">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65657771">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17043654">
      <w:bodyDiv w:val="1"/>
      <w:marLeft w:val="0"/>
      <w:marRight w:val="0"/>
      <w:marTop w:val="0"/>
      <w:marBottom w:val="0"/>
      <w:divBdr>
        <w:top w:val="none" w:sz="0" w:space="0" w:color="auto"/>
        <w:left w:val="none" w:sz="0" w:space="0" w:color="auto"/>
        <w:bottom w:val="none" w:sz="0" w:space="0" w:color="auto"/>
        <w:right w:val="none" w:sz="0" w:space="0" w:color="auto"/>
      </w:divBdr>
    </w:div>
    <w:div w:id="521670983">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52618715">
      <w:bodyDiv w:val="1"/>
      <w:marLeft w:val="0"/>
      <w:marRight w:val="0"/>
      <w:marTop w:val="0"/>
      <w:marBottom w:val="0"/>
      <w:divBdr>
        <w:top w:val="none" w:sz="0" w:space="0" w:color="auto"/>
        <w:left w:val="none" w:sz="0" w:space="0" w:color="auto"/>
        <w:bottom w:val="none" w:sz="0" w:space="0" w:color="auto"/>
        <w:right w:val="none" w:sz="0" w:space="0" w:color="auto"/>
      </w:divBdr>
    </w:div>
    <w:div w:id="561597235">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074672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53948313">
      <w:bodyDiv w:val="1"/>
      <w:marLeft w:val="0"/>
      <w:marRight w:val="0"/>
      <w:marTop w:val="0"/>
      <w:marBottom w:val="0"/>
      <w:divBdr>
        <w:top w:val="none" w:sz="0" w:space="0" w:color="auto"/>
        <w:left w:val="none" w:sz="0" w:space="0" w:color="auto"/>
        <w:bottom w:val="none" w:sz="0" w:space="0" w:color="auto"/>
        <w:right w:val="none" w:sz="0" w:space="0" w:color="auto"/>
      </w:divBdr>
    </w:div>
    <w:div w:id="671761018">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699866086">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12465943">
      <w:bodyDiv w:val="1"/>
      <w:marLeft w:val="0"/>
      <w:marRight w:val="0"/>
      <w:marTop w:val="0"/>
      <w:marBottom w:val="0"/>
      <w:divBdr>
        <w:top w:val="none" w:sz="0" w:space="0" w:color="auto"/>
        <w:left w:val="none" w:sz="0" w:space="0" w:color="auto"/>
        <w:bottom w:val="none" w:sz="0" w:space="0" w:color="auto"/>
        <w:right w:val="none" w:sz="0" w:space="0" w:color="auto"/>
      </w:divBdr>
    </w:div>
    <w:div w:id="712654473">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54476291">
      <w:bodyDiv w:val="1"/>
      <w:marLeft w:val="0"/>
      <w:marRight w:val="0"/>
      <w:marTop w:val="0"/>
      <w:marBottom w:val="0"/>
      <w:divBdr>
        <w:top w:val="none" w:sz="0" w:space="0" w:color="auto"/>
        <w:left w:val="none" w:sz="0" w:space="0" w:color="auto"/>
        <w:bottom w:val="none" w:sz="0" w:space="0" w:color="auto"/>
        <w:right w:val="none" w:sz="0" w:space="0" w:color="auto"/>
      </w:divBdr>
    </w:div>
    <w:div w:id="762723423">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83697505">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40892718">
      <w:bodyDiv w:val="1"/>
      <w:marLeft w:val="0"/>
      <w:marRight w:val="0"/>
      <w:marTop w:val="0"/>
      <w:marBottom w:val="0"/>
      <w:divBdr>
        <w:top w:val="none" w:sz="0" w:space="0" w:color="auto"/>
        <w:left w:val="none" w:sz="0" w:space="0" w:color="auto"/>
        <w:bottom w:val="none" w:sz="0" w:space="0" w:color="auto"/>
        <w:right w:val="none" w:sz="0" w:space="0" w:color="auto"/>
      </w:divBdr>
    </w:div>
    <w:div w:id="850610835">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7011385">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01986547">
      <w:bodyDiv w:val="1"/>
      <w:marLeft w:val="0"/>
      <w:marRight w:val="0"/>
      <w:marTop w:val="0"/>
      <w:marBottom w:val="0"/>
      <w:divBdr>
        <w:top w:val="none" w:sz="0" w:space="0" w:color="auto"/>
        <w:left w:val="none" w:sz="0" w:space="0" w:color="auto"/>
        <w:bottom w:val="none" w:sz="0" w:space="0" w:color="auto"/>
        <w:right w:val="none" w:sz="0" w:space="0" w:color="auto"/>
      </w:divBdr>
    </w:div>
    <w:div w:id="940377825">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63653676">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469622">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49304804">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5782301">
      <w:bodyDiv w:val="1"/>
      <w:marLeft w:val="0"/>
      <w:marRight w:val="0"/>
      <w:marTop w:val="0"/>
      <w:marBottom w:val="0"/>
      <w:divBdr>
        <w:top w:val="none" w:sz="0" w:space="0" w:color="auto"/>
        <w:left w:val="none" w:sz="0" w:space="0" w:color="auto"/>
        <w:bottom w:val="none" w:sz="0" w:space="0" w:color="auto"/>
        <w:right w:val="none" w:sz="0" w:space="0" w:color="auto"/>
      </w:divBdr>
    </w:div>
    <w:div w:id="1078098086">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125081220">
      <w:bodyDiv w:val="1"/>
      <w:marLeft w:val="0"/>
      <w:marRight w:val="0"/>
      <w:marTop w:val="0"/>
      <w:marBottom w:val="0"/>
      <w:divBdr>
        <w:top w:val="none" w:sz="0" w:space="0" w:color="auto"/>
        <w:left w:val="none" w:sz="0" w:space="0" w:color="auto"/>
        <w:bottom w:val="none" w:sz="0" w:space="0" w:color="auto"/>
        <w:right w:val="none" w:sz="0" w:space="0" w:color="auto"/>
      </w:divBdr>
    </w:div>
    <w:div w:id="1146242665">
      <w:bodyDiv w:val="1"/>
      <w:marLeft w:val="0"/>
      <w:marRight w:val="0"/>
      <w:marTop w:val="0"/>
      <w:marBottom w:val="0"/>
      <w:divBdr>
        <w:top w:val="none" w:sz="0" w:space="0" w:color="auto"/>
        <w:left w:val="none" w:sz="0" w:space="0" w:color="auto"/>
        <w:bottom w:val="none" w:sz="0" w:space="0" w:color="auto"/>
        <w:right w:val="none" w:sz="0" w:space="0" w:color="auto"/>
      </w:divBdr>
    </w:div>
    <w:div w:id="1154029575">
      <w:bodyDiv w:val="1"/>
      <w:marLeft w:val="0"/>
      <w:marRight w:val="0"/>
      <w:marTop w:val="0"/>
      <w:marBottom w:val="0"/>
      <w:divBdr>
        <w:top w:val="none" w:sz="0" w:space="0" w:color="auto"/>
        <w:left w:val="none" w:sz="0" w:space="0" w:color="auto"/>
        <w:bottom w:val="none" w:sz="0" w:space="0" w:color="auto"/>
        <w:right w:val="none" w:sz="0" w:space="0" w:color="auto"/>
      </w:divBdr>
    </w:div>
    <w:div w:id="1172376981">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3857431">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290085449">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0059582">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83597674">
      <w:bodyDiv w:val="1"/>
      <w:marLeft w:val="0"/>
      <w:marRight w:val="0"/>
      <w:marTop w:val="0"/>
      <w:marBottom w:val="0"/>
      <w:divBdr>
        <w:top w:val="none" w:sz="0" w:space="0" w:color="auto"/>
        <w:left w:val="none" w:sz="0" w:space="0" w:color="auto"/>
        <w:bottom w:val="none" w:sz="0" w:space="0" w:color="auto"/>
        <w:right w:val="none" w:sz="0" w:space="0" w:color="auto"/>
      </w:divBdr>
    </w:div>
    <w:div w:id="138447581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39913515">
      <w:bodyDiv w:val="1"/>
      <w:marLeft w:val="0"/>
      <w:marRight w:val="0"/>
      <w:marTop w:val="0"/>
      <w:marBottom w:val="0"/>
      <w:divBdr>
        <w:top w:val="none" w:sz="0" w:space="0" w:color="auto"/>
        <w:left w:val="none" w:sz="0" w:space="0" w:color="auto"/>
        <w:bottom w:val="none" w:sz="0" w:space="0" w:color="auto"/>
        <w:right w:val="none" w:sz="0" w:space="0" w:color="auto"/>
      </w:divBdr>
    </w:div>
    <w:div w:id="1440755222">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83961523">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49665403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1653318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37160180">
      <w:bodyDiv w:val="1"/>
      <w:marLeft w:val="0"/>
      <w:marRight w:val="0"/>
      <w:marTop w:val="0"/>
      <w:marBottom w:val="0"/>
      <w:divBdr>
        <w:top w:val="none" w:sz="0" w:space="0" w:color="auto"/>
        <w:left w:val="none" w:sz="0" w:space="0" w:color="auto"/>
        <w:bottom w:val="none" w:sz="0" w:space="0" w:color="auto"/>
        <w:right w:val="none" w:sz="0" w:space="0" w:color="auto"/>
      </w:divBdr>
    </w:div>
    <w:div w:id="1543790547">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3296943">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523751">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599559355">
      <w:bodyDiv w:val="1"/>
      <w:marLeft w:val="0"/>
      <w:marRight w:val="0"/>
      <w:marTop w:val="0"/>
      <w:marBottom w:val="0"/>
      <w:divBdr>
        <w:top w:val="none" w:sz="0" w:space="0" w:color="auto"/>
        <w:left w:val="none" w:sz="0" w:space="0" w:color="auto"/>
        <w:bottom w:val="none" w:sz="0" w:space="0" w:color="auto"/>
        <w:right w:val="none" w:sz="0" w:space="0" w:color="auto"/>
      </w:divBdr>
    </w:div>
    <w:div w:id="1603151076">
      <w:bodyDiv w:val="1"/>
      <w:marLeft w:val="0"/>
      <w:marRight w:val="0"/>
      <w:marTop w:val="0"/>
      <w:marBottom w:val="0"/>
      <w:divBdr>
        <w:top w:val="none" w:sz="0" w:space="0" w:color="auto"/>
        <w:left w:val="none" w:sz="0" w:space="0" w:color="auto"/>
        <w:bottom w:val="none" w:sz="0" w:space="0" w:color="auto"/>
        <w:right w:val="none" w:sz="0" w:space="0" w:color="auto"/>
      </w:divBdr>
    </w:div>
    <w:div w:id="1607420771">
      <w:bodyDiv w:val="1"/>
      <w:marLeft w:val="0"/>
      <w:marRight w:val="0"/>
      <w:marTop w:val="0"/>
      <w:marBottom w:val="0"/>
      <w:divBdr>
        <w:top w:val="none" w:sz="0" w:space="0" w:color="auto"/>
        <w:left w:val="none" w:sz="0" w:space="0" w:color="auto"/>
        <w:bottom w:val="none" w:sz="0" w:space="0" w:color="auto"/>
        <w:right w:val="none" w:sz="0" w:space="0" w:color="auto"/>
      </w:divBdr>
    </w:div>
    <w:div w:id="1624380439">
      <w:bodyDiv w:val="1"/>
      <w:marLeft w:val="0"/>
      <w:marRight w:val="0"/>
      <w:marTop w:val="0"/>
      <w:marBottom w:val="0"/>
      <w:divBdr>
        <w:top w:val="none" w:sz="0" w:space="0" w:color="auto"/>
        <w:left w:val="none" w:sz="0" w:space="0" w:color="auto"/>
        <w:bottom w:val="none" w:sz="0" w:space="0" w:color="auto"/>
        <w:right w:val="none" w:sz="0" w:space="0" w:color="auto"/>
      </w:divBdr>
    </w:div>
    <w:div w:id="1627546555">
      <w:bodyDiv w:val="1"/>
      <w:marLeft w:val="0"/>
      <w:marRight w:val="0"/>
      <w:marTop w:val="0"/>
      <w:marBottom w:val="0"/>
      <w:divBdr>
        <w:top w:val="none" w:sz="0" w:space="0" w:color="auto"/>
        <w:left w:val="none" w:sz="0" w:space="0" w:color="auto"/>
        <w:bottom w:val="none" w:sz="0" w:space="0" w:color="auto"/>
        <w:right w:val="none" w:sz="0" w:space="0" w:color="auto"/>
      </w:divBdr>
    </w:div>
    <w:div w:id="1650019577">
      <w:bodyDiv w:val="1"/>
      <w:marLeft w:val="0"/>
      <w:marRight w:val="0"/>
      <w:marTop w:val="0"/>
      <w:marBottom w:val="0"/>
      <w:divBdr>
        <w:top w:val="none" w:sz="0" w:space="0" w:color="auto"/>
        <w:left w:val="none" w:sz="0" w:space="0" w:color="auto"/>
        <w:bottom w:val="none" w:sz="0" w:space="0" w:color="auto"/>
        <w:right w:val="none" w:sz="0" w:space="0" w:color="auto"/>
      </w:divBdr>
    </w:div>
    <w:div w:id="1659846219">
      <w:bodyDiv w:val="1"/>
      <w:marLeft w:val="0"/>
      <w:marRight w:val="0"/>
      <w:marTop w:val="0"/>
      <w:marBottom w:val="0"/>
      <w:divBdr>
        <w:top w:val="none" w:sz="0" w:space="0" w:color="auto"/>
        <w:left w:val="none" w:sz="0" w:space="0" w:color="auto"/>
        <w:bottom w:val="none" w:sz="0" w:space="0" w:color="auto"/>
        <w:right w:val="none" w:sz="0" w:space="0" w:color="auto"/>
      </w:divBdr>
    </w:div>
    <w:div w:id="1663503339">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02123185">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3871853">
      <w:bodyDiv w:val="1"/>
      <w:marLeft w:val="0"/>
      <w:marRight w:val="0"/>
      <w:marTop w:val="0"/>
      <w:marBottom w:val="0"/>
      <w:divBdr>
        <w:top w:val="none" w:sz="0" w:space="0" w:color="auto"/>
        <w:left w:val="none" w:sz="0" w:space="0" w:color="auto"/>
        <w:bottom w:val="none" w:sz="0" w:space="0" w:color="auto"/>
        <w:right w:val="none" w:sz="0" w:space="0" w:color="auto"/>
      </w:divBdr>
    </w:div>
    <w:div w:id="1735733130">
      <w:bodyDiv w:val="1"/>
      <w:marLeft w:val="0"/>
      <w:marRight w:val="0"/>
      <w:marTop w:val="0"/>
      <w:marBottom w:val="0"/>
      <w:divBdr>
        <w:top w:val="none" w:sz="0" w:space="0" w:color="auto"/>
        <w:left w:val="none" w:sz="0" w:space="0" w:color="auto"/>
        <w:bottom w:val="none" w:sz="0" w:space="0" w:color="auto"/>
        <w:right w:val="none" w:sz="0" w:space="0" w:color="auto"/>
      </w:divBdr>
    </w:div>
    <w:div w:id="1761171649">
      <w:bodyDiv w:val="1"/>
      <w:marLeft w:val="0"/>
      <w:marRight w:val="0"/>
      <w:marTop w:val="0"/>
      <w:marBottom w:val="0"/>
      <w:divBdr>
        <w:top w:val="none" w:sz="0" w:space="0" w:color="auto"/>
        <w:left w:val="none" w:sz="0" w:space="0" w:color="auto"/>
        <w:bottom w:val="none" w:sz="0" w:space="0" w:color="auto"/>
        <w:right w:val="none" w:sz="0" w:space="0" w:color="auto"/>
      </w:divBdr>
    </w:div>
    <w:div w:id="1768689927">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798640672">
      <w:bodyDiv w:val="1"/>
      <w:marLeft w:val="0"/>
      <w:marRight w:val="0"/>
      <w:marTop w:val="0"/>
      <w:marBottom w:val="0"/>
      <w:divBdr>
        <w:top w:val="none" w:sz="0" w:space="0" w:color="auto"/>
        <w:left w:val="none" w:sz="0" w:space="0" w:color="auto"/>
        <w:bottom w:val="none" w:sz="0" w:space="0" w:color="auto"/>
        <w:right w:val="none" w:sz="0" w:space="0" w:color="auto"/>
      </w:divBdr>
    </w:div>
    <w:div w:id="1815946362">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5533457">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3490133">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03320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11963589">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39672742">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5254599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79454307">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03122551">
      <w:bodyDiv w:val="1"/>
      <w:marLeft w:val="0"/>
      <w:marRight w:val="0"/>
      <w:marTop w:val="0"/>
      <w:marBottom w:val="0"/>
      <w:divBdr>
        <w:top w:val="none" w:sz="0" w:space="0" w:color="auto"/>
        <w:left w:val="none" w:sz="0" w:space="0" w:color="auto"/>
        <w:bottom w:val="none" w:sz="0" w:space="0" w:color="auto"/>
        <w:right w:val="none" w:sz="0" w:space="0" w:color="auto"/>
      </w:divBdr>
    </w:div>
    <w:div w:id="2008359008">
      <w:bodyDiv w:val="1"/>
      <w:marLeft w:val="0"/>
      <w:marRight w:val="0"/>
      <w:marTop w:val="0"/>
      <w:marBottom w:val="0"/>
      <w:divBdr>
        <w:top w:val="none" w:sz="0" w:space="0" w:color="auto"/>
        <w:left w:val="none" w:sz="0" w:space="0" w:color="auto"/>
        <w:bottom w:val="none" w:sz="0" w:space="0" w:color="auto"/>
        <w:right w:val="none" w:sz="0" w:space="0" w:color="auto"/>
      </w:divBdr>
    </w:div>
    <w:div w:id="2040085188">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47026910">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51297407">
      <w:bodyDiv w:val="1"/>
      <w:marLeft w:val="0"/>
      <w:marRight w:val="0"/>
      <w:marTop w:val="0"/>
      <w:marBottom w:val="0"/>
      <w:divBdr>
        <w:top w:val="none" w:sz="0" w:space="0" w:color="auto"/>
        <w:left w:val="none" w:sz="0" w:space="0" w:color="auto"/>
        <w:bottom w:val="none" w:sz="0" w:space="0" w:color="auto"/>
        <w:right w:val="none" w:sz="0" w:space="0" w:color="auto"/>
      </w:divBdr>
    </w:div>
    <w:div w:id="2064519742">
      <w:bodyDiv w:val="1"/>
      <w:marLeft w:val="0"/>
      <w:marRight w:val="0"/>
      <w:marTop w:val="0"/>
      <w:marBottom w:val="0"/>
      <w:divBdr>
        <w:top w:val="none" w:sz="0" w:space="0" w:color="auto"/>
        <w:left w:val="none" w:sz="0" w:space="0" w:color="auto"/>
        <w:bottom w:val="none" w:sz="0" w:space="0" w:color="auto"/>
        <w:right w:val="none" w:sz="0" w:space="0" w:color="auto"/>
      </w:divBdr>
    </w:div>
    <w:div w:id="2065830715">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631B59CD-8655-4365-885C-96D9DED813BE}"/>
</file>

<file path=customXml/itemProps3.xml><?xml version="1.0" encoding="utf-8"?>
<ds:datastoreItem xmlns:ds="http://schemas.openxmlformats.org/officeDocument/2006/customXml" ds:itemID="{B61AB060-9EC6-46D0-9F28-B2DB4C34932F}"/>
</file>

<file path=customXml/itemProps4.xml><?xml version="1.0" encoding="utf-8"?>
<ds:datastoreItem xmlns:ds="http://schemas.openxmlformats.org/officeDocument/2006/customXml" ds:itemID="{B823DF30-5991-4984-811F-AFD28715B3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1102</cp:revision>
  <cp:lastPrinted>2024-12-19T19:09:00Z</cp:lastPrinted>
  <dcterms:created xsi:type="dcterms:W3CDTF">2022-12-22T22:59:00Z</dcterms:created>
  <dcterms:modified xsi:type="dcterms:W3CDTF">2025-11-26T13:49:01Z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