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0E96" w14:textId="4718D646" w:rsidR="00707C99" w:rsidRPr="00B32E8A" w:rsidRDefault="00201C0D" w:rsidP="00272F4F">
      <w:pPr>
        <w:spacing w:after="0" w:line="240" w:lineRule="auto"/>
        <w:jc w:val="center"/>
        <w:rPr>
          <w:rFonts w:ascii="Times New Roman" w:hAnsi="Times New Roman" w:cs="Times New Roman"/>
          <w:b/>
          <w:sz w:val="24"/>
          <w:szCs w:val="24"/>
          <w:lang w:val="es-PE" w:eastAsia="ar-SA"/>
        </w:rPr>
      </w:pPr>
      <w:r w:rsidRPr="00B32E8A">
        <w:rPr>
          <w:rFonts w:ascii="Times New Roman" w:hAnsi="Times New Roman" w:cs="Times New Roman"/>
          <w:b/>
          <w:sz w:val="24"/>
          <w:szCs w:val="24"/>
          <w:lang w:val="es-PE" w:eastAsia="ar-SA"/>
        </w:rPr>
        <w:t xml:space="preserve">RESOLUCIÓN DE RECURSO IMPUGNATIVO </w:t>
      </w:r>
      <w:proofErr w:type="spellStart"/>
      <w:r w:rsidR="00707C99" w:rsidRPr="00B32E8A">
        <w:rPr>
          <w:rFonts w:ascii="Times New Roman" w:hAnsi="Times New Roman" w:cs="Times New Roman"/>
          <w:b/>
          <w:sz w:val="24"/>
          <w:szCs w:val="24"/>
          <w:lang w:val="es-PE" w:eastAsia="ar-SA"/>
        </w:rPr>
        <w:t>N°</w:t>
      </w:r>
      <w:proofErr w:type="spellEnd"/>
      <w:r w:rsidR="00707C99" w:rsidRPr="00B32E8A">
        <w:rPr>
          <w:rFonts w:ascii="Times New Roman" w:hAnsi="Times New Roman" w:cs="Times New Roman"/>
          <w:b/>
          <w:sz w:val="24"/>
          <w:szCs w:val="24"/>
          <w:lang w:val="es-PE" w:eastAsia="ar-SA"/>
        </w:rPr>
        <w:t xml:space="preserve"> </w:t>
      </w:r>
      <w:r w:rsidR="00516293" w:rsidRPr="00B32E8A">
        <w:rPr>
          <w:rFonts w:ascii="Times New Roman" w:hAnsi="Times New Roman" w:cs="Times New Roman"/>
          <w:b/>
          <w:sz w:val="24"/>
          <w:szCs w:val="24"/>
          <w:lang w:val="es-PE" w:eastAsia="ar-SA"/>
        </w:rPr>
        <w:t>0</w:t>
      </w:r>
      <w:r w:rsidR="00543015" w:rsidRPr="00B32E8A">
        <w:rPr>
          <w:rFonts w:ascii="Times New Roman" w:hAnsi="Times New Roman" w:cs="Times New Roman"/>
          <w:b/>
          <w:sz w:val="24"/>
          <w:szCs w:val="24"/>
          <w:lang w:val="es-PE" w:eastAsia="ar-SA"/>
        </w:rPr>
        <w:t>01</w:t>
      </w:r>
      <w:r w:rsidR="00C671F5" w:rsidRPr="00B32E8A">
        <w:rPr>
          <w:rFonts w:ascii="Times New Roman" w:hAnsi="Times New Roman" w:cs="Times New Roman"/>
          <w:b/>
          <w:sz w:val="24"/>
          <w:szCs w:val="24"/>
          <w:lang w:val="es-PE" w:eastAsia="ar-SA"/>
        </w:rPr>
        <w:t>/2</w:t>
      </w:r>
      <w:r w:rsidR="00A74F96" w:rsidRPr="00B32E8A">
        <w:rPr>
          <w:rFonts w:ascii="Times New Roman" w:hAnsi="Times New Roman" w:cs="Times New Roman"/>
          <w:b/>
          <w:sz w:val="24"/>
          <w:szCs w:val="24"/>
          <w:lang w:val="es-PE" w:eastAsia="ar-SA"/>
        </w:rPr>
        <w:t>5</w:t>
      </w:r>
    </w:p>
    <w:p w14:paraId="2AB29307" w14:textId="77777777" w:rsidR="00543015" w:rsidRPr="00B32E8A" w:rsidRDefault="00543015" w:rsidP="00543015">
      <w:pPr>
        <w:spacing w:after="0" w:line="240" w:lineRule="auto"/>
        <w:jc w:val="both"/>
        <w:rPr>
          <w:rFonts w:ascii="Times New Roman" w:hAnsi="Times New Roman" w:cs="Times New Roman"/>
          <w:b/>
          <w:sz w:val="24"/>
          <w:szCs w:val="24"/>
          <w:lang w:val="es-PE"/>
        </w:rPr>
      </w:pPr>
    </w:p>
    <w:p w14:paraId="6616E975" w14:textId="5944120F" w:rsidR="00167EDA" w:rsidRPr="00167EDA" w:rsidRDefault="00167EDA" w:rsidP="00167EDA">
      <w:pPr>
        <w:spacing w:line="240" w:lineRule="auto"/>
        <w:jc w:val="both"/>
        <w:rPr>
          <w:rFonts w:ascii="Times New Roman" w:eastAsia="Times New Roman" w:hAnsi="Times New Roman" w:cs="Times New Roman"/>
          <w:b/>
          <w:bCs/>
          <w:sz w:val="24"/>
          <w:szCs w:val="24"/>
          <w:lang w:val="es-MX" w:eastAsia="ar-SA"/>
        </w:rPr>
      </w:pPr>
      <w:r w:rsidRPr="00167EDA">
        <w:rPr>
          <w:rFonts w:ascii="Times New Roman" w:eastAsia="Times New Roman" w:hAnsi="Times New Roman" w:cs="Times New Roman"/>
          <w:b/>
          <w:bCs/>
          <w:sz w:val="24"/>
          <w:szCs w:val="24"/>
          <w:lang w:val="es-MX" w:eastAsia="ar-SA"/>
        </w:rPr>
        <w:t>VISTOS:</w:t>
      </w:r>
    </w:p>
    <w:p w14:paraId="18070CE4" w14:textId="77777777" w:rsidR="00167EDA" w:rsidRPr="00167EDA" w:rsidRDefault="00167EDA" w:rsidP="00167EDA">
      <w:pPr>
        <w:spacing w:line="240" w:lineRule="auto"/>
        <w:jc w:val="both"/>
        <w:rPr>
          <w:rFonts w:ascii="Times New Roman" w:eastAsia="Times New Roman" w:hAnsi="Times New Roman" w:cs="Times New Roman"/>
          <w:b/>
          <w:bCs/>
          <w:sz w:val="24"/>
          <w:szCs w:val="24"/>
          <w:lang w:val="es-PE" w:eastAsia="ar-SA"/>
        </w:rPr>
      </w:pPr>
      <w:r>
        <w:rPr>
          <w:rFonts w:ascii="Times New Roman" w:hAnsi="Times New Roman"/>
          <w:sz w:val="24"/>
        </w:rPr>
        <w:t xml:space="preserve">El Recurso de Impugnación presentado por ………………… respecto de la Resolución Nro. 028/24, expedida por esta Defensoría del Asegurado y, conforme a la cual se declaró INFUNDADA la reclamación interpuesta contra …………………, en relación con el Seguro Obligatorio de Accidentes de Tránsito (SOAT) - PÓLIZA NO </w:t>
      </w:r>
    </w:p>
    <w:p w14:paraId="76C7E4E0" w14:textId="21D708D6" w:rsidR="00167EDA" w:rsidRPr="00167EDA" w:rsidRDefault="00167EDA" w:rsidP="00167EDA">
      <w:pPr>
        <w:spacing w:line="240" w:lineRule="auto"/>
        <w:jc w:val="both"/>
        <w:rPr>
          <w:rFonts w:ascii="Times New Roman" w:eastAsia="Times New Roman" w:hAnsi="Times New Roman" w:cs="Times New Roman"/>
          <w:sz w:val="24"/>
          <w:szCs w:val="24"/>
          <w:lang w:val="es-PE" w:eastAsia="ar-SA"/>
        </w:rPr>
      </w:pPr>
      <w:r>
        <w:rPr>
          <w:rFonts w:ascii="Times New Roman" w:hAnsi="Times New Roman"/>
          <w:sz w:val="24"/>
        </w:rPr>
        <w:t xml:space="preserve"> ………………….</w:t>
      </w:r>
    </w:p>
    <w:p w14:paraId="5383F6FF" w14:textId="671968BD" w:rsidR="00167EDA" w:rsidRPr="00167EDA" w:rsidRDefault="00167EDA" w:rsidP="00167EDA">
      <w:pPr>
        <w:spacing w:line="240" w:lineRule="auto"/>
        <w:jc w:val="both"/>
        <w:rPr>
          <w:rFonts w:ascii="Times New Roman" w:eastAsia="Times New Roman" w:hAnsi="Times New Roman" w:cs="Times New Roman"/>
          <w:bCs/>
          <w:sz w:val="24"/>
          <w:szCs w:val="24"/>
          <w:lang w:val="es-PE" w:eastAsia="ar-SA"/>
        </w:rPr>
      </w:pPr>
      <w:r>
        <w:rPr>
          <w:rFonts w:ascii="Times New Roman" w:hAnsi="Times New Roman"/>
          <w:sz w:val="24"/>
        </w:rPr>
        <w:t xml:space="preserve">Que, el indicado recurso se sustenta resumidamente en lo siguiente: (1) el hecho suscitado no es un evento dañoso, es un “accidente de tránsito múltiple – atropello por compresión con consecuencia fatal”, como ha sido tipificado por el Informe Técnico de la Unidad de Investigaciones de Accidentes de Tránsito de la PNP, lo que ha sido corroborado con la aplicación del Manual de Normas de Procedimientos para las Intervenciones de Prevención e Investigación de Accidentes de Tránsito, aprobado con la Resolución de la Comandancia General N° ………………… de fecha 09MAR2021, manual que es utilizado para que los efectivos de la PNP encargados de la Unidades y Secciones de Investigación de Accidentes de Tránsito a nivel nacional; (2) la vía donde se llevó a cabo el Accidente de Tránsito Múltiple – Atropello por Compresión con Consecuencia Fatal, es una vía de acceso continuo y abierto al público que no se desarrolla actividades particulares, toda vez que El Seguro Social de Salud (EsSalud), es un organismo público descentralizado, donde existe un tránsito continuo de peatones; (3) el colegiado para su resolución ha tomado como referencia el Informe Técnico N° …………………, formulado por la Unidad de Investigaciones de Accidentes de Tránsito de la PNP, por lo que se debe tener en cuenta que dicho tiene informe tiene como base el Manual de Normas de Procedimientos para las Intervenciones de Prevención e Investigación de Accidentes de Tránsito; (4) la vía donde sucedió el accidente de tránsito múltiple – atropello por compresión con consecuencia fatal, en una vía de acceso al tránsito público, que El Seguro Social de Salud (EsSalud), es un organismo público descentralizado, donde existe un tránsito continuo de peatones y tránsito vehicular y que el hecho suscitado es un accidente de tránsito, no un hecho dañoso como se ha mencionado. </w:t>
      </w:r>
    </w:p>
    <w:p w14:paraId="1BC17EEC" w14:textId="39446C06" w:rsidR="00167EDA" w:rsidRPr="00167EDA" w:rsidRDefault="00167EDA" w:rsidP="00167EDA">
      <w:pPr>
        <w:spacing w:line="240" w:lineRule="auto"/>
        <w:jc w:val="both"/>
        <w:rPr>
          <w:rFonts w:ascii="Times New Roman" w:eastAsia="Times New Roman" w:hAnsi="Times New Roman" w:cs="Times New Roman"/>
          <w:bCs/>
          <w:sz w:val="24"/>
          <w:szCs w:val="24"/>
          <w:lang w:val="es-PE" w:eastAsia="ar-SA"/>
        </w:rPr>
      </w:pPr>
      <w:r>
        <w:rPr>
          <w:rFonts w:ascii="Times New Roman" w:hAnsi="Times New Roman"/>
          <w:sz w:val="24"/>
        </w:rPr>
        <w:t xml:space="preserve">Que, la aseguradora absolvió el traslado del recurso impugnatorio manifestando, en síntesis, lo siguiente: (1) no corresponde brindar cobertura en la medida que el presente caso no califica como un accidente de tránsito debido a que no ocurrió en un lugar no abierto al tránsito público, conforme a lo dispuesto en la normativa; (2) del contenido de los artículos 4, 5 y 37 del Decreto Supremo 024-2002-MTC – Reglamento del SOAT, al haber ocurrido el accidente dentro del Hospital ESSALUD III Laderas del ………………… Chimbote, el mismo no califica como accidente de tránsito en la medida que el mismo no sucedió en vía de uso público, entendida esta última como carretera, camino o calle abierta al tránsito de peatones y vehículos automotores; (3) dicho cuerpo normativo, dispone que queda excluido del SOAT por muerte o lesiones corporales, lo accidentes ocurridos en lugares no abiertos al tránsito público, como se sucedió en el presente caso.</w:t>
      </w:r>
    </w:p>
    <w:p w14:paraId="49A90EBF" w14:textId="51292CE9" w:rsidR="00167EDA" w:rsidRPr="00167EDA" w:rsidRDefault="00167EDA" w:rsidP="00167EDA">
      <w:pPr>
        <w:spacing w:line="240" w:lineRule="auto"/>
        <w:jc w:val="both"/>
        <w:rPr>
          <w:rFonts w:ascii="Times New Roman" w:eastAsia="Times New Roman" w:hAnsi="Times New Roman" w:cs="Times New Roman"/>
          <w:bCs/>
          <w:sz w:val="24"/>
          <w:szCs w:val="24"/>
          <w:lang w:val="es-MX" w:eastAsia="ar-SA"/>
        </w:rPr>
      </w:pPr>
      <w:r w:rsidRPr="00167EDA">
        <w:rPr>
          <w:rFonts w:ascii="Times New Roman" w:eastAsia="Times New Roman" w:hAnsi="Times New Roman" w:cs="Times New Roman"/>
          <w:bCs/>
          <w:sz w:val="24"/>
          <w:szCs w:val="24"/>
          <w:lang w:val="es-MX" w:eastAsia="ar-SA"/>
        </w:rPr>
        <w:t>Que, atendiendo a lo expuesto, esta Defensoría resuelve finalmente lo siguiente:</w:t>
      </w:r>
    </w:p>
    <w:p w14:paraId="3B25539A" w14:textId="62555127" w:rsidR="00167EDA" w:rsidRPr="00167EDA" w:rsidRDefault="00167EDA" w:rsidP="00167EDA">
      <w:pPr>
        <w:spacing w:line="240" w:lineRule="auto"/>
        <w:jc w:val="both"/>
        <w:rPr>
          <w:rFonts w:ascii="Times New Roman" w:eastAsia="Times New Roman"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35DECD01" w14:textId="29C6A0BA" w:rsidR="00167EDA" w:rsidRPr="00167EDA" w:rsidRDefault="00167EDA" w:rsidP="00167EDA">
      <w:pPr>
        <w:spacing w:line="240" w:lineRule="auto"/>
        <w:jc w:val="both"/>
        <w:rPr>
          <w:rFonts w:ascii="Times New Roman" w:eastAsia="Times New Roman"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reclamante ha ejercido formalmente su derecho a contradecir lo resuelto por la Defensoría.</w:t>
      </w:r>
    </w:p>
    <w:p w14:paraId="1A23C569" w14:textId="7509A5CA" w:rsidR="00167EDA" w:rsidRPr="00167EDA" w:rsidRDefault="00167EDA" w:rsidP="00167EDA">
      <w:pPr>
        <w:spacing w:line="240" w:lineRule="auto"/>
        <w:jc w:val="both"/>
        <w:rPr>
          <w:rFonts w:ascii="Times New Roman" w:eastAsia="Times New Roman" w:hAnsi="Times New Roman" w:cs="Times New Roman"/>
          <w:sz w:val="24"/>
          <w:szCs w:val="24"/>
          <w:lang w:val="es-ES" w:eastAsia="ar-SA"/>
        </w:rPr>
      </w:pPr>
      <w:r>
        <w:rPr>
          <w:rFonts w:ascii="Times New Roman" w:hAnsi="Times New Roman"/>
          <w:sz w:val="24"/>
        </w:rPr>
        <w:t xml:space="preserve">SEGUNDO: Que el Recurso de Impugnación presentado por la reclamante se sustenta en discrepar respecto a las razones por las que se declaró infundada la reclamación, así como por identificar que en el presente caso se configura un accidente de tránsito en una vía que califica como pública.</w:t>
      </w:r>
    </w:p>
    <w:p w14:paraId="15D8ACAE" w14:textId="3774B09D" w:rsidR="00167EDA" w:rsidRPr="00167EDA" w:rsidRDefault="00167EDA" w:rsidP="00167EDA">
      <w:pPr>
        <w:spacing w:line="240" w:lineRule="auto"/>
        <w:jc w:val="both"/>
        <w:rPr>
          <w:rFonts w:ascii="Times New Roman" w:eastAsia="Times New Roman" w:hAnsi="Times New Roman" w:cs="Times New Roman"/>
          <w:sz w:val="24"/>
          <w:szCs w:val="24"/>
          <w:lang w:val="es-ES" w:eastAsia="ar-SA"/>
        </w:rPr>
      </w:pPr>
      <w:r w:rsidRPr="00167EDA">
        <w:rPr>
          <w:rFonts w:ascii="Times New Roman" w:eastAsia="Times New Roman" w:hAnsi="Times New Roman" w:cs="Times New Roman"/>
          <w:sz w:val="24"/>
          <w:szCs w:val="24"/>
          <w:lang w:val="es-ES" w:eastAsia="ar-SA"/>
        </w:rPr>
        <w:t>Al respecto, la DEFASEG no comparte la apreciación de la reclamante. En efecto, no se advierte una interpretación errónea del articulado legal ni de la valoración de las circunstancias fácticas que han sido valoradas y encuadradas dentro del supuesto normativo aplicado al caso.</w:t>
      </w:r>
    </w:p>
    <w:p w14:paraId="2BC1EB5A" w14:textId="431424CF" w:rsidR="00167EDA" w:rsidRPr="00167EDA" w:rsidRDefault="00167EDA" w:rsidP="00167EDA">
      <w:pPr>
        <w:spacing w:line="240" w:lineRule="auto"/>
        <w:jc w:val="both"/>
        <w:rPr>
          <w:rFonts w:ascii="Times New Roman" w:eastAsia="Times New Roman" w:hAnsi="Times New Roman" w:cs="Times New Roman"/>
          <w:sz w:val="24"/>
          <w:szCs w:val="24"/>
          <w:lang w:val="es-PE" w:eastAsia="ar-SA"/>
        </w:rPr>
      </w:pPr>
      <w:r w:rsidRPr="00167EDA">
        <w:rPr>
          <w:rFonts w:ascii="Times New Roman" w:eastAsia="Times New Roman" w:hAnsi="Times New Roman" w:cs="Times New Roman"/>
          <w:sz w:val="24"/>
          <w:szCs w:val="24"/>
          <w:lang w:val="es-ES" w:eastAsia="ar-SA"/>
        </w:rPr>
        <w:t>En ese sentido, se reitera la apreciación de que, e</w:t>
      </w:r>
      <w:r w:rsidRPr="00167EDA">
        <w:rPr>
          <w:rFonts w:ascii="Times New Roman" w:eastAsia="Times New Roman" w:hAnsi="Times New Roman" w:cs="Times New Roman"/>
          <w:sz w:val="24"/>
          <w:szCs w:val="24"/>
          <w:lang w:val="es-PE" w:eastAsia="ar-SA"/>
        </w:rPr>
        <w:t>n el presente caso, se comprueba que el siniestro ocurrió en el interior de una instalación y no en la vía pública; en consecuencia, no queda comprendido bajo la cobertura del SOAT.</w:t>
      </w:r>
    </w:p>
    <w:p w14:paraId="35E9A972" w14:textId="7EB946A3" w:rsidR="00167EDA" w:rsidRPr="00167EDA" w:rsidRDefault="00167EDA" w:rsidP="00167EDA">
      <w:pPr>
        <w:spacing w:line="240" w:lineRule="auto"/>
        <w:jc w:val="both"/>
        <w:rPr>
          <w:rFonts w:ascii="Times New Roman" w:eastAsia="Times New Roman" w:hAnsi="Times New Roman" w:cs="Times New Roman"/>
          <w:sz w:val="24"/>
          <w:szCs w:val="24"/>
          <w:lang w:val="es-PE" w:eastAsia="ar-SA"/>
        </w:rPr>
      </w:pPr>
      <w:r>
        <w:rPr>
          <w:rFonts w:ascii="Times New Roman" w:hAnsi="Times New Roman"/>
          <w:sz w:val="24"/>
        </w:rPr>
        <w:t xml:space="preserve">Por consiguiente, esta Defensoría reitera que, conforme a las evidencias que obran en autos, el evento dañoso, accidente de tránsito en sentido amplio o lato, ocurrió cuando el conductor del vehículo asegurado transitaba en una vía al interior del Hospital ESSALUD III Laderas del ………………… Chimbote. </w:t>
      </w:r>
    </w:p>
    <w:p w14:paraId="508077C1" w14:textId="43CF5201" w:rsidR="00167EDA" w:rsidRPr="00167EDA" w:rsidRDefault="00167EDA" w:rsidP="00167EDA">
      <w:pPr>
        <w:spacing w:line="240" w:lineRule="auto"/>
        <w:jc w:val="both"/>
        <w:rPr>
          <w:rFonts w:ascii="Times New Roman" w:eastAsia="Times New Roman" w:hAnsi="Times New Roman" w:cs="Times New Roman"/>
          <w:sz w:val="24"/>
          <w:szCs w:val="24"/>
          <w:lang w:val="es-PE" w:eastAsia="ar-SA"/>
        </w:rPr>
      </w:pPr>
      <w:r>
        <w:rPr>
          <w:rFonts w:ascii="Times New Roman" w:hAnsi="Times New Roman"/>
          <w:sz w:val="24"/>
        </w:rPr>
        <w:t xml:space="preserve">En efecto, el evento ocurrió cuando el vehículo transitaba al interior de una instalación y no en la vía pública. Atendiendo a dicha circunstancia, aplicando las definiciones del Reglamento SOAT, se concluye que lo sucedido no fue rigurosa o estrictamente un accidente de tránsito, porque el vehículo asegurado no estaba circulando en la vía pública, siendo que el evento dañoso se produjo cuando se dirigía a la salida de las instalaciones del Hospital ESSALUD III Laderas del ………………… Chimbote atropella a la hija de la reclamante, hecho sucedido en el interior de dicho Hospital.</w:t>
      </w:r>
    </w:p>
    <w:p w14:paraId="03F24FB2" w14:textId="595994AC" w:rsidR="00167EDA" w:rsidRPr="00167EDA" w:rsidRDefault="00167EDA" w:rsidP="00167EDA">
      <w:pPr>
        <w:spacing w:line="240" w:lineRule="auto"/>
        <w:jc w:val="both"/>
        <w:rPr>
          <w:rFonts w:ascii="Times New Roman" w:eastAsia="Times New Roman" w:hAnsi="Times New Roman" w:cs="Times New Roman"/>
          <w:sz w:val="24"/>
          <w:szCs w:val="24"/>
          <w:lang w:val="es-ES" w:eastAsia="ar-SA"/>
        </w:rPr>
      </w:pPr>
      <w:r w:rsidRPr="00167EDA">
        <w:rPr>
          <w:rFonts w:ascii="Times New Roman" w:eastAsia="Times New Roman" w:hAnsi="Times New Roman" w:cs="Times New Roman"/>
          <w:b/>
          <w:sz w:val="24"/>
          <w:szCs w:val="24"/>
          <w:u w:val="single"/>
          <w:lang w:val="es-ES" w:eastAsia="ar-SA"/>
        </w:rPr>
        <w:t>TERCERO</w:t>
      </w:r>
      <w:r w:rsidRPr="00167EDA">
        <w:rPr>
          <w:rFonts w:ascii="Times New Roman" w:eastAsia="Times New Roman" w:hAnsi="Times New Roman" w:cs="Times New Roman"/>
          <w:b/>
          <w:sz w:val="24"/>
          <w:szCs w:val="24"/>
          <w:lang w:val="es-ES" w:eastAsia="ar-SA"/>
        </w:rPr>
        <w:t>:</w:t>
      </w:r>
      <w:r w:rsidRPr="00167EDA">
        <w:rPr>
          <w:rFonts w:ascii="Times New Roman" w:eastAsia="Times New Roman" w:hAnsi="Times New Roman" w:cs="Times New Roman"/>
          <w:sz w:val="24"/>
          <w:szCs w:val="24"/>
          <w:lang w:val="es-ES" w:eastAsia="ar-SA"/>
        </w:rPr>
        <w:t xml:space="preserve"> En atención a las consideraciones precedentes, este colegiado aprecia finalmente que no existe mérito suficiente y razón objetiva para revocarla.</w:t>
      </w:r>
    </w:p>
    <w:p w14:paraId="01E800DD" w14:textId="77777777" w:rsidR="00167EDA" w:rsidRPr="00167EDA" w:rsidRDefault="00167EDA" w:rsidP="00167EDA">
      <w:pPr>
        <w:spacing w:line="240" w:lineRule="auto"/>
        <w:jc w:val="both"/>
        <w:rPr>
          <w:rFonts w:ascii="Times New Roman" w:eastAsia="Times New Roman" w:hAnsi="Times New Roman" w:cs="Times New Roman"/>
          <w:b/>
          <w:sz w:val="24"/>
          <w:szCs w:val="24"/>
          <w:lang w:val="es-PE" w:eastAsia="ar-SA"/>
        </w:rPr>
      </w:pPr>
      <w:r w:rsidRPr="00167EDA">
        <w:rPr>
          <w:rFonts w:ascii="Times New Roman" w:eastAsia="Times New Roman" w:hAnsi="Times New Roman" w:cs="Times New Roman"/>
          <w:b/>
          <w:sz w:val="24"/>
          <w:szCs w:val="24"/>
          <w:lang w:val="es-PE" w:eastAsia="ar-SA"/>
        </w:rPr>
        <w:t>ATENDIENDO A LO EXPRESADO, CONFORME A SU REGLAMENTO, ESTE COLEGIADO RESUELVE:</w:t>
      </w:r>
    </w:p>
    <w:p w14:paraId="0BEC3AD3" w14:textId="31D10395" w:rsidR="00167EDA" w:rsidRPr="00167EDA" w:rsidRDefault="00167EDA" w:rsidP="00167EDA">
      <w:pPr>
        <w:spacing w:line="240" w:lineRule="auto"/>
        <w:jc w:val="both"/>
        <w:rPr>
          <w:rFonts w:ascii="Times New Roman" w:eastAsia="Times New Roman" w:hAnsi="Times New Roman" w:cs="Times New Roman"/>
          <w:b/>
          <w:sz w:val="24"/>
          <w:szCs w:val="24"/>
          <w:lang w:val="es-ES" w:eastAsia="ar-SA"/>
        </w:rPr>
      </w:pPr>
      <w:r w:rsidRPr="00167EDA">
        <w:rPr>
          <w:rFonts w:ascii="Times New Roman" w:eastAsia="Times New Roman" w:hAnsi="Times New Roman" w:cs="Times New Roman"/>
          <w:b/>
          <w:sz w:val="24"/>
          <w:szCs w:val="24"/>
          <w:lang w:val="es-ES" w:eastAsia="ar-SA"/>
        </w:rPr>
        <w:t>RESUELVE:</w:t>
      </w:r>
    </w:p>
    <w:p w14:paraId="06345190" w14:textId="352AAC33" w:rsidR="00FA1290" w:rsidRPr="00B32E8A" w:rsidRDefault="00167EDA" w:rsidP="00FA1290">
      <w:pPr>
        <w:spacing w:line="240" w:lineRule="auto"/>
        <w:jc w:val="both"/>
        <w:rPr>
          <w:rFonts w:ascii="Times New Roman" w:eastAsia="Times New Roman" w:hAnsi="Times New Roman" w:cs="Times New Roman"/>
          <w:sz w:val="24"/>
          <w:szCs w:val="24"/>
          <w:lang w:val="es-ES" w:eastAsia="ar-SA"/>
        </w:rPr>
      </w:pPr>
      <w:r>
        <w:rPr>
          <w:rFonts w:ascii="Times New Roman" w:hAnsi="Times New Roman"/>
          <w:sz w:val="24"/>
        </w:rPr>
        <w:t xml:space="preserve">Declarar INFUNDADO el Recurso de Impugnación interpuesto y, por consiguiente, CONFIRMAR la Resolución Nro. 028/24.</w:t>
      </w:r>
    </w:p>
    <w:p w14:paraId="000A434B" w14:textId="485CF367" w:rsidR="008B6A09" w:rsidRPr="00B32E8A" w:rsidRDefault="0091528B" w:rsidP="008B6A09">
      <w:pPr>
        <w:spacing w:line="240" w:lineRule="auto"/>
        <w:jc w:val="right"/>
        <w:rPr>
          <w:rFonts w:ascii="Times New Roman" w:hAnsi="Times New Roman" w:cs="Times New Roman"/>
          <w:sz w:val="24"/>
          <w:szCs w:val="24"/>
          <w:lang w:val="es-PE"/>
        </w:rPr>
      </w:pPr>
      <w:r w:rsidRPr="00B32E8A">
        <w:rPr>
          <w:rFonts w:ascii="Times New Roman" w:eastAsia="Arial Unicode MS" w:hAnsi="Times New Roman" w:cs="Times New Roman"/>
          <w:sz w:val="24"/>
          <w:szCs w:val="24"/>
          <w:lang w:val="es-PE" w:eastAsia="ar-SA"/>
        </w:rPr>
        <w:t xml:space="preserve">Lima, </w:t>
      </w:r>
      <w:r w:rsidR="00E57768" w:rsidRPr="00B32E8A">
        <w:rPr>
          <w:rFonts w:ascii="Times New Roman" w:eastAsia="Arial Unicode MS" w:hAnsi="Times New Roman" w:cs="Times New Roman"/>
          <w:sz w:val="24"/>
          <w:szCs w:val="24"/>
          <w:lang w:val="es-PE" w:eastAsia="ar-SA"/>
        </w:rPr>
        <w:t>13</w:t>
      </w:r>
      <w:r w:rsidR="00570ED6" w:rsidRPr="00B32E8A">
        <w:rPr>
          <w:rFonts w:ascii="Times New Roman" w:eastAsia="Arial Unicode MS" w:hAnsi="Times New Roman" w:cs="Times New Roman"/>
          <w:sz w:val="24"/>
          <w:szCs w:val="24"/>
          <w:lang w:val="es-PE" w:eastAsia="ar-SA"/>
        </w:rPr>
        <w:t xml:space="preserve"> </w:t>
      </w:r>
      <w:r w:rsidR="00707C99" w:rsidRPr="00B32E8A">
        <w:rPr>
          <w:rFonts w:ascii="Times New Roman" w:eastAsia="Arial Unicode MS" w:hAnsi="Times New Roman" w:cs="Times New Roman"/>
          <w:sz w:val="24"/>
          <w:szCs w:val="24"/>
          <w:lang w:val="es-PE" w:eastAsia="ar-SA"/>
        </w:rPr>
        <w:t xml:space="preserve">de </w:t>
      </w:r>
      <w:r w:rsidR="00543015" w:rsidRPr="00B32E8A">
        <w:rPr>
          <w:rFonts w:ascii="Times New Roman" w:eastAsia="Arial Unicode MS" w:hAnsi="Times New Roman" w:cs="Times New Roman"/>
          <w:sz w:val="24"/>
          <w:szCs w:val="24"/>
          <w:lang w:val="es-PE" w:eastAsia="ar-SA"/>
        </w:rPr>
        <w:t>enero</w:t>
      </w:r>
      <w:r w:rsidR="002F478E" w:rsidRPr="00B32E8A">
        <w:rPr>
          <w:rFonts w:ascii="Times New Roman" w:eastAsia="Arial Unicode MS" w:hAnsi="Times New Roman" w:cs="Times New Roman"/>
          <w:sz w:val="24"/>
          <w:szCs w:val="24"/>
          <w:lang w:val="es-PE" w:eastAsia="ar-SA"/>
        </w:rPr>
        <w:t xml:space="preserve"> </w:t>
      </w:r>
      <w:r w:rsidR="00F06498" w:rsidRPr="00B32E8A">
        <w:rPr>
          <w:rFonts w:ascii="Times New Roman" w:eastAsia="Arial Unicode MS" w:hAnsi="Times New Roman" w:cs="Times New Roman"/>
          <w:sz w:val="24"/>
          <w:szCs w:val="24"/>
          <w:lang w:val="es-PE" w:eastAsia="ar-SA"/>
        </w:rPr>
        <w:t>de 202</w:t>
      </w:r>
      <w:r w:rsidR="00543015" w:rsidRPr="00B32E8A">
        <w:rPr>
          <w:rFonts w:ascii="Times New Roman" w:eastAsia="Arial Unicode MS" w:hAnsi="Times New Roman" w:cs="Times New Roman"/>
          <w:sz w:val="24"/>
          <w:szCs w:val="24"/>
          <w:lang w:val="es-PE" w:eastAsia="ar-SA"/>
        </w:rPr>
        <w:t>4</w:t>
      </w:r>
      <w:r w:rsidR="00707C99" w:rsidRPr="00B32E8A">
        <w:rPr>
          <w:rFonts w:ascii="Times New Roman" w:eastAsia="Times New Roman" w:hAnsi="Times New Roman" w:cs="Times New Roman"/>
          <w:sz w:val="24"/>
          <w:szCs w:val="24"/>
          <w:lang w:val="es-PE" w:eastAsia="ar-SA"/>
        </w:rPr>
        <w:t xml:space="preserve"> </w:t>
      </w:r>
    </w:p>
    <w:p w14:paraId="7433A34B" w14:textId="77777777" w:rsidR="008B6A09" w:rsidRDefault="008B6A09"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51EDAB4B" w14:textId="77777777" w:rsidR="00B32E8A" w:rsidRPr="00B32E8A" w:rsidRDefault="00B32E8A"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1B6988F6" w14:textId="77777777" w:rsidR="00A323F4" w:rsidRPr="00B32E8A" w:rsidRDefault="00A323F4" w:rsidP="00A323F4">
      <w:pPr>
        <w:spacing w:after="0" w:line="240" w:lineRule="auto"/>
        <w:jc w:val="both"/>
        <w:rPr>
          <w:rFonts w:ascii="Times New Roman" w:hAnsi="Times New Roman" w:cs="Times New Roman"/>
          <w:b/>
          <w:bCs/>
          <w:i/>
          <w:iCs/>
          <w:sz w:val="24"/>
          <w:szCs w:val="24"/>
          <w:lang w:val="es-PE"/>
        </w:rPr>
      </w:pPr>
      <w:r w:rsidRPr="00B32E8A">
        <w:rPr>
          <w:rFonts w:ascii="Times New Roman" w:hAnsi="Times New Roman" w:cs="Times New Roman"/>
          <w:b/>
          <w:bCs/>
          <w:i/>
          <w:iCs/>
          <w:sz w:val="24"/>
          <w:szCs w:val="24"/>
          <w:lang w:val="es-PE"/>
        </w:rPr>
        <w:lastRenderedPageBreak/>
        <w:t>La Secretaría Técnica certifica que la presente resolución cuenta con el voto de los vocales cuyos nombres figuran en el presente documento.</w:t>
      </w:r>
    </w:p>
    <w:p w14:paraId="3AB80116" w14:textId="77777777" w:rsidR="00A323F4" w:rsidRPr="00B32E8A"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B32E8A" w:rsidRDefault="00543015"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 xml:space="preserve">María Eugenia Valdez Fernández Baca </w:t>
      </w:r>
      <w:r w:rsidR="007543CD" w:rsidRPr="00B32E8A">
        <w:rPr>
          <w:rFonts w:ascii="Times New Roman" w:hAnsi="Times New Roman" w:cs="Times New Roman"/>
          <w:b/>
          <w:bCs/>
          <w:sz w:val="24"/>
          <w:szCs w:val="24"/>
          <w:lang w:val="es-PE"/>
        </w:rPr>
        <w:t xml:space="preserve">– </w:t>
      </w:r>
      <w:proofErr w:type="gramStart"/>
      <w:r w:rsidR="007543CD" w:rsidRPr="00B32E8A">
        <w:rPr>
          <w:rFonts w:ascii="Times New Roman" w:hAnsi="Times New Roman" w:cs="Times New Roman"/>
          <w:b/>
          <w:bCs/>
          <w:sz w:val="24"/>
          <w:szCs w:val="24"/>
          <w:lang w:val="es-PE"/>
        </w:rPr>
        <w:t>Presidente</w:t>
      </w:r>
      <w:proofErr w:type="gramEnd"/>
    </w:p>
    <w:p w14:paraId="0DCF6E18" w14:textId="56F1BED3" w:rsidR="007543CD" w:rsidRPr="00B32E8A" w:rsidRDefault="00543015"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 xml:space="preserve">Rolando Eyzaguirre </w:t>
      </w:r>
      <w:proofErr w:type="spellStart"/>
      <w:r w:rsidRPr="00B32E8A">
        <w:rPr>
          <w:rFonts w:ascii="Times New Roman" w:hAnsi="Times New Roman" w:cs="Times New Roman"/>
          <w:b/>
          <w:bCs/>
          <w:sz w:val="24"/>
          <w:szCs w:val="24"/>
          <w:lang w:val="es-PE"/>
        </w:rPr>
        <w:t>Maccan</w:t>
      </w:r>
      <w:proofErr w:type="spellEnd"/>
      <w:r w:rsidRPr="00B32E8A">
        <w:rPr>
          <w:rFonts w:ascii="Times New Roman" w:hAnsi="Times New Roman" w:cs="Times New Roman"/>
          <w:b/>
          <w:bCs/>
          <w:sz w:val="24"/>
          <w:szCs w:val="24"/>
          <w:lang w:val="es-PE"/>
        </w:rPr>
        <w:t xml:space="preserve"> </w:t>
      </w:r>
      <w:r w:rsidR="007543CD" w:rsidRPr="00B32E8A">
        <w:rPr>
          <w:rFonts w:ascii="Times New Roman" w:hAnsi="Times New Roman" w:cs="Times New Roman"/>
          <w:b/>
          <w:bCs/>
          <w:sz w:val="24"/>
          <w:szCs w:val="24"/>
          <w:lang w:val="es-PE"/>
        </w:rPr>
        <w:t>– Vocal</w:t>
      </w:r>
    </w:p>
    <w:p w14:paraId="69BF44D1" w14:textId="77777777" w:rsidR="007543CD" w:rsidRPr="00B32E8A" w:rsidRDefault="007543CD"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Omar Alfaro Villanueva – Vocal</w:t>
      </w:r>
    </w:p>
    <w:p w14:paraId="69BFE54F" w14:textId="77777777" w:rsidR="007543CD" w:rsidRPr="00B32E8A" w:rsidRDefault="007543CD" w:rsidP="007543CD">
      <w:pPr>
        <w:spacing w:after="0" w:line="360" w:lineRule="auto"/>
        <w:jc w:val="center"/>
        <w:rPr>
          <w:rFonts w:ascii="Times New Roman" w:hAnsi="Times New Roman" w:cs="Times New Roman"/>
          <w:sz w:val="24"/>
          <w:szCs w:val="24"/>
          <w:lang w:val="es-PE"/>
        </w:rPr>
      </w:pPr>
      <w:r w:rsidRPr="00B32E8A">
        <w:rPr>
          <w:rFonts w:ascii="Times New Roman" w:hAnsi="Times New Roman" w:cs="Times New Roman"/>
          <w:b/>
          <w:bCs/>
          <w:sz w:val="24"/>
          <w:szCs w:val="24"/>
          <w:lang w:val="es-PE"/>
        </w:rPr>
        <w:t>Gonzalo Abad del Busto – Vocal</w:t>
      </w:r>
    </w:p>
    <w:p w14:paraId="412CCBAA" w14:textId="77777777" w:rsidR="00986F0C" w:rsidRPr="00B32E8A"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E71FE" w14:textId="77777777" w:rsidR="00A12C5F" w:rsidRDefault="00A12C5F" w:rsidP="00784355">
      <w:pPr>
        <w:spacing w:after="0" w:line="240" w:lineRule="auto"/>
      </w:pPr>
      <w:r>
        <w:separator/>
      </w:r>
    </w:p>
  </w:endnote>
  <w:endnote w:type="continuationSeparator" w:id="0">
    <w:p w14:paraId="5079C872" w14:textId="77777777" w:rsidR="00A12C5F" w:rsidRDefault="00A12C5F"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ECB72" w14:textId="77777777" w:rsidR="00A12C5F" w:rsidRDefault="00A12C5F" w:rsidP="00784355">
      <w:pPr>
        <w:spacing w:after="0" w:line="240" w:lineRule="auto"/>
      </w:pPr>
      <w:r>
        <w:separator/>
      </w:r>
    </w:p>
  </w:footnote>
  <w:footnote w:type="continuationSeparator" w:id="0">
    <w:p w14:paraId="3130DE4E" w14:textId="77777777" w:rsidR="00A12C5F" w:rsidRDefault="00A12C5F"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67EDA"/>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58F"/>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AE99CC9-8BD6-44FE-A89C-9ECB0F37F36C}"/>
</file>

<file path=customXml/itemProps3.xml><?xml version="1.0" encoding="utf-8"?>
<ds:datastoreItem xmlns:ds="http://schemas.openxmlformats.org/officeDocument/2006/customXml" ds:itemID="{63764FB7-7A0D-4C26-8781-CF4BA535E190}"/>
</file>

<file path=customXml/itemProps4.xml><?xml version="1.0" encoding="utf-8"?>
<ds:datastoreItem xmlns:ds="http://schemas.openxmlformats.org/officeDocument/2006/customXml" ds:itemID="{125A1C02-AFE2-4C36-93DB-5E14E9DFA00B}"/>
</file>

<file path=docProps/app.xml><?xml version="1.0" encoding="utf-8"?>
<Properties xmlns="http://schemas.openxmlformats.org/officeDocument/2006/extended-properties" xmlns:vt="http://schemas.openxmlformats.org/officeDocument/2006/docPropsVTypes">
  <Template>Normal</Template>
  <TotalTime>188</TotalTime>
  <Pages>3</Pages>
  <Words>948</Words>
  <Characters>5217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244</cp:revision>
  <cp:lastPrinted>2025-01-20T19:13:00Z</cp:lastPrinted>
  <dcterms:created xsi:type="dcterms:W3CDTF">2023-02-14T22:37:00Z</dcterms:created>
  <dcterms:modified xsi:type="dcterms:W3CDTF">2025-01-20T19:13:00Z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