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18ED0" w14:textId="1E8D46F6" w:rsidR="00C4792C" w:rsidRPr="00C4792C" w:rsidRDefault="00201C0D" w:rsidP="00C4792C">
      <w:pPr>
        <w:spacing w:after="0" w:line="240" w:lineRule="auto"/>
        <w:jc w:val="center"/>
        <w:rPr>
          <w:rFonts w:ascii="Times New Roman" w:hAnsi="Times New Roman" w:cs="Times New Roman"/>
          <w:b/>
          <w:sz w:val="24"/>
          <w:szCs w:val="24"/>
          <w:lang w:val="es-PE" w:eastAsia="ar-SA"/>
        </w:rPr>
      </w:pPr>
      <w:r w:rsidRPr="00B32E8A">
        <w:rPr>
          <w:rFonts w:ascii="Times New Roman" w:hAnsi="Times New Roman" w:cs="Times New Roman"/>
          <w:b/>
          <w:sz w:val="24"/>
          <w:szCs w:val="24"/>
          <w:lang w:val="es-PE" w:eastAsia="ar-SA"/>
        </w:rPr>
        <w:t xml:space="preserve">RESOLUCIÓN DE RECURSO IMPUGNATIVO </w:t>
      </w:r>
      <w:proofErr w:type="spellStart"/>
      <w:r w:rsidR="00707C99" w:rsidRPr="00B32E8A">
        <w:rPr>
          <w:rFonts w:ascii="Times New Roman" w:hAnsi="Times New Roman" w:cs="Times New Roman"/>
          <w:b/>
          <w:sz w:val="24"/>
          <w:szCs w:val="24"/>
          <w:lang w:val="es-PE" w:eastAsia="ar-SA"/>
        </w:rPr>
        <w:t>N°</w:t>
      </w:r>
      <w:proofErr w:type="spellEnd"/>
      <w:r w:rsidR="00707C99" w:rsidRPr="00B32E8A">
        <w:rPr>
          <w:rFonts w:ascii="Times New Roman" w:hAnsi="Times New Roman" w:cs="Times New Roman"/>
          <w:b/>
          <w:sz w:val="24"/>
          <w:szCs w:val="24"/>
          <w:lang w:val="es-PE" w:eastAsia="ar-SA"/>
        </w:rPr>
        <w:t xml:space="preserve"> </w:t>
      </w:r>
      <w:r w:rsidR="00516293" w:rsidRPr="00B32E8A">
        <w:rPr>
          <w:rFonts w:ascii="Times New Roman" w:hAnsi="Times New Roman" w:cs="Times New Roman"/>
          <w:b/>
          <w:sz w:val="24"/>
          <w:szCs w:val="24"/>
          <w:lang w:val="es-PE" w:eastAsia="ar-SA"/>
        </w:rPr>
        <w:t>0</w:t>
      </w:r>
      <w:r w:rsidR="00543015" w:rsidRPr="00B32E8A">
        <w:rPr>
          <w:rFonts w:ascii="Times New Roman" w:hAnsi="Times New Roman" w:cs="Times New Roman"/>
          <w:b/>
          <w:sz w:val="24"/>
          <w:szCs w:val="24"/>
          <w:lang w:val="es-PE" w:eastAsia="ar-SA"/>
        </w:rPr>
        <w:t>0</w:t>
      </w:r>
      <w:r w:rsidR="00160034">
        <w:rPr>
          <w:rFonts w:ascii="Times New Roman" w:hAnsi="Times New Roman" w:cs="Times New Roman"/>
          <w:b/>
          <w:sz w:val="24"/>
          <w:szCs w:val="24"/>
          <w:lang w:val="es-PE" w:eastAsia="ar-SA"/>
        </w:rPr>
        <w:t>3</w:t>
      </w:r>
      <w:r w:rsidR="00C671F5" w:rsidRPr="00B32E8A">
        <w:rPr>
          <w:rFonts w:ascii="Times New Roman" w:hAnsi="Times New Roman" w:cs="Times New Roman"/>
          <w:b/>
          <w:sz w:val="24"/>
          <w:szCs w:val="24"/>
          <w:lang w:val="es-PE" w:eastAsia="ar-SA"/>
        </w:rPr>
        <w:t>/2</w:t>
      </w:r>
      <w:r w:rsidR="00A74F96" w:rsidRPr="00B32E8A">
        <w:rPr>
          <w:rFonts w:ascii="Times New Roman" w:hAnsi="Times New Roman" w:cs="Times New Roman"/>
          <w:b/>
          <w:sz w:val="24"/>
          <w:szCs w:val="24"/>
          <w:lang w:val="es-PE" w:eastAsia="ar-SA"/>
        </w:rPr>
        <w:t>5</w:t>
      </w:r>
    </w:p>
    <w:p w14:paraId="066EC67F" w14:textId="77777777" w:rsidR="006F646A" w:rsidRDefault="006F646A" w:rsidP="006F646A">
      <w:pPr>
        <w:spacing w:line="240" w:lineRule="auto"/>
        <w:jc w:val="both"/>
        <w:rPr>
          <w:rFonts w:ascii="Times New Roman" w:eastAsia="Arial Unicode MS" w:hAnsi="Times New Roman" w:cs="Times New Roman"/>
          <w:b/>
          <w:bCs/>
          <w:sz w:val="24"/>
          <w:szCs w:val="24"/>
          <w:lang w:val="es-MX" w:eastAsia="ar-SA"/>
        </w:rPr>
      </w:pPr>
    </w:p>
    <w:p w14:paraId="1BB9E1D7" w14:textId="2E441F3A" w:rsidR="006F646A" w:rsidRPr="006F646A" w:rsidRDefault="006F646A" w:rsidP="006F646A">
      <w:pPr>
        <w:spacing w:line="240" w:lineRule="auto"/>
        <w:jc w:val="both"/>
        <w:rPr>
          <w:rFonts w:ascii="Times New Roman" w:eastAsia="Arial Unicode MS" w:hAnsi="Times New Roman" w:cs="Times New Roman"/>
          <w:b/>
          <w:bCs/>
          <w:sz w:val="24"/>
          <w:szCs w:val="24"/>
          <w:lang w:val="es-MX" w:eastAsia="ar-SA"/>
        </w:rPr>
      </w:pPr>
      <w:r w:rsidRPr="006F646A">
        <w:rPr>
          <w:rFonts w:ascii="Times New Roman" w:eastAsia="Arial Unicode MS" w:hAnsi="Times New Roman" w:cs="Times New Roman"/>
          <w:b/>
          <w:bCs/>
          <w:sz w:val="24"/>
          <w:szCs w:val="24"/>
          <w:lang w:val="es-MX" w:eastAsia="ar-SA"/>
        </w:rPr>
        <w:t>VISTOS:</w:t>
      </w:r>
    </w:p>
    <w:p w14:paraId="4519A463" w14:textId="77777777" w:rsidR="006F646A" w:rsidRPr="006F646A" w:rsidRDefault="006F646A" w:rsidP="006F646A">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El Recurso de Impugnación presentado por ………………… respecto de la Resolución Nro. 253/24 de fecha 19 de diciembre de 2024, expedida por la DEFASEG, conforme a la cual se declaró FUNDADA la reclamación interpuesta por doña ………………… respecto de la Póliza Ami Salud Red Médica ………………….</w:t>
      </w:r>
    </w:p>
    <w:p w14:paraId="1AECFD19" w14:textId="77777777" w:rsidR="006F646A" w:rsidRPr="006F646A" w:rsidRDefault="006F646A" w:rsidP="006F646A">
      <w:pPr>
        <w:spacing w:line="240" w:lineRule="auto"/>
        <w:jc w:val="both"/>
        <w:rPr>
          <w:rFonts w:ascii="Times New Roman" w:eastAsia="Arial Unicode MS" w:hAnsi="Times New Roman" w:cs="Times New Roman"/>
          <w:bCs/>
          <w:sz w:val="24"/>
          <w:szCs w:val="24"/>
          <w:lang w:val="es-MX" w:eastAsia="ar-SA"/>
        </w:rPr>
      </w:pPr>
      <w:r w:rsidRPr="006F646A">
        <w:rPr>
          <w:rFonts w:ascii="Times New Roman" w:eastAsia="Arial Unicode MS" w:hAnsi="Times New Roman" w:cs="Times New Roman"/>
          <w:bCs/>
          <w:sz w:val="24"/>
          <w:szCs w:val="24"/>
          <w:lang w:val="es-MX" w:eastAsia="ar-SA"/>
        </w:rPr>
        <w:t xml:space="preserve">Que, el indicado recurso se sustenta resumidamente en lo siguiente: a) el rechazo de cobertura se encuentra justificado pues el siniestro ocurrió durante el periodo de espera para la cobertura de enfermedades congénitas no conocidas, y, en </w:t>
      </w:r>
      <w:proofErr w:type="gramStart"/>
      <w:r w:rsidRPr="006F646A">
        <w:rPr>
          <w:rFonts w:ascii="Times New Roman" w:eastAsia="Arial Unicode MS" w:hAnsi="Times New Roman" w:cs="Times New Roman"/>
          <w:bCs/>
          <w:sz w:val="24"/>
          <w:szCs w:val="24"/>
          <w:lang w:val="es-MX" w:eastAsia="ar-SA"/>
        </w:rPr>
        <w:t>consecuencia</w:t>
      </w:r>
      <w:proofErr w:type="gramEnd"/>
      <w:r w:rsidRPr="006F646A">
        <w:rPr>
          <w:rFonts w:ascii="Times New Roman" w:eastAsia="Arial Unicode MS" w:hAnsi="Times New Roman" w:cs="Times New Roman"/>
          <w:bCs/>
          <w:sz w:val="24"/>
          <w:szCs w:val="24"/>
          <w:lang w:val="es-MX" w:eastAsia="ar-SA"/>
        </w:rPr>
        <w:t xml:space="preserve"> no se encontraban obligados a brindar la cobertura de seguro materia de análisis, debiéndose en consecuencia revocar la resolución final y declara infundado el reclamo interpuesto.</w:t>
      </w:r>
    </w:p>
    <w:p w14:paraId="422AA8DC" w14:textId="77777777" w:rsidR="006F646A" w:rsidRPr="006F646A" w:rsidRDefault="006F646A" w:rsidP="006F646A">
      <w:pPr>
        <w:spacing w:line="240" w:lineRule="auto"/>
        <w:jc w:val="both"/>
        <w:rPr>
          <w:rFonts w:ascii="Times New Roman" w:eastAsia="Arial Unicode MS" w:hAnsi="Times New Roman" w:cs="Times New Roman"/>
          <w:bCs/>
          <w:sz w:val="24"/>
          <w:szCs w:val="24"/>
          <w:lang w:val="es-PE" w:eastAsia="ar-SA"/>
        </w:rPr>
      </w:pPr>
      <w:r w:rsidRPr="006F646A">
        <w:rPr>
          <w:rFonts w:ascii="Times New Roman" w:eastAsia="Arial Unicode MS" w:hAnsi="Times New Roman" w:cs="Times New Roman"/>
          <w:bCs/>
          <w:sz w:val="24"/>
          <w:szCs w:val="24"/>
          <w:lang w:val="es-MX" w:eastAsia="ar-SA"/>
        </w:rPr>
        <w:t>Que, habiéndosele corrido traslado de la señalada impugnación, la reclamante la absuelve señalando resumidamente lo siguiente: a) en ningún momento se le informó acerca de las limitaciones referidas a enfermedades congénitas; b) no recibió la comunicación que la aseguradora exhibe porque fue a un mail que no le pertenecía; c) no acepta tener que esperar hasta julio 2025.</w:t>
      </w:r>
    </w:p>
    <w:p w14:paraId="0F2D389B" w14:textId="77777777" w:rsidR="006F646A" w:rsidRPr="006F646A" w:rsidRDefault="006F646A" w:rsidP="006F646A">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sobre la materia reclamada, podrá impugnarla, interponiendo el correspondiente Recurso de Impugnación.  </w:t>
      </w:r>
    </w:p>
    <w:p w14:paraId="60420D12" w14:textId="77777777" w:rsidR="006F646A" w:rsidRPr="006F646A" w:rsidRDefault="006F646A" w:rsidP="006F646A">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Conforme a ello, en el caso concreto, al interponer el Recurso de Impugnación la aseguradora ha ejercido formalmente su derecho a contradecir lo resuelto por esta Defensoría .</w:t>
      </w:r>
    </w:p>
    <w:p w14:paraId="4B880EAF" w14:textId="77777777" w:rsidR="006F646A" w:rsidRPr="006F646A" w:rsidRDefault="006F646A" w:rsidP="006F646A">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SEGUNDO: Atendiendo a los fundamentos de la impugnación interpuesta, se aprecia que ………………… manifiesta su discrepancia con lo resuelto, reiterando su posición, no presentando argumentos nuevos, ni suficientes, ni prueba adicional alguna que permita a este colegiado apreciar y concluir que ha incurrido en error y que, por consiguiente, corresponde revocar lo resuelto.  </w:t>
      </w:r>
    </w:p>
    <w:p w14:paraId="1CD11B49" w14:textId="459520CC" w:rsidR="006F646A" w:rsidRPr="006F646A" w:rsidRDefault="006F646A" w:rsidP="006F646A">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La Resolución Impugnada declara fundado el reclamo, por cuanto no se acreditó la oponibilidad de la limitación contractual que pretende oponerse, siendo que el cargo de entrega no se presentó un cargo de entrega válido. Aspecto sobre el cual la aseguradora omite pronunciarse.</w:t>
      </w:r>
    </w:p>
    <w:p w14:paraId="1D107CBD" w14:textId="77777777" w:rsidR="006F646A" w:rsidRPr="006F646A" w:rsidRDefault="006F646A" w:rsidP="006F646A">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Llama la atención que, tratándose de un recurso impugnativo contra una resolución donde el argumento principal por el cual se declara fundado fue que no se acreditó la entrega de la póliza en forma debida, ………………… no se pronuncie al respecto, limitándose a reiterar argumentos que ya fueron analizados por esta Defensoría. </w:t>
      </w:r>
    </w:p>
    <w:p w14:paraId="13A7DFE1" w14:textId="77777777" w:rsidR="006F646A" w:rsidRPr="006F646A" w:rsidRDefault="006F646A" w:rsidP="006F646A">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En particular, se transcribe parte pertinentes de la Resolución Impugnada:</w:t>
      </w:r>
    </w:p>
    <w:p w14:paraId="2A446CF1" w14:textId="77777777" w:rsidR="006F646A" w:rsidRPr="006F646A" w:rsidRDefault="006F646A" w:rsidP="006F646A">
      <w:pPr>
        <w:spacing w:line="240" w:lineRule="auto"/>
        <w:jc w:val="both"/>
        <w:rPr>
          <w:rFonts w:ascii="Times New Roman" w:eastAsia="Arial Unicode MS" w:hAnsi="Times New Roman" w:cs="Times New Roman"/>
          <w:bCs/>
          <w:sz w:val="24"/>
          <w:szCs w:val="24"/>
          <w:lang w:val="es-PE" w:eastAsia="ar-SA"/>
        </w:rPr>
      </w:pPr>
    </w:p>
    <w:p w14:paraId="1E1427DA" w14:textId="77777777" w:rsidR="006F646A" w:rsidRPr="006F646A" w:rsidRDefault="006F646A" w:rsidP="006F646A">
      <w:pPr>
        <w:spacing w:line="240" w:lineRule="auto"/>
        <w:ind w:left="1440"/>
        <w:jc w:val="both"/>
        <w:rPr>
          <w:rFonts w:ascii="Times New Roman" w:eastAsia="Arial Unicode MS" w:hAnsi="Times New Roman" w:cs="Times New Roman"/>
          <w:i/>
          <w:iCs/>
          <w:sz w:val="24"/>
          <w:szCs w:val="24"/>
          <w:lang w:val="es-PE" w:eastAsia="ar-SA"/>
        </w:rPr>
      </w:pPr>
      <w:r w:rsidRPr="006F646A">
        <w:rPr>
          <w:rFonts w:ascii="Times New Roman" w:eastAsia="Arial Unicode MS" w:hAnsi="Times New Roman" w:cs="Times New Roman"/>
          <w:i/>
          <w:iCs/>
          <w:sz w:val="24"/>
          <w:szCs w:val="24"/>
          <w:lang w:val="es-PE" w:eastAsia="ar-SA"/>
        </w:rPr>
        <w:lastRenderedPageBreak/>
        <w:t xml:space="preserve">“Por lo tanto, siendo la póliza clara al establecer el periodo de espera para las enfermedades congénitas, de acreditarse que la póliza sí fue enviada al correo electrónico proporcionado por la reclamante el rechazo del siniestro basado en la condición de espera prevista en la póliza, resultaría legítimo. No obstante, teniendo en cuenta que no se ha acreditado la entrega de la póliza, la limitación prevista no resulta oponible; sin embargo, se deja constancia, </w:t>
      </w:r>
      <w:proofErr w:type="gramStart"/>
      <w:r w:rsidRPr="006F646A">
        <w:rPr>
          <w:rFonts w:ascii="Times New Roman" w:eastAsia="Arial Unicode MS" w:hAnsi="Times New Roman" w:cs="Times New Roman"/>
          <w:i/>
          <w:iCs/>
          <w:sz w:val="24"/>
          <w:szCs w:val="24"/>
          <w:lang w:val="es-PE" w:eastAsia="ar-SA"/>
        </w:rPr>
        <w:t>que</w:t>
      </w:r>
      <w:proofErr w:type="gramEnd"/>
      <w:r w:rsidRPr="006F646A">
        <w:rPr>
          <w:rFonts w:ascii="Times New Roman" w:eastAsia="Arial Unicode MS" w:hAnsi="Times New Roman" w:cs="Times New Roman"/>
          <w:i/>
          <w:iCs/>
          <w:sz w:val="24"/>
          <w:szCs w:val="24"/>
          <w:lang w:val="es-PE" w:eastAsia="ar-SA"/>
        </w:rPr>
        <w:t xml:space="preserve"> de acreditarse la entrega de la póliza vía impugnación, podría variar el sentido de lo resuelto.”</w:t>
      </w:r>
    </w:p>
    <w:p w14:paraId="443C1D54" w14:textId="368DC9E6" w:rsidR="006F646A" w:rsidRPr="006F646A" w:rsidRDefault="006F646A" w:rsidP="006F646A">
      <w:pPr>
        <w:spacing w:line="240" w:lineRule="auto"/>
        <w:jc w:val="both"/>
        <w:rPr>
          <w:rFonts w:ascii="Times New Roman" w:eastAsia="Arial Unicode MS" w:hAnsi="Times New Roman" w:cs="Times New Roman"/>
          <w:sz w:val="24"/>
          <w:szCs w:val="24"/>
          <w:lang w:val="es-PE" w:eastAsia="ar-SA"/>
        </w:rPr>
      </w:pPr>
      <w:r w:rsidRPr="006F646A">
        <w:rPr>
          <w:rFonts w:ascii="Times New Roman" w:eastAsia="Arial Unicode MS" w:hAnsi="Times New Roman" w:cs="Times New Roman"/>
          <w:bCs/>
          <w:sz w:val="24"/>
          <w:szCs w:val="24"/>
          <w:lang w:val="es-PE" w:eastAsia="ar-SA"/>
        </w:rPr>
        <w:t>Siendo que no corresponde a este colegiado suplir las deficiencias probatorias de la aseguradora, y no habiéndose presentado prueba que permita revocar la resolución recurrida, este</w:t>
      </w:r>
      <w:r w:rsidRPr="006F646A">
        <w:rPr>
          <w:rFonts w:ascii="Times New Roman" w:eastAsia="Arial Unicode MS" w:hAnsi="Times New Roman" w:cs="Times New Roman"/>
          <w:sz w:val="24"/>
          <w:szCs w:val="24"/>
          <w:lang w:val="es-PE" w:eastAsia="ar-SA"/>
        </w:rPr>
        <w:t xml:space="preserve"> colegiado</w:t>
      </w:r>
    </w:p>
    <w:p w14:paraId="5040B8FD" w14:textId="5302BA35" w:rsidR="006F646A" w:rsidRPr="006F646A" w:rsidRDefault="006F646A" w:rsidP="006F646A">
      <w:pPr>
        <w:spacing w:line="240" w:lineRule="auto"/>
        <w:jc w:val="both"/>
        <w:rPr>
          <w:rFonts w:ascii="Times New Roman" w:eastAsia="Arial Unicode MS" w:hAnsi="Times New Roman" w:cs="Times New Roman"/>
          <w:b/>
          <w:bCs/>
          <w:sz w:val="24"/>
          <w:szCs w:val="24"/>
          <w:lang w:val="es-PE" w:eastAsia="ar-SA"/>
        </w:rPr>
      </w:pPr>
      <w:r w:rsidRPr="006F646A">
        <w:rPr>
          <w:rFonts w:ascii="Times New Roman" w:eastAsia="Arial Unicode MS" w:hAnsi="Times New Roman" w:cs="Times New Roman"/>
          <w:b/>
          <w:bCs/>
          <w:sz w:val="24"/>
          <w:szCs w:val="24"/>
          <w:lang w:val="es-PE" w:eastAsia="ar-SA"/>
        </w:rPr>
        <w:t>Resuelve:</w:t>
      </w:r>
    </w:p>
    <w:p w14:paraId="5E05B539" w14:textId="2AAE5800" w:rsidR="006F646A" w:rsidRPr="006F646A" w:rsidRDefault="006F646A" w:rsidP="006F646A">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Declarar INFUNDADO el recurso impugnativo interpuesto por ………………… y, por consiguiente, ratificar la Resolución Nro. 253/24, que declaró FUNDADA la reclamación.</w:t>
      </w:r>
    </w:p>
    <w:p w14:paraId="7433A34B" w14:textId="773FA9C3" w:rsidR="008B6A09" w:rsidRPr="00BB1EA9" w:rsidRDefault="0091528B" w:rsidP="00BB1EA9">
      <w:pPr>
        <w:spacing w:line="240" w:lineRule="auto"/>
        <w:jc w:val="right"/>
        <w:rPr>
          <w:rFonts w:ascii="Times New Roman" w:hAnsi="Times New Roman" w:cs="Times New Roman"/>
          <w:sz w:val="24"/>
          <w:szCs w:val="24"/>
          <w:lang w:val="es-PE"/>
        </w:rPr>
      </w:pPr>
      <w:r w:rsidRPr="00B32E8A">
        <w:rPr>
          <w:rFonts w:ascii="Times New Roman" w:eastAsia="Arial Unicode MS" w:hAnsi="Times New Roman" w:cs="Times New Roman"/>
          <w:sz w:val="24"/>
          <w:szCs w:val="24"/>
          <w:lang w:val="es-PE" w:eastAsia="ar-SA"/>
        </w:rPr>
        <w:t xml:space="preserve">Lima, </w:t>
      </w:r>
      <w:r w:rsidR="00160034">
        <w:rPr>
          <w:rFonts w:ascii="Times New Roman" w:eastAsia="Arial Unicode MS" w:hAnsi="Times New Roman" w:cs="Times New Roman"/>
          <w:sz w:val="24"/>
          <w:szCs w:val="24"/>
          <w:lang w:val="es-PE" w:eastAsia="ar-SA"/>
        </w:rPr>
        <w:t>27</w:t>
      </w:r>
      <w:r w:rsidR="00570ED6" w:rsidRPr="00B32E8A">
        <w:rPr>
          <w:rFonts w:ascii="Times New Roman" w:eastAsia="Arial Unicode MS" w:hAnsi="Times New Roman" w:cs="Times New Roman"/>
          <w:sz w:val="24"/>
          <w:szCs w:val="24"/>
          <w:lang w:val="es-PE" w:eastAsia="ar-SA"/>
        </w:rPr>
        <w:t xml:space="preserve"> </w:t>
      </w:r>
      <w:r w:rsidR="00707C99" w:rsidRPr="00B32E8A">
        <w:rPr>
          <w:rFonts w:ascii="Times New Roman" w:eastAsia="Arial Unicode MS" w:hAnsi="Times New Roman" w:cs="Times New Roman"/>
          <w:sz w:val="24"/>
          <w:szCs w:val="24"/>
          <w:lang w:val="es-PE" w:eastAsia="ar-SA"/>
        </w:rPr>
        <w:t xml:space="preserve">de </w:t>
      </w:r>
      <w:r w:rsidR="00543015" w:rsidRPr="00B32E8A">
        <w:rPr>
          <w:rFonts w:ascii="Times New Roman" w:eastAsia="Arial Unicode MS" w:hAnsi="Times New Roman" w:cs="Times New Roman"/>
          <w:sz w:val="24"/>
          <w:szCs w:val="24"/>
          <w:lang w:val="es-PE" w:eastAsia="ar-SA"/>
        </w:rPr>
        <w:t>enero</w:t>
      </w:r>
      <w:r w:rsidR="002F478E" w:rsidRPr="00B32E8A">
        <w:rPr>
          <w:rFonts w:ascii="Times New Roman" w:eastAsia="Arial Unicode MS" w:hAnsi="Times New Roman" w:cs="Times New Roman"/>
          <w:sz w:val="24"/>
          <w:szCs w:val="24"/>
          <w:lang w:val="es-PE" w:eastAsia="ar-SA"/>
        </w:rPr>
        <w:t xml:space="preserve"> </w:t>
      </w:r>
      <w:r w:rsidR="00F06498" w:rsidRPr="00B32E8A">
        <w:rPr>
          <w:rFonts w:ascii="Times New Roman" w:eastAsia="Arial Unicode MS" w:hAnsi="Times New Roman" w:cs="Times New Roman"/>
          <w:sz w:val="24"/>
          <w:szCs w:val="24"/>
          <w:lang w:val="es-PE" w:eastAsia="ar-SA"/>
        </w:rPr>
        <w:t>de 202</w:t>
      </w:r>
      <w:r w:rsidR="00543015" w:rsidRPr="00B32E8A">
        <w:rPr>
          <w:rFonts w:ascii="Times New Roman" w:eastAsia="Arial Unicode MS" w:hAnsi="Times New Roman" w:cs="Times New Roman"/>
          <w:sz w:val="24"/>
          <w:szCs w:val="24"/>
          <w:lang w:val="es-PE" w:eastAsia="ar-SA"/>
        </w:rPr>
        <w:t>4</w:t>
      </w:r>
      <w:r w:rsidR="00707C99" w:rsidRPr="00B32E8A">
        <w:rPr>
          <w:rFonts w:ascii="Times New Roman" w:eastAsia="Times New Roman" w:hAnsi="Times New Roman" w:cs="Times New Roman"/>
          <w:sz w:val="24"/>
          <w:szCs w:val="24"/>
          <w:lang w:val="es-PE" w:eastAsia="ar-SA"/>
        </w:rPr>
        <w:t xml:space="preserve"> </w:t>
      </w:r>
    </w:p>
    <w:p w14:paraId="51EDAB4B" w14:textId="77777777" w:rsidR="00B32E8A" w:rsidRPr="00B32E8A" w:rsidRDefault="00B32E8A" w:rsidP="008B6A09">
      <w:pPr>
        <w:suppressAutoHyphens/>
        <w:spacing w:after="0" w:line="240" w:lineRule="auto"/>
        <w:jc w:val="right"/>
        <w:outlineLvl w:val="0"/>
        <w:rPr>
          <w:rFonts w:ascii="Times New Roman" w:eastAsia="Arial Unicode MS" w:hAnsi="Times New Roman" w:cs="Times New Roman"/>
          <w:sz w:val="24"/>
          <w:szCs w:val="24"/>
          <w:lang w:val="es-PE" w:eastAsia="ar-SA"/>
        </w:rPr>
      </w:pPr>
    </w:p>
    <w:p w14:paraId="1B6988F6" w14:textId="77777777" w:rsidR="00A323F4" w:rsidRPr="00B32E8A" w:rsidRDefault="00A323F4" w:rsidP="00A323F4">
      <w:pPr>
        <w:spacing w:after="0" w:line="240" w:lineRule="auto"/>
        <w:jc w:val="both"/>
        <w:rPr>
          <w:rFonts w:ascii="Times New Roman" w:hAnsi="Times New Roman" w:cs="Times New Roman"/>
          <w:b/>
          <w:bCs/>
          <w:i/>
          <w:iCs/>
          <w:sz w:val="24"/>
          <w:szCs w:val="24"/>
          <w:lang w:val="es-PE"/>
        </w:rPr>
      </w:pPr>
      <w:r w:rsidRPr="00B32E8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AB80116" w14:textId="77777777" w:rsidR="00A323F4" w:rsidRPr="00B32E8A" w:rsidRDefault="00A323F4" w:rsidP="00A323F4">
      <w:pPr>
        <w:spacing w:after="0" w:line="360" w:lineRule="auto"/>
        <w:jc w:val="both"/>
        <w:rPr>
          <w:rFonts w:ascii="Times New Roman" w:hAnsi="Times New Roman" w:cs="Times New Roman"/>
          <w:b/>
          <w:bCs/>
          <w:i/>
          <w:iCs/>
          <w:sz w:val="24"/>
          <w:szCs w:val="24"/>
          <w:lang w:val="es-PE"/>
        </w:rPr>
      </w:pPr>
    </w:p>
    <w:p w14:paraId="220AA7AD" w14:textId="133296B2" w:rsidR="007543CD" w:rsidRPr="00B32E8A" w:rsidRDefault="00543015" w:rsidP="007543CD">
      <w:pPr>
        <w:spacing w:after="0" w:line="360" w:lineRule="auto"/>
        <w:jc w:val="center"/>
        <w:rPr>
          <w:rFonts w:ascii="Times New Roman" w:hAnsi="Times New Roman" w:cs="Times New Roman"/>
          <w:b/>
          <w:bCs/>
          <w:sz w:val="24"/>
          <w:szCs w:val="24"/>
          <w:lang w:val="es-PE"/>
        </w:rPr>
      </w:pPr>
      <w:r w:rsidRPr="00B32E8A">
        <w:rPr>
          <w:rFonts w:ascii="Times New Roman" w:hAnsi="Times New Roman" w:cs="Times New Roman"/>
          <w:b/>
          <w:bCs/>
          <w:sz w:val="24"/>
          <w:szCs w:val="24"/>
          <w:lang w:val="es-PE"/>
        </w:rPr>
        <w:t xml:space="preserve">María Eugenia Valdez Fernández Baca </w:t>
      </w:r>
      <w:r w:rsidR="007543CD" w:rsidRPr="00B32E8A">
        <w:rPr>
          <w:rFonts w:ascii="Times New Roman" w:hAnsi="Times New Roman" w:cs="Times New Roman"/>
          <w:b/>
          <w:bCs/>
          <w:sz w:val="24"/>
          <w:szCs w:val="24"/>
          <w:lang w:val="es-PE"/>
        </w:rPr>
        <w:t xml:space="preserve">– </w:t>
      </w:r>
      <w:proofErr w:type="gramStart"/>
      <w:r w:rsidR="007543CD" w:rsidRPr="00B32E8A">
        <w:rPr>
          <w:rFonts w:ascii="Times New Roman" w:hAnsi="Times New Roman" w:cs="Times New Roman"/>
          <w:b/>
          <w:bCs/>
          <w:sz w:val="24"/>
          <w:szCs w:val="24"/>
          <w:lang w:val="es-PE"/>
        </w:rPr>
        <w:t>Presidente</w:t>
      </w:r>
      <w:proofErr w:type="gramEnd"/>
    </w:p>
    <w:p w14:paraId="0DCF6E18" w14:textId="56F1BED3" w:rsidR="007543CD" w:rsidRPr="00B32E8A" w:rsidRDefault="00543015" w:rsidP="007543CD">
      <w:pPr>
        <w:spacing w:after="0" w:line="360" w:lineRule="auto"/>
        <w:jc w:val="center"/>
        <w:rPr>
          <w:rFonts w:ascii="Times New Roman" w:hAnsi="Times New Roman" w:cs="Times New Roman"/>
          <w:b/>
          <w:bCs/>
          <w:sz w:val="24"/>
          <w:szCs w:val="24"/>
          <w:lang w:val="es-PE"/>
        </w:rPr>
      </w:pPr>
      <w:r w:rsidRPr="00B32E8A">
        <w:rPr>
          <w:rFonts w:ascii="Times New Roman" w:hAnsi="Times New Roman" w:cs="Times New Roman"/>
          <w:b/>
          <w:bCs/>
          <w:sz w:val="24"/>
          <w:szCs w:val="24"/>
          <w:lang w:val="es-PE"/>
        </w:rPr>
        <w:t xml:space="preserve">Rolando Eyzaguirre </w:t>
      </w:r>
      <w:proofErr w:type="spellStart"/>
      <w:r w:rsidRPr="00B32E8A">
        <w:rPr>
          <w:rFonts w:ascii="Times New Roman" w:hAnsi="Times New Roman" w:cs="Times New Roman"/>
          <w:b/>
          <w:bCs/>
          <w:sz w:val="24"/>
          <w:szCs w:val="24"/>
          <w:lang w:val="es-PE"/>
        </w:rPr>
        <w:t>Maccan</w:t>
      </w:r>
      <w:proofErr w:type="spellEnd"/>
      <w:r w:rsidRPr="00B32E8A">
        <w:rPr>
          <w:rFonts w:ascii="Times New Roman" w:hAnsi="Times New Roman" w:cs="Times New Roman"/>
          <w:b/>
          <w:bCs/>
          <w:sz w:val="24"/>
          <w:szCs w:val="24"/>
          <w:lang w:val="es-PE"/>
        </w:rPr>
        <w:t xml:space="preserve"> </w:t>
      </w:r>
      <w:r w:rsidR="007543CD" w:rsidRPr="00B32E8A">
        <w:rPr>
          <w:rFonts w:ascii="Times New Roman" w:hAnsi="Times New Roman" w:cs="Times New Roman"/>
          <w:b/>
          <w:bCs/>
          <w:sz w:val="24"/>
          <w:szCs w:val="24"/>
          <w:lang w:val="es-PE"/>
        </w:rPr>
        <w:t>– Vocal</w:t>
      </w:r>
    </w:p>
    <w:p w14:paraId="69BF44D1" w14:textId="77777777" w:rsidR="007543CD" w:rsidRPr="00B32E8A" w:rsidRDefault="007543CD" w:rsidP="007543CD">
      <w:pPr>
        <w:spacing w:after="0" w:line="360" w:lineRule="auto"/>
        <w:jc w:val="center"/>
        <w:rPr>
          <w:rFonts w:ascii="Times New Roman" w:hAnsi="Times New Roman" w:cs="Times New Roman"/>
          <w:b/>
          <w:bCs/>
          <w:sz w:val="24"/>
          <w:szCs w:val="24"/>
          <w:lang w:val="es-PE"/>
        </w:rPr>
      </w:pPr>
      <w:r w:rsidRPr="00B32E8A">
        <w:rPr>
          <w:rFonts w:ascii="Times New Roman" w:hAnsi="Times New Roman" w:cs="Times New Roman"/>
          <w:b/>
          <w:bCs/>
          <w:sz w:val="24"/>
          <w:szCs w:val="24"/>
          <w:lang w:val="es-PE"/>
        </w:rPr>
        <w:t>Omar Alfaro Villanueva – Vocal</w:t>
      </w:r>
    </w:p>
    <w:p w14:paraId="69BFE54F" w14:textId="77777777" w:rsidR="007543CD" w:rsidRPr="00B32E8A" w:rsidRDefault="007543CD" w:rsidP="007543CD">
      <w:pPr>
        <w:spacing w:after="0" w:line="360" w:lineRule="auto"/>
        <w:jc w:val="center"/>
        <w:rPr>
          <w:rFonts w:ascii="Times New Roman" w:hAnsi="Times New Roman" w:cs="Times New Roman"/>
          <w:sz w:val="24"/>
          <w:szCs w:val="24"/>
          <w:lang w:val="es-PE"/>
        </w:rPr>
      </w:pPr>
      <w:r w:rsidRPr="00B32E8A">
        <w:rPr>
          <w:rFonts w:ascii="Times New Roman" w:hAnsi="Times New Roman" w:cs="Times New Roman"/>
          <w:b/>
          <w:bCs/>
          <w:sz w:val="24"/>
          <w:szCs w:val="24"/>
          <w:lang w:val="es-PE"/>
        </w:rPr>
        <w:t>Gonzalo Abad del Busto – Vocal</w:t>
      </w:r>
    </w:p>
    <w:p w14:paraId="412CCBAA" w14:textId="77777777" w:rsidR="00986F0C" w:rsidRPr="00B32E8A"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FA1290"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FA1290"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FA1290"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31AC4" w14:textId="77777777" w:rsidR="00F0089C" w:rsidRDefault="00F0089C" w:rsidP="00784355">
      <w:pPr>
        <w:spacing w:after="0" w:line="240" w:lineRule="auto"/>
      </w:pPr>
      <w:r>
        <w:separator/>
      </w:r>
    </w:p>
  </w:endnote>
  <w:endnote w:type="continuationSeparator" w:id="0">
    <w:p w14:paraId="67AA376D" w14:textId="77777777" w:rsidR="00F0089C" w:rsidRDefault="00F0089C"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AEC44" w14:textId="77777777" w:rsidR="00F0089C" w:rsidRDefault="00F0089C" w:rsidP="00784355">
      <w:pPr>
        <w:spacing w:after="0" w:line="240" w:lineRule="auto"/>
      </w:pPr>
      <w:r>
        <w:separator/>
      </w:r>
    </w:p>
  </w:footnote>
  <w:footnote w:type="continuationSeparator" w:id="0">
    <w:p w14:paraId="4D171E34" w14:textId="77777777" w:rsidR="00F0089C" w:rsidRDefault="00F0089C"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4"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9"/>
  </w:num>
  <w:num w:numId="3" w16cid:durableId="333261791">
    <w:abstractNumId w:val="17"/>
  </w:num>
  <w:num w:numId="4" w16cid:durableId="1770345525">
    <w:abstractNumId w:val="16"/>
  </w:num>
  <w:num w:numId="5" w16cid:durableId="1816144979">
    <w:abstractNumId w:val="18"/>
  </w:num>
  <w:num w:numId="6" w16cid:durableId="1304313350">
    <w:abstractNumId w:val="0"/>
  </w:num>
  <w:num w:numId="7" w16cid:durableId="16682880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1"/>
  </w:num>
  <w:num w:numId="17" w16cid:durableId="17998823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0BBE"/>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7BFD"/>
    <w:rsid w:val="0019385F"/>
    <w:rsid w:val="00196365"/>
    <w:rsid w:val="001965DE"/>
    <w:rsid w:val="001A008A"/>
    <w:rsid w:val="001A3395"/>
    <w:rsid w:val="001A43EC"/>
    <w:rsid w:val="001A44E1"/>
    <w:rsid w:val="001A5178"/>
    <w:rsid w:val="001A555F"/>
    <w:rsid w:val="001A57AC"/>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E65DD"/>
    <w:rsid w:val="004F0319"/>
    <w:rsid w:val="004F1255"/>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4447"/>
    <w:rsid w:val="007543CD"/>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E93"/>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4F96"/>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A0540"/>
    <w:rsid w:val="00DA2840"/>
    <w:rsid w:val="00DA4030"/>
    <w:rsid w:val="00DB15FD"/>
    <w:rsid w:val="00DB3DD5"/>
    <w:rsid w:val="00DB5079"/>
    <w:rsid w:val="00DB58EC"/>
    <w:rsid w:val="00DB7347"/>
    <w:rsid w:val="00DB74D5"/>
    <w:rsid w:val="00DC399B"/>
    <w:rsid w:val="00DD0F92"/>
    <w:rsid w:val="00DD5E2B"/>
    <w:rsid w:val="00DE585A"/>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D21"/>
    <w:rsid w:val="00F0089C"/>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058F"/>
    <w:rsid w:val="00F60A18"/>
    <w:rsid w:val="00F63F49"/>
    <w:rsid w:val="00F65837"/>
    <w:rsid w:val="00F713A4"/>
    <w:rsid w:val="00F72D00"/>
    <w:rsid w:val="00F7567C"/>
    <w:rsid w:val="00F76FC7"/>
    <w:rsid w:val="00F80B95"/>
    <w:rsid w:val="00F81150"/>
    <w:rsid w:val="00F833B7"/>
    <w:rsid w:val="00F83A22"/>
    <w:rsid w:val="00F84CF9"/>
    <w:rsid w:val="00F87C6C"/>
    <w:rsid w:val="00F87E38"/>
    <w:rsid w:val="00F91A73"/>
    <w:rsid w:val="00F97EA2"/>
    <w:rsid w:val="00FA1290"/>
    <w:rsid w:val="00FA155E"/>
    <w:rsid w:val="00FA2322"/>
    <w:rsid w:val="00FA31B9"/>
    <w:rsid w:val="00FB297F"/>
    <w:rsid w:val="00FB4B0C"/>
    <w:rsid w:val="00FC0D10"/>
    <w:rsid w:val="00FC1934"/>
    <w:rsid w:val="00FE38F0"/>
    <w:rsid w:val="00FE43A9"/>
    <w:rsid w:val="00FE6588"/>
    <w:rsid w:val="00FE73F3"/>
    <w:rsid w:val="00FF11AC"/>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712EBBC8-35A2-45B7-8B89-E204C9F2C545}"/>
</file>

<file path=customXml/itemProps3.xml><?xml version="1.0" encoding="utf-8"?>
<ds:datastoreItem xmlns:ds="http://schemas.openxmlformats.org/officeDocument/2006/customXml" ds:itemID="{F1F971AE-601E-4A2E-A43D-EDC795D8EB53}"/>
</file>

<file path=customXml/itemProps4.xml><?xml version="1.0" encoding="utf-8"?>
<ds:datastoreItem xmlns:ds="http://schemas.openxmlformats.org/officeDocument/2006/customXml" ds:itemID="{BD6AE656-8824-400D-B4FD-977A925BEAE3}"/>
</file>

<file path=docProps/app.xml><?xml version="1.0" encoding="utf-8"?>
<Properties xmlns="http://schemas.openxmlformats.org/officeDocument/2006/extended-properties" xmlns:vt="http://schemas.openxmlformats.org/officeDocument/2006/docPropsVTypes">
  <Template>Normal</Template>
  <TotalTime>191</TotalTime>
  <Pages>2</Pages>
  <Words>611</Words>
  <Characters>3362</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251</cp:revision>
  <cp:lastPrinted>2025-01-27T21:52:00Z</cp:lastPrinted>
  <dcterms:created xsi:type="dcterms:W3CDTF">2023-02-14T22:37:00Z</dcterms:created>
  <dcterms:modified xsi:type="dcterms:W3CDTF">2025-01-27T21:52:00Z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