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8ED0" w14:textId="39F3F566" w:rsidR="00C4792C" w:rsidRPr="007A7451" w:rsidRDefault="00201C0D" w:rsidP="00C4792C">
      <w:pPr>
        <w:spacing w:after="0" w:line="240" w:lineRule="auto"/>
        <w:jc w:val="center"/>
        <w:rPr>
          <w:rFonts w:ascii="Times New Roman" w:hAnsi="Times New Roman" w:cs="Times New Roman"/>
          <w:b/>
          <w:sz w:val="24"/>
          <w:szCs w:val="24"/>
          <w:lang w:val="es-PE" w:eastAsia="ar-SA"/>
        </w:rPr>
      </w:pPr>
      <w:r w:rsidRPr="007A7451">
        <w:rPr>
          <w:rFonts w:ascii="Times New Roman" w:hAnsi="Times New Roman" w:cs="Times New Roman"/>
          <w:b/>
          <w:sz w:val="24"/>
          <w:szCs w:val="24"/>
          <w:lang w:val="es-PE" w:eastAsia="ar-SA"/>
        </w:rPr>
        <w:t xml:space="preserve">RESOLUCIÓN DE RECURSO IMPUGNATIVO </w:t>
      </w:r>
      <w:proofErr w:type="spellStart"/>
      <w:r w:rsidR="00707C99" w:rsidRPr="007A7451">
        <w:rPr>
          <w:rFonts w:ascii="Times New Roman" w:hAnsi="Times New Roman" w:cs="Times New Roman"/>
          <w:b/>
          <w:sz w:val="24"/>
          <w:szCs w:val="24"/>
          <w:lang w:val="es-PE" w:eastAsia="ar-SA"/>
        </w:rPr>
        <w:t>N°</w:t>
      </w:r>
      <w:proofErr w:type="spellEnd"/>
      <w:r w:rsidR="00707C99" w:rsidRPr="007A7451">
        <w:rPr>
          <w:rFonts w:ascii="Times New Roman" w:hAnsi="Times New Roman" w:cs="Times New Roman"/>
          <w:b/>
          <w:sz w:val="24"/>
          <w:szCs w:val="24"/>
          <w:lang w:val="es-PE" w:eastAsia="ar-SA"/>
        </w:rPr>
        <w:t xml:space="preserve"> </w:t>
      </w:r>
      <w:r w:rsidR="00516293" w:rsidRPr="007A7451">
        <w:rPr>
          <w:rFonts w:ascii="Times New Roman" w:hAnsi="Times New Roman" w:cs="Times New Roman"/>
          <w:b/>
          <w:sz w:val="24"/>
          <w:szCs w:val="24"/>
          <w:lang w:val="es-PE" w:eastAsia="ar-SA"/>
        </w:rPr>
        <w:t>0</w:t>
      </w:r>
      <w:r w:rsidR="00543015" w:rsidRPr="007A7451">
        <w:rPr>
          <w:rFonts w:ascii="Times New Roman" w:hAnsi="Times New Roman" w:cs="Times New Roman"/>
          <w:b/>
          <w:sz w:val="24"/>
          <w:szCs w:val="24"/>
          <w:lang w:val="es-PE" w:eastAsia="ar-SA"/>
        </w:rPr>
        <w:t>0</w:t>
      </w:r>
      <w:r w:rsidR="00403B24">
        <w:rPr>
          <w:rFonts w:ascii="Times New Roman" w:hAnsi="Times New Roman" w:cs="Times New Roman"/>
          <w:b/>
          <w:sz w:val="24"/>
          <w:szCs w:val="24"/>
          <w:lang w:val="es-PE" w:eastAsia="ar-SA"/>
        </w:rPr>
        <w:t>5</w:t>
      </w:r>
      <w:r w:rsidR="00C671F5" w:rsidRPr="007A7451">
        <w:rPr>
          <w:rFonts w:ascii="Times New Roman" w:hAnsi="Times New Roman" w:cs="Times New Roman"/>
          <w:b/>
          <w:sz w:val="24"/>
          <w:szCs w:val="24"/>
          <w:lang w:val="es-PE" w:eastAsia="ar-SA"/>
        </w:rPr>
        <w:t>/2</w:t>
      </w:r>
      <w:r w:rsidR="00A74F96" w:rsidRPr="007A7451">
        <w:rPr>
          <w:rFonts w:ascii="Times New Roman" w:hAnsi="Times New Roman" w:cs="Times New Roman"/>
          <w:b/>
          <w:sz w:val="24"/>
          <w:szCs w:val="24"/>
          <w:lang w:val="es-PE" w:eastAsia="ar-SA"/>
        </w:rPr>
        <w:t>5</w:t>
      </w:r>
    </w:p>
    <w:p w14:paraId="07860480" w14:textId="77777777" w:rsidR="00AB2F11" w:rsidRPr="007A7451" w:rsidRDefault="00AB2F11" w:rsidP="00AB2F11">
      <w:pPr>
        <w:spacing w:line="240" w:lineRule="auto"/>
        <w:jc w:val="both"/>
        <w:rPr>
          <w:rFonts w:ascii="Times New Roman" w:eastAsia="Arial Unicode MS" w:hAnsi="Times New Roman" w:cs="Times New Roman"/>
          <w:b/>
          <w:bCs/>
          <w:sz w:val="24"/>
          <w:szCs w:val="24"/>
          <w:lang w:val="es-MX" w:eastAsia="ar-SA"/>
        </w:rPr>
      </w:pPr>
    </w:p>
    <w:p w14:paraId="2DCCEF34" w14:textId="77777777" w:rsidR="00C405D5" w:rsidRPr="00C405D5" w:rsidRDefault="00C405D5" w:rsidP="00C405D5">
      <w:pPr>
        <w:spacing w:line="240" w:lineRule="auto"/>
        <w:jc w:val="both"/>
        <w:rPr>
          <w:rFonts w:ascii="Times New Roman" w:eastAsia="Arial Unicode MS" w:hAnsi="Times New Roman" w:cs="Times New Roman"/>
          <w:b/>
          <w:bCs/>
          <w:sz w:val="24"/>
          <w:szCs w:val="24"/>
          <w:lang w:val="es-MX" w:eastAsia="ar-SA"/>
        </w:rPr>
      </w:pPr>
      <w:r w:rsidRPr="00C405D5">
        <w:rPr>
          <w:rFonts w:ascii="Times New Roman" w:eastAsia="Arial Unicode MS" w:hAnsi="Times New Roman" w:cs="Times New Roman"/>
          <w:b/>
          <w:bCs/>
          <w:sz w:val="24"/>
          <w:szCs w:val="24"/>
          <w:lang w:val="es-MX" w:eastAsia="ar-SA"/>
        </w:rPr>
        <w:t>VISTOS:</w:t>
      </w:r>
    </w:p>
    <w:p w14:paraId="115EA085" w14:textId="3C65E1CF" w:rsidR="00C405D5" w:rsidRPr="00C405D5" w:rsidRDefault="00C405D5" w:rsidP="00C405D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002/25 de fecha 16 de enero de 2025, expedida por la DEFASEG, conforme a la cual se declaró FUNDADA la reclamación interpuesta por doña …………………  respecto de la póliza de vehículos BBVA Banco Continental Nro. 2001 – 755223.</w:t>
      </w:r>
    </w:p>
    <w:p w14:paraId="2E0C7246" w14:textId="6DD3A464"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resumidamente en lo siguiente: a) que a través del crédito vehicular mantenido con el Banco se estipuló que el Seguro Vehicular debía encontrase en vigencia durante todo el plazo del crédito; b) que la reclamante al amortizar la deuda de su crédito vehicular cancelándolo en su totalidad el 30 de julio de 2024, determinó que al no existir un interés asegurable por parte del Banco y debido a que la reclamante no solicitó la renovación de su seguro, la póliza de seguro dejó de mantener su vigencia y se dio de baja; c) que fue por ello que se procedió a devolver el importe proporcional de la prima abonada por la reclamante considerando que la vigencia sería hasta el 5 de agosto de 2024, devolución que se hizo abonándola a una cuenta de la reclamante el 09 de agosto de 2024; d) que en tanto el siniestro ocurrió el 10 de agosto de 2024, y a dicha fecha la póliza ya no estaba vigente, han rechazado la cobertura de acuerdo a ley.</w:t>
      </w:r>
    </w:p>
    <w:p w14:paraId="6FE69C90" w14:textId="6865A77F"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sidRPr="00C405D5">
        <w:rPr>
          <w:rFonts w:ascii="Times New Roman" w:eastAsia="Arial Unicode MS" w:hAnsi="Times New Roman" w:cs="Times New Roman"/>
          <w:bCs/>
          <w:sz w:val="24"/>
          <w:szCs w:val="24"/>
          <w:lang w:val="es-MX" w:eastAsia="ar-SA"/>
        </w:rPr>
        <w:t>Que, habiéndosele corrido traslado de la señalada impugnación, la reclamante absolvió el traslado con fecha 31 de enero de 2025, reiterando los argumentos expuestos en su reclamo y en la audiencia de vista. Dicho escrito fue a su vez respondido por la aseguradora con fecha 04 de febrero de 2025, reiterando los argumentos expuestos y resaltando que la póliza se extinguió por falta de interés asegurable.</w:t>
      </w:r>
    </w:p>
    <w:p w14:paraId="18CE0652" w14:textId="7F7B22EA" w:rsidR="00C405D5" w:rsidRPr="00C405D5" w:rsidRDefault="00C405D5" w:rsidP="00C405D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3B5BEE2A" w14:textId="2F1A55F9" w:rsidR="00C405D5" w:rsidRPr="00C405D5" w:rsidRDefault="00C405D5" w:rsidP="00C405D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el Órgano Resolutivo Unipersonal de la Defensoría del Asegurado.</w:t>
      </w:r>
    </w:p>
    <w:p w14:paraId="513C4439" w14:textId="00A8BACB" w:rsidR="00C405D5" w:rsidRPr="00C405D5" w:rsidRDefault="00C405D5" w:rsidP="00C405D5">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SEGUNDO: Atendiendo a los fundamentos de la impugnación interpuesta, se aprecia que ………………… manifiesta su discrepancia con lo resuelto, reiterando su posición, no presentando argumentos nuevos, ni suficientes, ni prueba adicional alguna que permita a este colegiado apreciar y concluir que ha incurrido en error y que, por consiguiente, corresponde revocar lo resuelto.  Sin perjuicio de lo cual se destaca que en el escrito presentado el 04 de febrero último, la aseguradora cita una cláusula de extinción del contrato de seguro por falta de interés asegurable, y manifiesta que el contrato se extinguió por dicha situación.</w:t>
      </w:r>
    </w:p>
    <w:p w14:paraId="22E271E9" w14:textId="4ED9464B"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En opinión de la aseguradora, el hecho que el contrato vehicular (no el contrato de seguro)  suscrito entre la reclamante y el banco señale que aquella tenía la obligación de mantener un Seguro Vehicular durante la vigencia del plazo de crédito, significa que al haberse producido el prepago del crédito y culminado anticipadamente la vigencia del mismo, el Banco podía resolver anticipadamente el contrato de seguro contratado por el asegurado a través del Banco, toda vez que ya no existiría interés asegurable, resolución que habría surtido efecto a los cinco (5) días siguiente a la cancelación anticipada total del crédito vehicular. </w:t>
      </w:r>
    </w:p>
    <w:p w14:paraId="70063388" w14:textId="06C4F1D5"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Al respecto, este colegiado ya se ha pronunciado sobre las razones por las cuales dicha estipulación no facultaba al Banco a resolver el contrato de seguro en forma anticipada y de inmediato; motivo por el cual, el contrato de Seguro Vehicular se encontraba vigente al 10 de agosto de 2024, esto es, a los 10 días de cancelación del crédito vehicular, fecha en la cual se produce el siniestro que nos ocupa. </w:t>
      </w:r>
    </w:p>
    <w:p w14:paraId="7CD12137" w14:textId="49C6C74F"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sidRPr="00C405D5">
        <w:rPr>
          <w:rFonts w:ascii="Times New Roman" w:eastAsia="Arial Unicode MS" w:hAnsi="Times New Roman" w:cs="Times New Roman"/>
          <w:bCs/>
          <w:sz w:val="24"/>
          <w:szCs w:val="24"/>
          <w:lang w:val="es-MX" w:eastAsia="ar-SA"/>
        </w:rPr>
        <w:t xml:space="preserve">Es claro que el contrato de seguro tenía una vigencia que en su fecha de inicio coincida con la del préstamo vehicular y establecía claramente una fecha de vencimiento, pero no </w:t>
      </w:r>
      <w:proofErr w:type="gramStart"/>
      <w:r w:rsidRPr="00C405D5">
        <w:rPr>
          <w:rFonts w:ascii="Times New Roman" w:eastAsia="Arial Unicode MS" w:hAnsi="Times New Roman" w:cs="Times New Roman"/>
          <w:bCs/>
          <w:sz w:val="24"/>
          <w:szCs w:val="24"/>
          <w:lang w:val="es-MX" w:eastAsia="ar-SA"/>
        </w:rPr>
        <w:t>estipulaba  dentro</w:t>
      </w:r>
      <w:proofErr w:type="gramEnd"/>
      <w:r w:rsidRPr="00C405D5">
        <w:rPr>
          <w:rFonts w:ascii="Times New Roman" w:eastAsia="Arial Unicode MS" w:hAnsi="Times New Roman" w:cs="Times New Roman"/>
          <w:bCs/>
          <w:sz w:val="24"/>
          <w:szCs w:val="24"/>
          <w:lang w:val="es-MX" w:eastAsia="ar-SA"/>
        </w:rPr>
        <w:t xml:space="preserve"> de la póliza una causal de resolución o término anticipado por la cancelación anticipada del crédito vehicular, pretender resolverlo a los 5 días de la cancelación del préstamo, no se sustenta en una condición del contrato de seguro y por tanto el rechazo de cobertura no resulta legítimo.</w:t>
      </w:r>
    </w:p>
    <w:p w14:paraId="1A1713DC" w14:textId="366707E0"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sidRPr="00C405D5">
        <w:rPr>
          <w:rFonts w:ascii="Times New Roman" w:eastAsia="Arial Unicode MS" w:hAnsi="Times New Roman" w:cs="Times New Roman"/>
          <w:bCs/>
          <w:sz w:val="24"/>
          <w:szCs w:val="24"/>
          <w:lang w:val="es-MX" w:eastAsia="ar-SA"/>
        </w:rPr>
        <w:t xml:space="preserve">En lo que respecta a la falta de interés asegurable invocada por la aseguradora, este colegiado no comparte dicha posición, toda vez que la póliza de seguro fue contratada por la reclamante, quien tiene un interés asegurable respecto del bien asegurado. </w:t>
      </w:r>
    </w:p>
    <w:p w14:paraId="775F0083" w14:textId="36AA6C4A"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sidRPr="00C405D5">
        <w:rPr>
          <w:rFonts w:ascii="Times New Roman" w:eastAsia="Arial Unicode MS" w:hAnsi="Times New Roman" w:cs="Times New Roman"/>
          <w:bCs/>
          <w:sz w:val="24"/>
          <w:szCs w:val="24"/>
          <w:lang w:val="es-MX" w:eastAsia="ar-SA"/>
        </w:rPr>
        <w:t>En este caso estamos ante una póliza grupal suscrita entre la aseguradora y el Banco, pero es la reclamante la que se adhiere a dicho seguro, solicitando su contratación, y quien soporta la carga económica respectiva, pagando la prima de seguro (en forma independiente al pago del crédito vehicular). El contrato de seguro no solo asegura el bien que motiva el otorgamiento del crédito, sino que principalmente asegura un bien que se encuentra dentro del patrimonio de la reclamante, y que de sufrir algún siniestro, afecta su patrimonio; eventualmente afecta al banco ante una pérdida total, si es que el asegurado dejara de pagar el crédito vehicular, pero no en el monto total de la suma asegurada, sino solo en el monto del saldo deudor que el asegurado tuviera a la fecha del siniestro;  por ende, es claro para este colegiado que la reclamante sí tenía un interés asegurable válido al contratar la póliza vehicular y a mantenerlo vigente luego de la cancelación del préstamo, no requiriendo pedir su renovación, luego de la amortización del crédito, pues del texto mismo de la póliza se indicaba una fecha de término posterior.  Ello la motivó - a pocos días antes de la amortización de su crédito vehicular- a pagar la prima de seguro correspondiente a la vigencia posterior a la cancelación del crédito vehicular.</w:t>
      </w:r>
    </w:p>
    <w:p w14:paraId="29FE975F" w14:textId="64DDAA3E"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sidRPr="00C405D5">
        <w:rPr>
          <w:rFonts w:ascii="Times New Roman" w:eastAsia="Arial Unicode MS" w:hAnsi="Times New Roman" w:cs="Times New Roman"/>
          <w:bCs/>
          <w:sz w:val="24"/>
          <w:szCs w:val="24"/>
          <w:lang w:val="es-MX" w:eastAsia="ar-SA"/>
        </w:rPr>
        <w:t xml:space="preserve">Si bien el banco, o el </w:t>
      </w:r>
      <w:proofErr w:type="gramStart"/>
      <w:r w:rsidRPr="00C405D5">
        <w:rPr>
          <w:rFonts w:ascii="Times New Roman" w:eastAsia="Arial Unicode MS" w:hAnsi="Times New Roman" w:cs="Times New Roman"/>
          <w:bCs/>
          <w:sz w:val="24"/>
          <w:szCs w:val="24"/>
          <w:lang w:val="es-MX" w:eastAsia="ar-SA"/>
        </w:rPr>
        <w:t>reclamante,  podía</w:t>
      </w:r>
      <w:proofErr w:type="gramEnd"/>
      <w:r w:rsidRPr="00C405D5">
        <w:rPr>
          <w:rFonts w:ascii="Times New Roman" w:eastAsia="Arial Unicode MS" w:hAnsi="Times New Roman" w:cs="Times New Roman"/>
          <w:bCs/>
          <w:sz w:val="24"/>
          <w:szCs w:val="24"/>
          <w:lang w:val="es-MX" w:eastAsia="ar-SA"/>
        </w:rPr>
        <w:t xml:space="preserve"> resolver anticipadamente el contrato y ello estaba previsto en la póliza, dicha resolución no era inmediata sino que surtía efecto dentro de los 30 días siguientes a la comunicación respectiva, y no a los 5 días siguientes a la cancelación del crédito vehicular.</w:t>
      </w:r>
    </w:p>
    <w:p w14:paraId="2701E597" w14:textId="77777777"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Asimismo, este colegiado reitera lo expuesto en la Resolución Impugnada. En particular, copiamos a continuación algunos de los fundamentos de la misma:</w:t>
      </w:r>
    </w:p>
    <w:p w14:paraId="0ED18FAD" w14:textId="77777777" w:rsidR="00C405D5" w:rsidRPr="00C405D5" w:rsidRDefault="00C405D5" w:rsidP="00C405D5">
      <w:pPr>
        <w:spacing w:line="240" w:lineRule="auto"/>
        <w:jc w:val="both"/>
        <w:rPr>
          <w:rFonts w:ascii="Times New Roman" w:eastAsia="Arial Unicode MS" w:hAnsi="Times New Roman" w:cs="Times New Roman"/>
          <w:bCs/>
          <w:sz w:val="24"/>
          <w:szCs w:val="24"/>
          <w:lang w:val="es-MX" w:eastAsia="ar-SA"/>
        </w:rPr>
      </w:pPr>
    </w:p>
    <w:p w14:paraId="3D261286" w14:textId="655F677A" w:rsidR="00C405D5" w:rsidRPr="00C405D5" w:rsidRDefault="00C405D5" w:rsidP="00AA024E">
      <w:pPr>
        <w:spacing w:line="240" w:lineRule="auto"/>
        <w:ind w:left="720"/>
        <w:jc w:val="both"/>
        <w:rPr>
          <w:rFonts w:ascii="Times New Roman" w:eastAsia="Arial Unicode MS" w:hAnsi="Times New Roman" w:cs="Times New Roman"/>
          <w:bCs/>
          <w:i/>
          <w:iCs/>
          <w:sz w:val="24"/>
          <w:szCs w:val="24"/>
          <w:lang w:val="es-PE" w:eastAsia="ar-SA"/>
        </w:rPr>
      </w:pPr>
      <w:r w:rsidRPr="00C405D5">
        <w:rPr>
          <w:rFonts w:ascii="Times New Roman" w:eastAsia="Arial Unicode MS" w:hAnsi="Times New Roman" w:cs="Times New Roman"/>
          <w:bCs/>
          <w:i/>
          <w:iCs/>
          <w:sz w:val="24"/>
          <w:szCs w:val="24"/>
          <w:lang w:val="es-PE" w:eastAsia="ar-SA"/>
        </w:rPr>
        <w:lastRenderedPageBreak/>
        <w:t>“Este colegiado ha revisado la póliza y aprecia que esta contempla causales de resolución por incumplimiento de pago de prima, entre otras circunstancias, pero no ha encontrado una cláusula que permitiera la resolución del contrato por cancelación del crédito vehicular por parte del Banco contratante de la póliza grupal.</w:t>
      </w:r>
    </w:p>
    <w:p w14:paraId="65DB7503" w14:textId="0A388824" w:rsidR="00C405D5" w:rsidRPr="00C405D5" w:rsidRDefault="00C405D5" w:rsidP="00D9001E">
      <w:pPr>
        <w:spacing w:line="240" w:lineRule="auto"/>
        <w:ind w:left="720"/>
        <w:jc w:val="both"/>
        <w:rPr>
          <w:rFonts w:ascii="Times New Roman" w:eastAsia="Arial Unicode MS" w:hAnsi="Times New Roman" w:cs="Times New Roman"/>
          <w:bCs/>
          <w:i/>
          <w:iCs/>
          <w:sz w:val="24"/>
          <w:szCs w:val="24"/>
          <w:lang w:val="es-PE" w:eastAsia="ar-SA"/>
        </w:rPr>
      </w:pPr>
      <w:r>
        <w:rPr>
          <w:rFonts w:ascii="Times New Roman" w:hAnsi="Times New Roman"/>
          <w:sz w:val="24"/>
        </w:rPr>
        <w:t xml:space="preserve">Es cierto que bajo la relación crediticia mantenida entre la asegurada y el Banco, la asegurada tenía la obligación de mantener vigente el Seguro Vehicular, durante toda la vigencia del contrato, pero ello no significaba ni determinaba, que si la asegurada prepagaba el crédito en su totalidad, el Banco estaba autorizado a solicitar con efecto inmediato (o a los 5 días siguientes) la cancelación del Seguro Vehicular al cual la reclamante se había adherido, y respecto del cual acaba de pagar (8 días antes de prepagar el crédito) la prima de seguro, a fin de asegurarse la vigencia del mismo por cumplimiento del pago, para el siguiente mes de cobertura.</w:t>
      </w:r>
    </w:p>
    <w:p w14:paraId="34F992BC" w14:textId="19AD5BA0" w:rsidR="00C405D5" w:rsidRPr="00C405D5" w:rsidRDefault="00C405D5" w:rsidP="00D9001E">
      <w:pPr>
        <w:spacing w:line="240" w:lineRule="auto"/>
        <w:ind w:left="720"/>
        <w:jc w:val="both"/>
        <w:rPr>
          <w:rFonts w:ascii="Times New Roman" w:eastAsia="Arial Unicode MS" w:hAnsi="Times New Roman" w:cs="Times New Roman"/>
          <w:bCs/>
          <w:i/>
          <w:iCs/>
          <w:sz w:val="24"/>
          <w:szCs w:val="24"/>
          <w:lang w:val="es-PE" w:eastAsia="ar-SA"/>
        </w:rPr>
      </w:pPr>
      <w:r w:rsidRPr="00C405D5">
        <w:rPr>
          <w:rFonts w:ascii="Times New Roman" w:eastAsia="Arial Unicode MS" w:hAnsi="Times New Roman" w:cs="Times New Roman"/>
          <w:bCs/>
          <w:i/>
          <w:iCs/>
          <w:sz w:val="24"/>
          <w:szCs w:val="24"/>
          <w:lang w:val="es-PE" w:eastAsia="ar-SA"/>
        </w:rPr>
        <w:t xml:space="preserve">Es importante destacar, que el contrato de crédito </w:t>
      </w:r>
      <w:proofErr w:type="gramStart"/>
      <w:r w:rsidRPr="00C405D5">
        <w:rPr>
          <w:rFonts w:ascii="Times New Roman" w:eastAsia="Arial Unicode MS" w:hAnsi="Times New Roman" w:cs="Times New Roman"/>
          <w:bCs/>
          <w:i/>
          <w:iCs/>
          <w:sz w:val="24"/>
          <w:szCs w:val="24"/>
          <w:lang w:val="es-PE" w:eastAsia="ar-SA"/>
        </w:rPr>
        <w:t>vehicular,</w:t>
      </w:r>
      <w:proofErr w:type="gramEnd"/>
      <w:r w:rsidRPr="00C405D5">
        <w:rPr>
          <w:rFonts w:ascii="Times New Roman" w:eastAsia="Arial Unicode MS" w:hAnsi="Times New Roman" w:cs="Times New Roman"/>
          <w:bCs/>
          <w:i/>
          <w:iCs/>
          <w:sz w:val="24"/>
          <w:szCs w:val="24"/>
          <w:lang w:val="es-PE" w:eastAsia="ar-SA"/>
        </w:rPr>
        <w:t xml:space="preserve"> rige la relación de la deudora y el Banco, y si bien puede contener disposiciones vinculadas al seguro, e informar sobre aspectos relevantes al mismo, las condiciones contractuales que se pretenda oponer bajo el contrato de seguro, deben figurar en el respectivo contrato de seguro. </w:t>
      </w:r>
    </w:p>
    <w:p w14:paraId="533C872F" w14:textId="5EC49D01" w:rsidR="00C405D5" w:rsidRPr="00C405D5" w:rsidRDefault="00C405D5" w:rsidP="00D9001E">
      <w:pPr>
        <w:spacing w:line="240" w:lineRule="auto"/>
        <w:ind w:left="720"/>
        <w:jc w:val="both"/>
        <w:rPr>
          <w:rFonts w:ascii="Times New Roman" w:eastAsia="Arial Unicode MS" w:hAnsi="Times New Roman" w:cs="Times New Roman"/>
          <w:bCs/>
          <w:i/>
          <w:iCs/>
          <w:sz w:val="24"/>
          <w:szCs w:val="24"/>
          <w:lang w:val="es-PE" w:eastAsia="ar-SA"/>
        </w:rPr>
      </w:pPr>
      <w:r w:rsidRPr="00C405D5">
        <w:rPr>
          <w:rFonts w:ascii="Times New Roman" w:eastAsia="Arial Unicode MS" w:hAnsi="Times New Roman" w:cs="Times New Roman"/>
          <w:bCs/>
          <w:i/>
          <w:iCs/>
          <w:sz w:val="24"/>
          <w:szCs w:val="24"/>
          <w:lang w:val="es-PE" w:eastAsia="ar-SA"/>
        </w:rPr>
        <w:t>Lo que este colegiado aprecia es que se ha presentado una póliza en la que el Banco figura como contratante, y la reclamante como asegurada, toda vez que estamos ante una póliza grupal, a la cual se adhiere la reclamante, que contiene disposiciones sobre resolución del contrato por falta de pago y otras, pero que no contenía una cláusula de resolución por cancelación anticipada de un crédito vehicular determinado.</w:t>
      </w:r>
    </w:p>
    <w:p w14:paraId="29AEE775" w14:textId="02E3F776" w:rsidR="00C405D5" w:rsidRPr="00C405D5" w:rsidRDefault="00C405D5" w:rsidP="00D9001E">
      <w:pPr>
        <w:spacing w:line="240" w:lineRule="auto"/>
        <w:ind w:left="720"/>
        <w:jc w:val="both"/>
        <w:rPr>
          <w:rFonts w:ascii="Times New Roman" w:eastAsia="Arial Unicode MS" w:hAnsi="Times New Roman" w:cs="Times New Roman"/>
          <w:bCs/>
          <w:i/>
          <w:iCs/>
          <w:sz w:val="24"/>
          <w:szCs w:val="24"/>
          <w:lang w:val="es-PE" w:eastAsia="ar-SA"/>
        </w:rPr>
      </w:pPr>
      <w:r w:rsidRPr="00C405D5">
        <w:rPr>
          <w:rFonts w:ascii="Times New Roman" w:eastAsia="Arial Unicode MS" w:hAnsi="Times New Roman" w:cs="Times New Roman"/>
          <w:bCs/>
          <w:i/>
          <w:iCs/>
          <w:sz w:val="24"/>
          <w:szCs w:val="24"/>
          <w:lang w:val="es-PE" w:eastAsia="ar-SA"/>
        </w:rPr>
        <w:t>Sí contenía, sin embargo, la posibilidad por parte del contratante -en este caso el Banco, o el propio asegurado (quien a través de su adhesión al seguro grupal se convertía también en contratante del seguro)- de resolver el contrato en cualquier momento, en forma unilateral y sin expresión de causa, pero con una comunicación de 30 días, fecha en la cual la resolución surtiría efecto.”</w:t>
      </w:r>
    </w:p>
    <w:p w14:paraId="26CB317A" w14:textId="6178B6D2" w:rsidR="00C405D5" w:rsidRPr="00C405D5" w:rsidRDefault="00C405D5" w:rsidP="00C405D5">
      <w:pPr>
        <w:spacing w:line="240" w:lineRule="auto"/>
        <w:jc w:val="both"/>
        <w:rPr>
          <w:rFonts w:ascii="Times New Roman" w:eastAsia="Arial Unicode MS" w:hAnsi="Times New Roman" w:cs="Times New Roman"/>
          <w:sz w:val="24"/>
          <w:szCs w:val="24"/>
          <w:lang w:val="es-PE" w:eastAsia="ar-SA"/>
        </w:rPr>
      </w:pPr>
      <w:r w:rsidRPr="00C405D5">
        <w:rPr>
          <w:rFonts w:ascii="Times New Roman" w:eastAsia="Arial Unicode MS" w:hAnsi="Times New Roman" w:cs="Times New Roman"/>
          <w:sz w:val="24"/>
          <w:szCs w:val="24"/>
          <w:lang w:val="es-PE" w:eastAsia="ar-SA"/>
        </w:rPr>
        <w:t>En virtud de lo expuesto, este colegiado aprecia que no existe mérito para revocar la resolución emitida; por lo tanto,</w:t>
      </w:r>
    </w:p>
    <w:p w14:paraId="1978A859" w14:textId="188BF883" w:rsidR="00C405D5" w:rsidRPr="00C405D5" w:rsidRDefault="00C405D5" w:rsidP="00C405D5">
      <w:pPr>
        <w:spacing w:line="240" w:lineRule="auto"/>
        <w:jc w:val="both"/>
        <w:rPr>
          <w:rFonts w:ascii="Times New Roman" w:eastAsia="Arial Unicode MS" w:hAnsi="Times New Roman" w:cs="Times New Roman"/>
          <w:b/>
          <w:bCs/>
          <w:sz w:val="24"/>
          <w:szCs w:val="24"/>
          <w:lang w:val="es-PE" w:eastAsia="ar-SA"/>
        </w:rPr>
      </w:pPr>
      <w:r w:rsidRPr="00C405D5">
        <w:rPr>
          <w:rFonts w:ascii="Times New Roman" w:eastAsia="Arial Unicode MS" w:hAnsi="Times New Roman" w:cs="Times New Roman"/>
          <w:b/>
          <w:bCs/>
          <w:sz w:val="24"/>
          <w:szCs w:val="24"/>
          <w:lang w:val="es-PE" w:eastAsia="ar-SA"/>
        </w:rPr>
        <w:t>Resuelve:</w:t>
      </w:r>
    </w:p>
    <w:p w14:paraId="44DF2716" w14:textId="77777777" w:rsidR="00C405D5" w:rsidRPr="00C405D5" w:rsidRDefault="00C405D5" w:rsidP="00C405D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por ………………… y, por consiguiente, ratificar la Resolución Nro.  002/25,  que declaró FUNDADA la reclamación.</w:t>
      </w:r>
    </w:p>
    <w:p w14:paraId="51EDAB4B" w14:textId="14F6BC06" w:rsidR="00B32E8A" w:rsidRPr="007F2000" w:rsidRDefault="0091528B" w:rsidP="007F2000">
      <w:pPr>
        <w:spacing w:line="240" w:lineRule="auto"/>
        <w:jc w:val="right"/>
        <w:rPr>
          <w:rFonts w:ascii="Times New Roman" w:hAnsi="Times New Roman" w:cs="Times New Roman"/>
          <w:sz w:val="24"/>
          <w:szCs w:val="24"/>
          <w:lang w:val="es-PE"/>
        </w:rPr>
      </w:pPr>
      <w:r w:rsidRPr="007A7451">
        <w:rPr>
          <w:rFonts w:ascii="Times New Roman" w:eastAsia="Arial Unicode MS" w:hAnsi="Times New Roman" w:cs="Times New Roman"/>
          <w:sz w:val="24"/>
          <w:szCs w:val="24"/>
          <w:lang w:val="es-PE" w:eastAsia="ar-SA"/>
        </w:rPr>
        <w:t>Lima,</w:t>
      </w:r>
      <w:r w:rsidR="00774D05" w:rsidRPr="007A7451">
        <w:rPr>
          <w:rFonts w:ascii="Times New Roman" w:eastAsia="Arial Unicode MS" w:hAnsi="Times New Roman" w:cs="Times New Roman"/>
          <w:sz w:val="24"/>
          <w:szCs w:val="24"/>
          <w:lang w:val="es-PE" w:eastAsia="ar-SA"/>
        </w:rPr>
        <w:t xml:space="preserve"> </w:t>
      </w:r>
      <w:r w:rsidR="00403B24">
        <w:rPr>
          <w:rFonts w:ascii="Times New Roman" w:eastAsia="Arial Unicode MS" w:hAnsi="Times New Roman" w:cs="Times New Roman"/>
          <w:sz w:val="24"/>
          <w:szCs w:val="24"/>
          <w:lang w:val="es-PE" w:eastAsia="ar-SA"/>
        </w:rPr>
        <w:t>11</w:t>
      </w:r>
      <w:r w:rsidR="00570ED6" w:rsidRPr="007A7451">
        <w:rPr>
          <w:rFonts w:ascii="Times New Roman" w:eastAsia="Arial Unicode MS" w:hAnsi="Times New Roman" w:cs="Times New Roman"/>
          <w:sz w:val="24"/>
          <w:szCs w:val="24"/>
          <w:lang w:val="es-PE" w:eastAsia="ar-SA"/>
        </w:rPr>
        <w:t xml:space="preserve"> </w:t>
      </w:r>
      <w:r w:rsidR="00707C99" w:rsidRPr="007A7451">
        <w:rPr>
          <w:rFonts w:ascii="Times New Roman" w:eastAsia="Arial Unicode MS" w:hAnsi="Times New Roman" w:cs="Times New Roman"/>
          <w:sz w:val="24"/>
          <w:szCs w:val="24"/>
          <w:lang w:val="es-PE" w:eastAsia="ar-SA"/>
        </w:rPr>
        <w:t xml:space="preserve">de </w:t>
      </w:r>
      <w:r w:rsidR="00774D05" w:rsidRPr="007A7451">
        <w:rPr>
          <w:rFonts w:ascii="Times New Roman" w:eastAsia="Arial Unicode MS" w:hAnsi="Times New Roman" w:cs="Times New Roman"/>
          <w:sz w:val="24"/>
          <w:szCs w:val="24"/>
          <w:lang w:val="es-PE" w:eastAsia="ar-SA"/>
        </w:rPr>
        <w:t>febrero</w:t>
      </w:r>
      <w:r w:rsidR="002F478E" w:rsidRPr="007A7451">
        <w:rPr>
          <w:rFonts w:ascii="Times New Roman" w:eastAsia="Arial Unicode MS" w:hAnsi="Times New Roman" w:cs="Times New Roman"/>
          <w:sz w:val="24"/>
          <w:szCs w:val="24"/>
          <w:lang w:val="es-PE" w:eastAsia="ar-SA"/>
        </w:rPr>
        <w:t xml:space="preserve"> </w:t>
      </w:r>
      <w:r w:rsidR="00F06498" w:rsidRPr="007A7451">
        <w:rPr>
          <w:rFonts w:ascii="Times New Roman" w:eastAsia="Arial Unicode MS" w:hAnsi="Times New Roman" w:cs="Times New Roman"/>
          <w:sz w:val="24"/>
          <w:szCs w:val="24"/>
          <w:lang w:val="es-PE" w:eastAsia="ar-SA"/>
        </w:rPr>
        <w:t>de 202</w:t>
      </w:r>
      <w:r w:rsidR="00543015" w:rsidRPr="007A7451">
        <w:rPr>
          <w:rFonts w:ascii="Times New Roman" w:eastAsia="Arial Unicode MS" w:hAnsi="Times New Roman" w:cs="Times New Roman"/>
          <w:sz w:val="24"/>
          <w:szCs w:val="24"/>
          <w:lang w:val="es-PE" w:eastAsia="ar-SA"/>
        </w:rPr>
        <w:t>4</w:t>
      </w:r>
      <w:r w:rsidR="00707C99" w:rsidRPr="007A7451">
        <w:rPr>
          <w:rFonts w:ascii="Times New Roman" w:eastAsia="Times New Roman" w:hAnsi="Times New Roman" w:cs="Times New Roman"/>
          <w:sz w:val="24"/>
          <w:szCs w:val="24"/>
          <w:lang w:val="es-PE" w:eastAsia="ar-SA"/>
        </w:rPr>
        <w:t xml:space="preserve"> </w:t>
      </w:r>
    </w:p>
    <w:p w14:paraId="1B6988F6" w14:textId="77777777" w:rsidR="00A323F4" w:rsidRPr="007A7451" w:rsidRDefault="00A323F4" w:rsidP="00A323F4">
      <w:pPr>
        <w:spacing w:after="0" w:line="240" w:lineRule="auto"/>
        <w:jc w:val="both"/>
        <w:rPr>
          <w:rFonts w:ascii="Times New Roman" w:hAnsi="Times New Roman" w:cs="Times New Roman"/>
          <w:b/>
          <w:bCs/>
          <w:i/>
          <w:iCs/>
          <w:sz w:val="24"/>
          <w:szCs w:val="24"/>
          <w:lang w:val="es-PE"/>
        </w:rPr>
      </w:pPr>
      <w:r w:rsidRPr="007A745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7A745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María Eugenia Valdez Fernández Baca </w:t>
      </w:r>
      <w:r w:rsidR="007543CD" w:rsidRPr="007A7451">
        <w:rPr>
          <w:rFonts w:ascii="Times New Roman" w:hAnsi="Times New Roman" w:cs="Times New Roman"/>
          <w:b/>
          <w:bCs/>
          <w:sz w:val="24"/>
          <w:szCs w:val="24"/>
          <w:lang w:val="es-PE"/>
        </w:rPr>
        <w:t xml:space="preserve">– </w:t>
      </w:r>
      <w:proofErr w:type="gramStart"/>
      <w:r w:rsidR="007543CD" w:rsidRPr="007A7451">
        <w:rPr>
          <w:rFonts w:ascii="Times New Roman" w:hAnsi="Times New Roman" w:cs="Times New Roman"/>
          <w:b/>
          <w:bCs/>
          <w:sz w:val="24"/>
          <w:szCs w:val="24"/>
          <w:lang w:val="es-PE"/>
        </w:rPr>
        <w:t>Presidente</w:t>
      </w:r>
      <w:proofErr w:type="gramEnd"/>
    </w:p>
    <w:p w14:paraId="0DCF6E18" w14:textId="56F1BED3"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Rolando Eyzaguirre </w:t>
      </w:r>
      <w:proofErr w:type="spellStart"/>
      <w:r w:rsidRPr="007A7451">
        <w:rPr>
          <w:rFonts w:ascii="Times New Roman" w:hAnsi="Times New Roman" w:cs="Times New Roman"/>
          <w:b/>
          <w:bCs/>
          <w:sz w:val="24"/>
          <w:szCs w:val="24"/>
          <w:lang w:val="es-PE"/>
        </w:rPr>
        <w:t>Maccan</w:t>
      </w:r>
      <w:proofErr w:type="spellEnd"/>
      <w:r w:rsidRPr="007A7451">
        <w:rPr>
          <w:rFonts w:ascii="Times New Roman" w:hAnsi="Times New Roman" w:cs="Times New Roman"/>
          <w:b/>
          <w:bCs/>
          <w:sz w:val="24"/>
          <w:szCs w:val="24"/>
          <w:lang w:val="es-PE"/>
        </w:rPr>
        <w:t xml:space="preserve"> </w:t>
      </w:r>
      <w:r w:rsidR="007543CD" w:rsidRPr="007A7451">
        <w:rPr>
          <w:rFonts w:ascii="Times New Roman" w:hAnsi="Times New Roman" w:cs="Times New Roman"/>
          <w:b/>
          <w:bCs/>
          <w:sz w:val="24"/>
          <w:szCs w:val="24"/>
          <w:lang w:val="es-PE"/>
        </w:rPr>
        <w:t>– Vocal</w:t>
      </w:r>
    </w:p>
    <w:p w14:paraId="69BF44D1" w14:textId="77777777" w:rsidR="007543CD" w:rsidRPr="007A7451" w:rsidRDefault="007543CD"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lastRenderedPageBreak/>
        <w:t>Omar Alfaro Villanueva – Vocal</w:t>
      </w:r>
    </w:p>
    <w:p w14:paraId="69BFE54F" w14:textId="77777777" w:rsidR="007543CD" w:rsidRPr="007A7451" w:rsidRDefault="007543CD" w:rsidP="007543CD">
      <w:pPr>
        <w:spacing w:after="0" w:line="360" w:lineRule="auto"/>
        <w:jc w:val="center"/>
        <w:rPr>
          <w:rFonts w:ascii="Times New Roman" w:hAnsi="Times New Roman" w:cs="Times New Roman"/>
          <w:sz w:val="24"/>
          <w:szCs w:val="24"/>
          <w:lang w:val="es-PE"/>
        </w:rPr>
      </w:pPr>
      <w:r w:rsidRPr="007A7451">
        <w:rPr>
          <w:rFonts w:ascii="Times New Roman" w:hAnsi="Times New Roman" w:cs="Times New Roman"/>
          <w:b/>
          <w:bCs/>
          <w:sz w:val="24"/>
          <w:szCs w:val="24"/>
          <w:lang w:val="es-PE"/>
        </w:rPr>
        <w:t>Gonzalo Abad del Busto – Vocal</w:t>
      </w:r>
    </w:p>
    <w:p w14:paraId="412CCBAA" w14:textId="77777777" w:rsidR="00986F0C" w:rsidRPr="007A745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6C3B1" w14:textId="77777777" w:rsidR="00EF1116" w:rsidRDefault="00EF1116" w:rsidP="00784355">
      <w:pPr>
        <w:spacing w:after="0" w:line="240" w:lineRule="auto"/>
      </w:pPr>
      <w:r>
        <w:separator/>
      </w:r>
    </w:p>
  </w:endnote>
  <w:endnote w:type="continuationSeparator" w:id="0">
    <w:p w14:paraId="61B38DF1" w14:textId="77777777" w:rsidR="00EF1116" w:rsidRDefault="00EF111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0BE2" w14:textId="77777777" w:rsidR="00EF1116" w:rsidRDefault="00EF1116" w:rsidP="00784355">
      <w:pPr>
        <w:spacing w:after="0" w:line="240" w:lineRule="auto"/>
      </w:pPr>
      <w:r>
        <w:separator/>
      </w:r>
    </w:p>
  </w:footnote>
  <w:footnote w:type="continuationSeparator" w:id="0">
    <w:p w14:paraId="333EC4B0" w14:textId="77777777" w:rsidR="00EF1116" w:rsidRDefault="00EF111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F2000"/>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001E"/>
    <w:rsid w:val="00DA0540"/>
    <w:rsid w:val="00DA2840"/>
    <w:rsid w:val="00DA4030"/>
    <w:rsid w:val="00DB15FD"/>
    <w:rsid w:val="00DB3DD5"/>
    <w:rsid w:val="00DB5079"/>
    <w:rsid w:val="00DB58EC"/>
    <w:rsid w:val="00DB7347"/>
    <w:rsid w:val="00DB74D5"/>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7C636A8-3A8D-4E8C-B8A4-8EF4C63E1ECD}"/>
</file>

<file path=customXml/itemProps3.xml><?xml version="1.0" encoding="utf-8"?>
<ds:datastoreItem xmlns:ds="http://schemas.openxmlformats.org/officeDocument/2006/customXml" ds:itemID="{2B181992-638E-4C3A-B86B-16082CD664C6}"/>
</file>

<file path=customXml/itemProps4.xml><?xml version="1.0" encoding="utf-8"?>
<ds:datastoreItem xmlns:ds="http://schemas.openxmlformats.org/officeDocument/2006/customXml" ds:itemID="{12DDC524-26FB-462E-A688-74F3E223D4FE}"/>
</file>

<file path=docProps/app.xml><?xml version="1.0" encoding="utf-8"?>
<Properties xmlns="http://schemas.openxmlformats.org/officeDocument/2006/extended-properties" xmlns:vt="http://schemas.openxmlformats.org/officeDocument/2006/docPropsVTypes">
  <Template>Normal</Template>
  <TotalTime>207</TotalTime>
  <Pages>4</Pages>
  <Words>1423</Words>
  <Characters>7828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266</cp:revision>
  <cp:lastPrinted>2025-02-13T14:53:00Z</cp:lastPrinted>
  <dcterms:created xsi:type="dcterms:W3CDTF">2023-02-14T22:37:00Z</dcterms:created>
  <dcterms:modified xsi:type="dcterms:W3CDTF">2025-02-13T14:53:00Z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