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18ED0" w14:textId="74EA51F4" w:rsidR="00C4792C" w:rsidRPr="007A7451" w:rsidRDefault="00201C0D" w:rsidP="00C4792C">
      <w:pPr>
        <w:spacing w:after="0" w:line="240" w:lineRule="auto"/>
        <w:jc w:val="center"/>
        <w:rPr>
          <w:rFonts w:ascii="Times New Roman" w:hAnsi="Times New Roman" w:cs="Times New Roman"/>
          <w:b/>
          <w:sz w:val="24"/>
          <w:szCs w:val="24"/>
          <w:lang w:val="es-PE" w:eastAsia="ar-SA"/>
        </w:rPr>
      </w:pPr>
      <w:r w:rsidRPr="007A7451">
        <w:rPr>
          <w:rFonts w:ascii="Times New Roman" w:hAnsi="Times New Roman" w:cs="Times New Roman"/>
          <w:b/>
          <w:sz w:val="24"/>
          <w:szCs w:val="24"/>
          <w:lang w:val="es-PE" w:eastAsia="ar-SA"/>
        </w:rPr>
        <w:t xml:space="preserve">RESOLUCIÓN DE RECURSO IMPUGNATIVO </w:t>
      </w:r>
      <w:proofErr w:type="spellStart"/>
      <w:r w:rsidR="00707C99" w:rsidRPr="007A7451">
        <w:rPr>
          <w:rFonts w:ascii="Times New Roman" w:hAnsi="Times New Roman" w:cs="Times New Roman"/>
          <w:b/>
          <w:sz w:val="24"/>
          <w:szCs w:val="24"/>
          <w:lang w:val="es-PE" w:eastAsia="ar-SA"/>
        </w:rPr>
        <w:t>N°</w:t>
      </w:r>
      <w:proofErr w:type="spellEnd"/>
      <w:r w:rsidR="00707C99" w:rsidRPr="007A7451">
        <w:rPr>
          <w:rFonts w:ascii="Times New Roman" w:hAnsi="Times New Roman" w:cs="Times New Roman"/>
          <w:b/>
          <w:sz w:val="24"/>
          <w:szCs w:val="24"/>
          <w:lang w:val="es-PE" w:eastAsia="ar-SA"/>
        </w:rPr>
        <w:t xml:space="preserve"> </w:t>
      </w:r>
      <w:r w:rsidR="00516293" w:rsidRPr="007A7451">
        <w:rPr>
          <w:rFonts w:ascii="Times New Roman" w:hAnsi="Times New Roman" w:cs="Times New Roman"/>
          <w:b/>
          <w:sz w:val="24"/>
          <w:szCs w:val="24"/>
          <w:lang w:val="es-PE" w:eastAsia="ar-SA"/>
        </w:rPr>
        <w:t>0</w:t>
      </w:r>
      <w:r w:rsidR="00543015" w:rsidRPr="007A7451">
        <w:rPr>
          <w:rFonts w:ascii="Times New Roman" w:hAnsi="Times New Roman" w:cs="Times New Roman"/>
          <w:b/>
          <w:sz w:val="24"/>
          <w:szCs w:val="24"/>
          <w:lang w:val="es-PE" w:eastAsia="ar-SA"/>
        </w:rPr>
        <w:t>0</w:t>
      </w:r>
      <w:r w:rsidR="00205C9E">
        <w:rPr>
          <w:rFonts w:ascii="Times New Roman" w:hAnsi="Times New Roman" w:cs="Times New Roman"/>
          <w:b/>
          <w:sz w:val="24"/>
          <w:szCs w:val="24"/>
          <w:lang w:val="es-PE" w:eastAsia="ar-SA"/>
        </w:rPr>
        <w:t>6</w:t>
      </w:r>
      <w:r w:rsidR="00C671F5" w:rsidRPr="007A7451">
        <w:rPr>
          <w:rFonts w:ascii="Times New Roman" w:hAnsi="Times New Roman" w:cs="Times New Roman"/>
          <w:b/>
          <w:sz w:val="24"/>
          <w:szCs w:val="24"/>
          <w:lang w:val="es-PE" w:eastAsia="ar-SA"/>
        </w:rPr>
        <w:t>/2</w:t>
      </w:r>
      <w:r w:rsidR="00A74F96" w:rsidRPr="007A7451">
        <w:rPr>
          <w:rFonts w:ascii="Times New Roman" w:hAnsi="Times New Roman" w:cs="Times New Roman"/>
          <w:b/>
          <w:sz w:val="24"/>
          <w:szCs w:val="24"/>
          <w:lang w:val="es-PE" w:eastAsia="ar-SA"/>
        </w:rPr>
        <w:t>5</w:t>
      </w:r>
    </w:p>
    <w:p w14:paraId="0240F3C9" w14:textId="77777777" w:rsidR="002D4134" w:rsidRDefault="002D4134" w:rsidP="002D4134">
      <w:pPr>
        <w:spacing w:line="240" w:lineRule="auto"/>
        <w:jc w:val="both"/>
        <w:rPr>
          <w:rFonts w:ascii="Times New Roman" w:eastAsia="Arial Unicode MS" w:hAnsi="Times New Roman" w:cs="Times New Roman"/>
          <w:b/>
          <w:bCs/>
          <w:sz w:val="24"/>
          <w:szCs w:val="24"/>
          <w:lang w:val="es-MX" w:eastAsia="ar-SA"/>
        </w:rPr>
      </w:pPr>
    </w:p>
    <w:p w14:paraId="3345DF83" w14:textId="49775692" w:rsidR="002D4134" w:rsidRPr="002D4134" w:rsidRDefault="002D4134" w:rsidP="002D4134">
      <w:pPr>
        <w:spacing w:line="240" w:lineRule="auto"/>
        <w:jc w:val="both"/>
        <w:rPr>
          <w:rFonts w:ascii="Times New Roman" w:eastAsia="Arial Unicode MS" w:hAnsi="Times New Roman" w:cs="Times New Roman"/>
          <w:b/>
          <w:bCs/>
          <w:sz w:val="24"/>
          <w:szCs w:val="24"/>
          <w:lang w:val="es-MX" w:eastAsia="ar-SA"/>
        </w:rPr>
      </w:pPr>
      <w:r w:rsidRPr="002D4134">
        <w:rPr>
          <w:rFonts w:ascii="Times New Roman" w:eastAsia="Arial Unicode MS" w:hAnsi="Times New Roman" w:cs="Times New Roman"/>
          <w:b/>
          <w:bCs/>
          <w:sz w:val="24"/>
          <w:szCs w:val="24"/>
          <w:lang w:val="es-MX" w:eastAsia="ar-SA"/>
        </w:rPr>
        <w:t>VISTOS:</w:t>
      </w:r>
    </w:p>
    <w:p w14:paraId="00A27406" w14:textId="77777777" w:rsidR="002D4134" w:rsidRPr="002D4134" w:rsidRDefault="002D4134" w:rsidP="002D4134">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El Recurso de Impugnación presentado por ………………… respecto de la Resolución Nro. 073/24, expedida por esta Defensoría del Asegurado (DEFASEG), conforme a la cual se declaró FUNDADA la reclamación interpuesta por ………………… respecto al SEGURO DE DESGRAVAMEN DE CRÉDITO;</w:t>
      </w:r>
    </w:p>
    <w:p w14:paraId="70C6B324"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MX" w:eastAsia="ar-SA"/>
        </w:rPr>
      </w:pPr>
      <w:r>
        <w:rPr>
          <w:rFonts w:ascii="Times New Roman" w:hAnsi="Times New Roman"/>
          <w:sz w:val="24"/>
        </w:rPr>
        <w:t xml:space="preserve">Que, el indicado recurso se sustenta resumidamente en lo siguiente: (1) la insuficiencia respiratoria es una forma de morir acorde a complicaciones por falla cardiaca crónica, derivada de los antecedentes cardiovasculares (cardiopatía coronaria, infarto de miocardio con fibrilación y aleteo auricular, hipertensión arterial; entre las demás identificadas); (2) adjunta como nueva prueba el informe médico que explica la causalidad entre dichos antecedentes y el fallecimiento del asegurado; (3) el informe médico del doctor………………… no hace una revisión total de la Historia Clínica, sino únicamente de los documentos de atención del 22 de junio del 2023 (fecha de fallecimiento); (4) el doctor detalla en su informe, donde se aprecia que todos ellos son los documentos de la atención que recibió el asegurado antes de su sensible fallecimiento. por tanto, dicho informe es incapaz de identificar causas antecedentes relacionadas al deceso; (5) el informe realizado por el médico auditor de ………………… hace una revisión integral de la Historia Clínica; (6) en dicho informe no se descarta la relación entre los antecedentes y el deceso (ya que el médico ni siquiera hace mención a los documentos de Historia Clínica donde se pueden apreciar los antecedentes); (7) en el informe del doctor………………… señala que el paciente sufrió de taquicardia e hipotensión al momento del fallecimiento, y que su rápido deceso es una respuesta a una condición médica grave; (8) el rechazo por preexistencia fue realizado en base a una auditoría médica exhaustiva que permitió identificar condiciones preexistentes relacionadas al deceso del asegurado; </w:t>
      </w:r>
    </w:p>
    <w:p w14:paraId="72648C26"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PE" w:eastAsia="ar-SA"/>
        </w:rPr>
      </w:pPr>
      <w:r>
        <w:rPr>
          <w:rFonts w:ascii="Times New Roman" w:hAnsi="Times New Roman"/>
          <w:sz w:val="24"/>
        </w:rPr>
        <w:t xml:space="preserve">Que, la reclamante absolvió el traslado del recurso interpuesto, indicando en resumen lo siguiente: (1) el siniestro fue producto del Shock Séptico, con rápida progresión de síntomas, tiempo de enfermedad de 7 días; (2) en la Historia Clínica, hoja de monitoreo de emergencia del 22 de junio de 2023: el profesional médico diagnosticó que el Shock Séptico deviene en Insuficiencia Respiratoria con posterior desenlace; (3) ninguno de los documentos emitidos (el  diagnostico por el profesional médico, el informe estadístico de la defunción general/ Certificado de defunción, informes médicos y otros) señalan que el fallecimiento fuera producto de preexistencias.</w:t>
      </w:r>
    </w:p>
    <w:p w14:paraId="35167121"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MX" w:eastAsia="ar-SA"/>
        </w:rPr>
      </w:pPr>
      <w:r w:rsidRPr="002D4134">
        <w:rPr>
          <w:rFonts w:ascii="Times New Roman" w:eastAsia="Arial Unicode MS" w:hAnsi="Times New Roman" w:cs="Times New Roman"/>
          <w:bCs/>
          <w:sz w:val="24"/>
          <w:szCs w:val="24"/>
          <w:lang w:val="es-MX" w:eastAsia="ar-SA"/>
        </w:rPr>
        <w:t>Que, atendiendo a lo expuesto, esta defensoría resuelve finalmente lo siguiente:</w:t>
      </w:r>
    </w:p>
    <w:p w14:paraId="2458289C" w14:textId="77777777" w:rsidR="002D4134" w:rsidRPr="002D4134" w:rsidRDefault="002D4134" w:rsidP="002D4134">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651AC030" w14:textId="77777777" w:rsidR="002D4134" w:rsidRPr="002D4134" w:rsidRDefault="002D4134" w:rsidP="002D4134">
      <w:pPr>
        <w:spacing w:line="240" w:lineRule="auto"/>
        <w:jc w:val="both"/>
        <w:rPr>
          <w:rFonts w:ascii="Times New Roman" w:eastAsia="Arial Unicode MS" w:hAnsi="Times New Roman" w:cs="Times New Roman"/>
          <w:sz w:val="24"/>
          <w:szCs w:val="24"/>
          <w:lang w:val="es-PE" w:eastAsia="ar-SA"/>
        </w:rPr>
      </w:pPr>
    </w:p>
    <w:p w14:paraId="4E4BD145" w14:textId="77777777" w:rsidR="002D4134" w:rsidRPr="002D4134" w:rsidRDefault="002D4134" w:rsidP="002D4134">
      <w:pPr>
        <w:spacing w:line="240" w:lineRule="auto"/>
        <w:jc w:val="both"/>
        <w:rPr>
          <w:rFonts w:ascii="Times New Roman" w:eastAsia="Arial Unicode MS" w:hAnsi="Times New Roman" w:cs="Times New Roman"/>
          <w:sz w:val="24"/>
          <w:szCs w:val="24"/>
          <w:lang w:val="es-PE" w:eastAsia="ar-SA"/>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4764A9DF" w14:textId="77777777" w:rsidR="002D4134" w:rsidRPr="002D4134" w:rsidRDefault="002D4134" w:rsidP="002D4134">
      <w:pPr>
        <w:spacing w:line="240" w:lineRule="auto"/>
        <w:jc w:val="both"/>
        <w:rPr>
          <w:rFonts w:ascii="Times New Roman" w:eastAsia="Arial Unicode MS" w:hAnsi="Times New Roman" w:cs="Times New Roman"/>
          <w:sz w:val="24"/>
          <w:szCs w:val="24"/>
          <w:lang w:val="es-ES" w:eastAsia="ar-SA"/>
        </w:rPr>
      </w:pPr>
      <w:r>
        <w:rPr>
          <w:rFonts w:ascii="Times New Roman" w:hAnsi="Times New Roman"/>
          <w:sz w:val="24"/>
        </w:rPr>
        <w:t xml:space="preserve">SEGUNDO: Que el Recurso de Impugnación presentado por la aseguradora se sustenta en la presentación de nueva prueba, esto es el informe de auditoría médica.</w:t>
      </w:r>
    </w:p>
    <w:p w14:paraId="51A2222E"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De acuerdo con la Resolución Impugnada, la reclamación fue amparada en la medida que en autos no se demostró que el fallecimiento del asegurado ocurrió a consecuencia de las enfermedades preexistentes de Hipertensión Arterial y Complicaciones Cardiovasculares.</w:t>
      </w:r>
    </w:p>
    <w:p w14:paraId="0CC57E69"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PE" w:eastAsia="ar-SA"/>
        </w:rPr>
      </w:pPr>
      <w:r w:rsidRPr="002D4134">
        <w:rPr>
          <w:rFonts w:ascii="Times New Roman" w:eastAsia="Arial Unicode MS" w:hAnsi="Times New Roman" w:cs="Times New Roman"/>
          <w:bCs/>
          <w:sz w:val="24"/>
          <w:szCs w:val="24"/>
          <w:lang w:val="es-ES" w:eastAsia="ar-SA"/>
        </w:rPr>
        <w:t xml:space="preserve">Esto es, el Colegiado apreció que, si bien se probó </w:t>
      </w:r>
      <w:r w:rsidRPr="002D4134">
        <w:rPr>
          <w:rFonts w:ascii="Times New Roman" w:eastAsia="Arial Unicode MS" w:hAnsi="Times New Roman" w:cs="Times New Roman"/>
          <w:bCs/>
          <w:sz w:val="24"/>
          <w:szCs w:val="24"/>
          <w:lang w:val="es-PE" w:eastAsia="ar-SA"/>
        </w:rPr>
        <w:t>la existencia de antecedentes de padecimiento de Hipertensión Arterial y Complicaciones Cardiovasculares desde el año 2007, empero la aseguradora no demostró que el fallecimiento ocurrió a consecuencia de esas enfermedades.</w:t>
      </w:r>
    </w:p>
    <w:p w14:paraId="043CA41C" w14:textId="77777777" w:rsidR="002D4134" w:rsidRPr="002D4134" w:rsidRDefault="002D4134" w:rsidP="002D4134">
      <w:pPr>
        <w:spacing w:line="240" w:lineRule="auto"/>
        <w:jc w:val="both"/>
        <w:rPr>
          <w:rFonts w:ascii="Times New Roman" w:eastAsia="Arial Unicode MS" w:hAnsi="Times New Roman" w:cs="Times New Roman"/>
          <w:sz w:val="24"/>
          <w:szCs w:val="24"/>
          <w:lang w:val="es-MX" w:eastAsia="ar-SA"/>
        </w:rPr>
      </w:pPr>
      <w:r w:rsidRPr="002D4134">
        <w:rPr>
          <w:rFonts w:ascii="Times New Roman" w:eastAsia="Arial Unicode MS" w:hAnsi="Times New Roman" w:cs="Times New Roman"/>
          <w:sz w:val="24"/>
          <w:szCs w:val="24"/>
          <w:lang w:val="es-MX" w:eastAsia="ar-SA"/>
        </w:rPr>
        <w:t xml:space="preserve">Habida cuenta que en vía de impugnación la aseguradora ha presentado nueva prueba, corresponde valorar el nuevo medio probatorio. </w:t>
      </w:r>
    </w:p>
    <w:p w14:paraId="58941185" w14:textId="04C8BB68" w:rsidR="002D4134" w:rsidRPr="002D4134" w:rsidRDefault="002D4134" w:rsidP="002D4134">
      <w:pPr>
        <w:spacing w:line="240" w:lineRule="auto"/>
        <w:jc w:val="both"/>
        <w:rPr>
          <w:rFonts w:ascii="Times New Roman" w:eastAsia="Arial Unicode MS" w:hAnsi="Times New Roman" w:cs="Times New Roman"/>
          <w:sz w:val="24"/>
          <w:szCs w:val="24"/>
          <w:lang w:val="es-MX" w:eastAsia="ar-SA"/>
        </w:rPr>
      </w:pPr>
      <w:r w:rsidRPr="002D4134">
        <w:rPr>
          <w:rFonts w:ascii="Times New Roman" w:eastAsia="Arial Unicode MS" w:hAnsi="Times New Roman" w:cs="Times New Roman"/>
          <w:sz w:val="24"/>
          <w:szCs w:val="24"/>
          <w:lang w:val="es-MX" w:eastAsia="ar-SA"/>
        </w:rPr>
        <w:t>A este efecto, el médico auditor sostiene que las enfermedades preexistentes fueron desencadenantes directas de las complicaciones que causaron la muerte:</w:t>
      </w:r>
    </w:p>
    <w:p w14:paraId="4370F78E" w14:textId="39B6C8ED" w:rsidR="002D4134" w:rsidRPr="002D4134" w:rsidRDefault="002D4134" w:rsidP="002D4134">
      <w:pPr>
        <w:spacing w:line="240" w:lineRule="auto"/>
        <w:jc w:val="both"/>
        <w:rPr>
          <w:rFonts w:ascii="Times New Roman" w:eastAsia="Arial Unicode MS" w:hAnsi="Times New Roman" w:cs="Times New Roman"/>
          <w:sz w:val="24"/>
          <w:szCs w:val="24"/>
          <w:lang w:val="es-MX" w:eastAsia="ar-SA"/>
        </w:rPr>
      </w:pPr>
      <w:r>
        <w:rPr>
          <w:rFonts w:ascii="Times New Roman" w:hAnsi="Times New Roman"/>
          <w:sz w:val="24"/>
        </w:rPr>
        <w:t xml:space="preserve">…………………</w:t>
      </w:r>
    </w:p>
    <w:p w14:paraId="2828CDC8"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ES" w:eastAsia="ar-SA"/>
        </w:rPr>
      </w:pPr>
      <w:r>
        <w:rPr>
          <w:rFonts w:ascii="Times New Roman" w:hAnsi="Times New Roman"/>
          <w:sz w:val="24"/>
        </w:rPr>
        <w:t xml:space="preserve">Conforme se observa de los antecedentes médicos que obran en la Historia Clínica el asegurado fallece el 22 de junio de 2023 como consecuencia de una insuficiencia respiratoria aguda, siendo que en esa fecha también presentó un Shock Séptico.</w:t>
      </w:r>
    </w:p>
    <w:p w14:paraId="6F4A7829"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ES" w:eastAsia="ar-SA"/>
        </w:rPr>
      </w:pPr>
      <w:r w:rsidRPr="002D4134">
        <w:rPr>
          <w:rFonts w:ascii="Times New Roman" w:eastAsia="Arial Unicode MS" w:hAnsi="Times New Roman" w:cs="Times New Roman"/>
          <w:bCs/>
          <w:sz w:val="24"/>
          <w:szCs w:val="24"/>
          <w:lang w:val="es-MX" w:eastAsia="ar-SA"/>
        </w:rPr>
        <w:t xml:space="preserve">Siendo ello así, cabe resaltar que un Shock Séptico es una infección grave cuya causada </w:t>
      </w:r>
      <w:r w:rsidRPr="002D4134">
        <w:rPr>
          <w:rFonts w:ascii="Times New Roman" w:eastAsia="Arial Unicode MS" w:hAnsi="Times New Roman" w:cs="Times New Roman"/>
          <w:bCs/>
          <w:sz w:val="24"/>
          <w:szCs w:val="24"/>
          <w:lang w:val="es-ES" w:eastAsia="ar-SA"/>
        </w:rPr>
        <w:t>por bacterias, hongos y, en raras ocasiones, virus</w:t>
      </w:r>
      <w:r w:rsidRPr="002D4134">
        <w:rPr>
          <w:rFonts w:ascii="Times New Roman" w:eastAsia="Arial Unicode MS" w:hAnsi="Times New Roman" w:cs="Times New Roman"/>
          <w:bCs/>
          <w:sz w:val="24"/>
          <w:szCs w:val="24"/>
          <w:vertAlign w:val="superscript"/>
          <w:lang w:val="es-ES" w:eastAsia="ar-SA"/>
        </w:rPr>
        <w:footnoteReference w:id="1"/>
      </w:r>
      <w:r w:rsidRPr="002D4134">
        <w:rPr>
          <w:rFonts w:ascii="Times New Roman" w:eastAsia="Arial Unicode MS" w:hAnsi="Times New Roman" w:cs="Times New Roman"/>
          <w:bCs/>
          <w:sz w:val="24"/>
          <w:szCs w:val="24"/>
          <w:lang w:val="es-ES" w:eastAsia="ar-SA"/>
        </w:rPr>
        <w:t>.</w:t>
      </w:r>
    </w:p>
    <w:p w14:paraId="16F0A80B"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ES" w:eastAsia="ar-SA"/>
        </w:rPr>
      </w:pPr>
    </w:p>
    <w:p w14:paraId="296B7E3F"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PE" w:eastAsia="ar-SA"/>
        </w:rPr>
      </w:pPr>
      <w:r w:rsidRPr="002D4134">
        <w:rPr>
          <w:rFonts w:ascii="Times New Roman" w:eastAsia="Arial Unicode MS" w:hAnsi="Times New Roman" w:cs="Times New Roman"/>
          <w:bCs/>
          <w:sz w:val="24"/>
          <w:szCs w:val="24"/>
          <w:lang w:val="es-PE" w:eastAsia="ar-SA"/>
        </w:rPr>
        <w:lastRenderedPageBreak/>
        <w:t>Es relevante tener en cuenta que l</w:t>
      </w:r>
      <w:r w:rsidRPr="002D4134">
        <w:rPr>
          <w:rFonts w:ascii="Times New Roman" w:eastAsia="Arial Unicode MS" w:hAnsi="Times New Roman" w:cs="Times New Roman"/>
          <w:bCs/>
          <w:sz w:val="24"/>
          <w:szCs w:val="24"/>
          <w:lang w:val="es-ES" w:eastAsia="ar-SA"/>
        </w:rPr>
        <w:t xml:space="preserve">a insuficiencia respiratoria aguda puede ser una complicación del shock séptico, por lo que en la cadena causal correspondía probar que las </w:t>
      </w:r>
      <w:r w:rsidRPr="002D4134">
        <w:rPr>
          <w:rFonts w:ascii="Times New Roman" w:eastAsia="Arial Unicode MS" w:hAnsi="Times New Roman" w:cs="Times New Roman"/>
          <w:bCs/>
          <w:sz w:val="24"/>
          <w:szCs w:val="24"/>
          <w:lang w:val="es-PE" w:eastAsia="ar-SA"/>
        </w:rPr>
        <w:t>preexistencias</w:t>
      </w:r>
      <w:r w:rsidRPr="002D4134">
        <w:rPr>
          <w:rFonts w:ascii="Times New Roman" w:eastAsia="Arial Unicode MS" w:hAnsi="Times New Roman" w:cs="Times New Roman"/>
          <w:bCs/>
          <w:sz w:val="24"/>
          <w:szCs w:val="24"/>
          <w:lang w:val="es-ES" w:eastAsia="ar-SA"/>
        </w:rPr>
        <w:t xml:space="preserve"> </w:t>
      </w:r>
      <w:r w:rsidRPr="002D4134">
        <w:rPr>
          <w:rFonts w:ascii="Times New Roman" w:eastAsia="Arial Unicode MS" w:hAnsi="Times New Roman" w:cs="Times New Roman"/>
          <w:bCs/>
          <w:sz w:val="24"/>
          <w:szCs w:val="24"/>
          <w:lang w:val="es-PE" w:eastAsia="ar-SA"/>
        </w:rPr>
        <w:t>de Hipertensión Arterial y Complicaciones Cardiovasculares desencadenaron el Shock Séptico</w:t>
      </w:r>
    </w:p>
    <w:p w14:paraId="22003FE5"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ES" w:eastAsia="ar-SA"/>
        </w:rPr>
      </w:pPr>
      <w:r w:rsidRPr="002D4134">
        <w:rPr>
          <w:rFonts w:ascii="Times New Roman" w:eastAsia="Arial Unicode MS" w:hAnsi="Times New Roman" w:cs="Times New Roman"/>
          <w:bCs/>
          <w:sz w:val="24"/>
          <w:szCs w:val="24"/>
          <w:lang w:val="es-ES" w:eastAsia="ar-SA"/>
        </w:rPr>
        <w:t>De la atención del 17 de febrero de 2023 se advierte que el asegurado sufrió en dicha ocasión un Shock Séptico con probable foco respiratorio o urinario y neumonía adquirida en la comunidad.</w:t>
      </w:r>
    </w:p>
    <w:p w14:paraId="5A199F2D" w14:textId="77777777" w:rsidR="002D4134" w:rsidRPr="002D4134" w:rsidRDefault="002D4134" w:rsidP="002D4134">
      <w:pPr>
        <w:spacing w:line="240" w:lineRule="auto"/>
        <w:jc w:val="both"/>
        <w:rPr>
          <w:rFonts w:ascii="Times New Roman" w:eastAsia="Arial Unicode MS" w:hAnsi="Times New Roman" w:cs="Times New Roman"/>
          <w:bCs/>
          <w:sz w:val="24"/>
          <w:szCs w:val="24"/>
          <w:lang w:val="es-PE" w:eastAsia="ar-SA"/>
        </w:rPr>
      </w:pPr>
      <w:r w:rsidRPr="002D4134">
        <w:rPr>
          <w:rFonts w:ascii="Times New Roman" w:eastAsia="Arial Unicode MS" w:hAnsi="Times New Roman" w:cs="Times New Roman"/>
          <w:bCs/>
          <w:sz w:val="24"/>
          <w:szCs w:val="24"/>
          <w:lang w:val="es-ES" w:eastAsia="ar-SA"/>
        </w:rPr>
        <w:t>En el informe de auditoría no se evidencia las razones ni el sustento por las cuales el médico auditor concluye que las preexistencias mencionadas</w:t>
      </w:r>
      <w:r w:rsidRPr="002D4134">
        <w:rPr>
          <w:rFonts w:ascii="Times New Roman" w:eastAsia="Arial Unicode MS" w:hAnsi="Times New Roman" w:cs="Times New Roman"/>
          <w:bCs/>
          <w:sz w:val="24"/>
          <w:szCs w:val="24"/>
          <w:lang w:val="es-PE" w:eastAsia="ar-SA"/>
        </w:rPr>
        <w:t xml:space="preserve"> habrían desencadenado el Shock Séptico, y a su vez la insuficiencia respiratoria aguda.</w:t>
      </w:r>
    </w:p>
    <w:p w14:paraId="2581F83F" w14:textId="77777777" w:rsidR="002D4134" w:rsidRPr="002D4134" w:rsidRDefault="002D4134" w:rsidP="002D4134">
      <w:pPr>
        <w:spacing w:line="240" w:lineRule="auto"/>
        <w:jc w:val="both"/>
        <w:rPr>
          <w:rFonts w:ascii="Times New Roman" w:eastAsia="Arial Unicode MS" w:hAnsi="Times New Roman" w:cs="Times New Roman"/>
          <w:sz w:val="24"/>
          <w:szCs w:val="24"/>
          <w:lang w:val="es-ES" w:eastAsia="ar-SA"/>
        </w:rPr>
      </w:pPr>
      <w:r w:rsidRPr="002D4134">
        <w:rPr>
          <w:rFonts w:ascii="Times New Roman" w:eastAsia="Arial Unicode MS" w:hAnsi="Times New Roman" w:cs="Times New Roman"/>
          <w:sz w:val="24"/>
          <w:szCs w:val="24"/>
          <w:lang w:val="es-ES" w:eastAsia="ar-SA"/>
        </w:rPr>
        <w:t>En ese sentido, el</w:t>
      </w:r>
      <w:r w:rsidRPr="002D4134">
        <w:rPr>
          <w:rFonts w:ascii="Times New Roman" w:eastAsia="Arial Unicode MS" w:hAnsi="Times New Roman" w:cs="Times New Roman"/>
          <w:bCs/>
          <w:sz w:val="24"/>
          <w:szCs w:val="24"/>
          <w:lang w:val="es-ES" w:eastAsia="ar-SA"/>
        </w:rPr>
        <w:t xml:space="preserve"> nuevo medio probatorio no causa convicción </w:t>
      </w:r>
      <w:r w:rsidRPr="002D4134">
        <w:rPr>
          <w:rFonts w:ascii="Times New Roman" w:eastAsia="Arial Unicode MS" w:hAnsi="Times New Roman" w:cs="Times New Roman"/>
          <w:sz w:val="24"/>
          <w:szCs w:val="24"/>
          <w:lang w:val="es-ES" w:eastAsia="ar-SA"/>
        </w:rPr>
        <w:t>de que las enfermedades preexistentes fueron causa d</w:t>
      </w:r>
      <w:r w:rsidRPr="002D4134">
        <w:rPr>
          <w:rFonts w:ascii="Times New Roman" w:eastAsia="Arial Unicode MS" w:hAnsi="Times New Roman" w:cs="Times New Roman"/>
          <w:bCs/>
          <w:sz w:val="24"/>
          <w:szCs w:val="24"/>
          <w:lang w:val="es-PE" w:eastAsia="ar-SA"/>
        </w:rPr>
        <w:t>el fallecimiento del asegurado.</w:t>
      </w:r>
    </w:p>
    <w:p w14:paraId="2D872C18" w14:textId="77777777" w:rsidR="002D4134" w:rsidRPr="002D4134" w:rsidRDefault="002D4134" w:rsidP="002D4134">
      <w:pPr>
        <w:spacing w:line="240" w:lineRule="auto"/>
        <w:jc w:val="both"/>
        <w:rPr>
          <w:rFonts w:ascii="Times New Roman" w:eastAsia="Arial Unicode MS" w:hAnsi="Times New Roman" w:cs="Times New Roman"/>
          <w:sz w:val="24"/>
          <w:szCs w:val="24"/>
          <w:lang w:val="es-ES" w:eastAsia="ar-SA"/>
        </w:rPr>
      </w:pPr>
      <w:r w:rsidRPr="002D4134">
        <w:rPr>
          <w:rFonts w:ascii="Times New Roman" w:eastAsia="Arial Unicode MS" w:hAnsi="Times New Roman" w:cs="Times New Roman"/>
          <w:b/>
          <w:sz w:val="24"/>
          <w:szCs w:val="24"/>
          <w:u w:val="single"/>
          <w:lang w:val="es-ES" w:eastAsia="ar-SA"/>
        </w:rPr>
        <w:t>TERCERO</w:t>
      </w:r>
      <w:r w:rsidRPr="002D4134">
        <w:rPr>
          <w:rFonts w:ascii="Times New Roman" w:eastAsia="Arial Unicode MS" w:hAnsi="Times New Roman" w:cs="Times New Roman"/>
          <w:b/>
          <w:sz w:val="24"/>
          <w:szCs w:val="24"/>
          <w:lang w:val="es-ES" w:eastAsia="ar-SA"/>
        </w:rPr>
        <w:t>:</w:t>
      </w:r>
      <w:r w:rsidRPr="002D4134">
        <w:rPr>
          <w:rFonts w:ascii="Times New Roman" w:eastAsia="Arial Unicode MS" w:hAnsi="Times New Roman" w:cs="Times New Roman"/>
          <w:sz w:val="24"/>
          <w:szCs w:val="24"/>
          <w:lang w:val="es-ES" w:eastAsia="ar-SA"/>
        </w:rPr>
        <w:t xml:space="preserve"> En atención a las consideraciones precedentes, este Colegiado aprecia finalmente que no existe mérito suficiente y razón objetiva para revocar la resolución recurrida.</w:t>
      </w:r>
    </w:p>
    <w:p w14:paraId="3B77E5BB" w14:textId="77777777" w:rsidR="002D4134" w:rsidRPr="002D4134" w:rsidRDefault="002D4134" w:rsidP="002D4134">
      <w:pPr>
        <w:spacing w:line="240" w:lineRule="auto"/>
        <w:jc w:val="both"/>
        <w:rPr>
          <w:rFonts w:ascii="Times New Roman" w:eastAsia="Arial Unicode MS" w:hAnsi="Times New Roman" w:cs="Times New Roman"/>
          <w:b/>
          <w:sz w:val="24"/>
          <w:szCs w:val="24"/>
          <w:lang w:val="es-PE" w:eastAsia="ar-SA"/>
        </w:rPr>
      </w:pPr>
      <w:r w:rsidRPr="002D4134">
        <w:rPr>
          <w:rFonts w:ascii="Times New Roman" w:eastAsia="Arial Unicode MS" w:hAnsi="Times New Roman" w:cs="Times New Roman"/>
          <w:b/>
          <w:sz w:val="24"/>
          <w:szCs w:val="24"/>
          <w:lang w:val="es-PE" w:eastAsia="ar-SA"/>
        </w:rPr>
        <w:t>ATENDIENDO A LO EXPRESADO, CONFORME A SU REGLAMENTO, ESTE COLEGIADO RESUELVE:</w:t>
      </w:r>
    </w:p>
    <w:p w14:paraId="1A0690F7" w14:textId="77777777" w:rsidR="002D4134" w:rsidRPr="002D4134" w:rsidRDefault="002D4134" w:rsidP="002D4134">
      <w:pPr>
        <w:spacing w:line="240" w:lineRule="auto"/>
        <w:jc w:val="both"/>
        <w:rPr>
          <w:rFonts w:ascii="Times New Roman" w:eastAsia="Arial Unicode MS" w:hAnsi="Times New Roman" w:cs="Times New Roman"/>
          <w:sz w:val="24"/>
          <w:szCs w:val="24"/>
          <w:lang w:val="es-MX" w:eastAsia="ar-SA"/>
        </w:rPr>
      </w:pPr>
      <w:r>
        <w:rPr>
          <w:rFonts w:ascii="Times New Roman" w:hAnsi="Times New Roman"/>
          <w:sz w:val="24"/>
        </w:rPr>
        <w:t xml:space="preserve">DECLARAR INFUNDADO el Recurso de Impugnación interpuesto por ………………… y, por consiguiente, CONFIRMAR la Resolución N° 073/24.</w:t>
      </w:r>
    </w:p>
    <w:p w14:paraId="51EDAB4B" w14:textId="6DD25DF3" w:rsidR="00B32E8A" w:rsidRPr="007F2000" w:rsidRDefault="0091528B" w:rsidP="007F2000">
      <w:pPr>
        <w:spacing w:line="240" w:lineRule="auto"/>
        <w:jc w:val="right"/>
        <w:rPr>
          <w:rFonts w:ascii="Times New Roman" w:hAnsi="Times New Roman" w:cs="Times New Roman"/>
          <w:sz w:val="24"/>
          <w:szCs w:val="24"/>
          <w:lang w:val="es-PE"/>
        </w:rPr>
      </w:pPr>
      <w:r w:rsidRPr="007A7451">
        <w:rPr>
          <w:rFonts w:ascii="Times New Roman" w:eastAsia="Arial Unicode MS" w:hAnsi="Times New Roman" w:cs="Times New Roman"/>
          <w:sz w:val="24"/>
          <w:szCs w:val="24"/>
          <w:lang w:val="es-PE" w:eastAsia="ar-SA"/>
        </w:rPr>
        <w:t>Lima,</w:t>
      </w:r>
      <w:r w:rsidR="00774D05" w:rsidRPr="007A7451">
        <w:rPr>
          <w:rFonts w:ascii="Times New Roman" w:eastAsia="Arial Unicode MS" w:hAnsi="Times New Roman" w:cs="Times New Roman"/>
          <w:sz w:val="24"/>
          <w:szCs w:val="24"/>
          <w:lang w:val="es-PE" w:eastAsia="ar-SA"/>
        </w:rPr>
        <w:t xml:space="preserve"> </w:t>
      </w:r>
      <w:r w:rsidR="00403B24">
        <w:rPr>
          <w:rFonts w:ascii="Times New Roman" w:eastAsia="Arial Unicode MS" w:hAnsi="Times New Roman" w:cs="Times New Roman"/>
          <w:sz w:val="24"/>
          <w:szCs w:val="24"/>
          <w:lang w:val="es-PE" w:eastAsia="ar-SA"/>
        </w:rPr>
        <w:t>1</w:t>
      </w:r>
      <w:r w:rsidR="00205C9E">
        <w:rPr>
          <w:rFonts w:ascii="Times New Roman" w:eastAsia="Arial Unicode MS" w:hAnsi="Times New Roman" w:cs="Times New Roman"/>
          <w:sz w:val="24"/>
          <w:szCs w:val="24"/>
          <w:lang w:val="es-PE" w:eastAsia="ar-SA"/>
        </w:rPr>
        <w:t>2</w:t>
      </w:r>
      <w:r w:rsidR="00570ED6" w:rsidRPr="007A7451">
        <w:rPr>
          <w:rFonts w:ascii="Times New Roman" w:eastAsia="Arial Unicode MS" w:hAnsi="Times New Roman" w:cs="Times New Roman"/>
          <w:sz w:val="24"/>
          <w:szCs w:val="24"/>
          <w:lang w:val="es-PE" w:eastAsia="ar-SA"/>
        </w:rPr>
        <w:t xml:space="preserve"> </w:t>
      </w:r>
      <w:r w:rsidR="00707C99" w:rsidRPr="007A7451">
        <w:rPr>
          <w:rFonts w:ascii="Times New Roman" w:eastAsia="Arial Unicode MS" w:hAnsi="Times New Roman" w:cs="Times New Roman"/>
          <w:sz w:val="24"/>
          <w:szCs w:val="24"/>
          <w:lang w:val="es-PE" w:eastAsia="ar-SA"/>
        </w:rPr>
        <w:t xml:space="preserve">de </w:t>
      </w:r>
      <w:r w:rsidR="00774D05" w:rsidRPr="007A7451">
        <w:rPr>
          <w:rFonts w:ascii="Times New Roman" w:eastAsia="Arial Unicode MS" w:hAnsi="Times New Roman" w:cs="Times New Roman"/>
          <w:sz w:val="24"/>
          <w:szCs w:val="24"/>
          <w:lang w:val="es-PE" w:eastAsia="ar-SA"/>
        </w:rPr>
        <w:t>febrero</w:t>
      </w:r>
      <w:r w:rsidR="002F478E" w:rsidRPr="007A7451">
        <w:rPr>
          <w:rFonts w:ascii="Times New Roman" w:eastAsia="Arial Unicode MS" w:hAnsi="Times New Roman" w:cs="Times New Roman"/>
          <w:sz w:val="24"/>
          <w:szCs w:val="24"/>
          <w:lang w:val="es-PE" w:eastAsia="ar-SA"/>
        </w:rPr>
        <w:t xml:space="preserve"> </w:t>
      </w:r>
      <w:r w:rsidR="00F06498" w:rsidRPr="007A7451">
        <w:rPr>
          <w:rFonts w:ascii="Times New Roman" w:eastAsia="Arial Unicode MS" w:hAnsi="Times New Roman" w:cs="Times New Roman"/>
          <w:sz w:val="24"/>
          <w:szCs w:val="24"/>
          <w:lang w:val="es-PE" w:eastAsia="ar-SA"/>
        </w:rPr>
        <w:t>de 202</w:t>
      </w:r>
      <w:r w:rsidR="00AE4D37">
        <w:rPr>
          <w:rFonts w:ascii="Times New Roman" w:eastAsia="Arial Unicode MS" w:hAnsi="Times New Roman" w:cs="Times New Roman"/>
          <w:sz w:val="24"/>
          <w:szCs w:val="24"/>
          <w:lang w:val="es-PE" w:eastAsia="ar-SA"/>
        </w:rPr>
        <w:t>5</w:t>
      </w:r>
      <w:r w:rsidR="00707C99" w:rsidRPr="007A7451">
        <w:rPr>
          <w:rFonts w:ascii="Times New Roman" w:eastAsia="Times New Roman" w:hAnsi="Times New Roman" w:cs="Times New Roman"/>
          <w:sz w:val="24"/>
          <w:szCs w:val="24"/>
          <w:lang w:val="es-PE" w:eastAsia="ar-SA"/>
        </w:rPr>
        <w:t xml:space="preserve"> </w:t>
      </w:r>
    </w:p>
    <w:p w14:paraId="1B6988F6" w14:textId="77777777" w:rsidR="00A323F4" w:rsidRPr="007A7451" w:rsidRDefault="00A323F4" w:rsidP="00A323F4">
      <w:pPr>
        <w:spacing w:after="0" w:line="240" w:lineRule="auto"/>
        <w:jc w:val="both"/>
        <w:rPr>
          <w:rFonts w:ascii="Times New Roman" w:hAnsi="Times New Roman" w:cs="Times New Roman"/>
          <w:b/>
          <w:bCs/>
          <w:i/>
          <w:iCs/>
          <w:sz w:val="24"/>
          <w:szCs w:val="24"/>
          <w:lang w:val="es-PE"/>
        </w:rPr>
      </w:pPr>
      <w:r w:rsidRPr="007A745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7A745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7A7451" w:rsidRDefault="00543015"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t xml:space="preserve">María Eugenia Valdez Fernández Baca </w:t>
      </w:r>
      <w:r w:rsidR="007543CD" w:rsidRPr="007A7451">
        <w:rPr>
          <w:rFonts w:ascii="Times New Roman" w:hAnsi="Times New Roman" w:cs="Times New Roman"/>
          <w:b/>
          <w:bCs/>
          <w:sz w:val="24"/>
          <w:szCs w:val="24"/>
          <w:lang w:val="es-PE"/>
        </w:rPr>
        <w:t xml:space="preserve">– </w:t>
      </w:r>
      <w:proofErr w:type="gramStart"/>
      <w:r w:rsidR="007543CD" w:rsidRPr="007A7451">
        <w:rPr>
          <w:rFonts w:ascii="Times New Roman" w:hAnsi="Times New Roman" w:cs="Times New Roman"/>
          <w:b/>
          <w:bCs/>
          <w:sz w:val="24"/>
          <w:szCs w:val="24"/>
          <w:lang w:val="es-PE"/>
        </w:rPr>
        <w:t>Presidente</w:t>
      </w:r>
      <w:proofErr w:type="gramEnd"/>
    </w:p>
    <w:p w14:paraId="0DCF6E18" w14:textId="56F1BED3" w:rsidR="007543CD" w:rsidRPr="007A7451" w:rsidRDefault="00543015"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t xml:space="preserve">Rolando Eyzaguirre </w:t>
      </w:r>
      <w:proofErr w:type="spellStart"/>
      <w:r w:rsidRPr="007A7451">
        <w:rPr>
          <w:rFonts w:ascii="Times New Roman" w:hAnsi="Times New Roman" w:cs="Times New Roman"/>
          <w:b/>
          <w:bCs/>
          <w:sz w:val="24"/>
          <w:szCs w:val="24"/>
          <w:lang w:val="es-PE"/>
        </w:rPr>
        <w:t>Maccan</w:t>
      </w:r>
      <w:proofErr w:type="spellEnd"/>
      <w:r w:rsidRPr="007A7451">
        <w:rPr>
          <w:rFonts w:ascii="Times New Roman" w:hAnsi="Times New Roman" w:cs="Times New Roman"/>
          <w:b/>
          <w:bCs/>
          <w:sz w:val="24"/>
          <w:szCs w:val="24"/>
          <w:lang w:val="es-PE"/>
        </w:rPr>
        <w:t xml:space="preserve"> </w:t>
      </w:r>
      <w:r w:rsidR="007543CD" w:rsidRPr="007A7451">
        <w:rPr>
          <w:rFonts w:ascii="Times New Roman" w:hAnsi="Times New Roman" w:cs="Times New Roman"/>
          <w:b/>
          <w:bCs/>
          <w:sz w:val="24"/>
          <w:szCs w:val="24"/>
          <w:lang w:val="es-PE"/>
        </w:rPr>
        <w:t>– Vocal</w:t>
      </w:r>
    </w:p>
    <w:p w14:paraId="69BF44D1" w14:textId="77777777" w:rsidR="007543CD" w:rsidRPr="007A7451" w:rsidRDefault="007543CD" w:rsidP="007543CD">
      <w:pPr>
        <w:spacing w:after="0" w:line="360" w:lineRule="auto"/>
        <w:jc w:val="center"/>
        <w:rPr>
          <w:rFonts w:ascii="Times New Roman" w:hAnsi="Times New Roman" w:cs="Times New Roman"/>
          <w:b/>
          <w:bCs/>
          <w:sz w:val="24"/>
          <w:szCs w:val="24"/>
          <w:lang w:val="es-PE"/>
        </w:rPr>
      </w:pPr>
      <w:r w:rsidRPr="007A7451">
        <w:rPr>
          <w:rFonts w:ascii="Times New Roman" w:hAnsi="Times New Roman" w:cs="Times New Roman"/>
          <w:b/>
          <w:bCs/>
          <w:sz w:val="24"/>
          <w:szCs w:val="24"/>
          <w:lang w:val="es-PE"/>
        </w:rPr>
        <w:t>Omar Alfaro Villanueva – Vocal</w:t>
      </w:r>
    </w:p>
    <w:p w14:paraId="69BFE54F" w14:textId="77777777" w:rsidR="007543CD" w:rsidRPr="007A7451" w:rsidRDefault="007543CD" w:rsidP="007543CD">
      <w:pPr>
        <w:spacing w:after="0" w:line="360" w:lineRule="auto"/>
        <w:jc w:val="center"/>
        <w:rPr>
          <w:rFonts w:ascii="Times New Roman" w:hAnsi="Times New Roman" w:cs="Times New Roman"/>
          <w:sz w:val="24"/>
          <w:szCs w:val="24"/>
          <w:lang w:val="es-PE"/>
        </w:rPr>
      </w:pPr>
      <w:r w:rsidRPr="007A7451">
        <w:rPr>
          <w:rFonts w:ascii="Times New Roman" w:hAnsi="Times New Roman" w:cs="Times New Roman"/>
          <w:b/>
          <w:bCs/>
          <w:sz w:val="24"/>
          <w:szCs w:val="24"/>
          <w:lang w:val="es-PE"/>
        </w:rPr>
        <w:t>Gonzalo Abad del Busto – Vocal</w:t>
      </w:r>
    </w:p>
    <w:p w14:paraId="412CCBAA" w14:textId="77777777" w:rsidR="00986F0C" w:rsidRPr="007A745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FA1290"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FA1290"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FA1290"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1281F" w14:textId="77777777" w:rsidR="000505E9" w:rsidRDefault="000505E9" w:rsidP="00784355">
      <w:pPr>
        <w:spacing w:after="0" w:line="240" w:lineRule="auto"/>
      </w:pPr>
      <w:r>
        <w:separator/>
      </w:r>
    </w:p>
  </w:endnote>
  <w:endnote w:type="continuationSeparator" w:id="0">
    <w:p w14:paraId="117A3BDB" w14:textId="77777777" w:rsidR="000505E9" w:rsidRDefault="000505E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23544" w14:textId="77777777" w:rsidR="000505E9" w:rsidRDefault="000505E9" w:rsidP="00784355">
      <w:pPr>
        <w:spacing w:after="0" w:line="240" w:lineRule="auto"/>
      </w:pPr>
      <w:r>
        <w:separator/>
      </w:r>
    </w:p>
  </w:footnote>
  <w:footnote w:type="continuationSeparator" w:id="0">
    <w:p w14:paraId="021A7FAB" w14:textId="77777777" w:rsidR="000505E9" w:rsidRDefault="000505E9" w:rsidP="00784355">
      <w:pPr>
        <w:spacing w:after="0" w:line="240" w:lineRule="auto"/>
      </w:pPr>
      <w:r>
        <w:continuationSeparator/>
      </w:r>
    </w:p>
  </w:footnote>
  <w:footnote w:id="1">
    <w:p w14:paraId="08F4252F" w14:textId="77777777" w:rsidR="002D4134" w:rsidRDefault="002D4134" w:rsidP="002D4134">
      <w:pPr>
        <w:pStyle w:val="Textonotapie"/>
        <w:rPr>
          <w:rFonts w:ascii="Times New Roman" w:hAnsi="Times New Roman" w:cs="Times New Roman"/>
          <w:sz w:val="18"/>
          <w:szCs w:val="18"/>
          <w:lang w:val="es-PE"/>
        </w:rPr>
      </w:pPr>
      <w:r>
        <w:rPr>
          <w:rStyle w:val="Refdenotaalpie"/>
          <w:sz w:val="18"/>
          <w:szCs w:val="18"/>
        </w:rPr>
        <w:footnoteRef/>
      </w:r>
      <w:r>
        <w:rPr>
          <w:sz w:val="18"/>
          <w:szCs w:val="18"/>
        </w:rPr>
        <w:t xml:space="preserve"> </w:t>
      </w:r>
      <w:r>
        <w:rPr>
          <w:sz w:val="18"/>
          <w:szCs w:val="18"/>
          <w:lang w:val="es-PE"/>
        </w:rPr>
        <w:t>MEDILINE Plus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2"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4"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19"/>
  </w:num>
  <w:num w:numId="3" w16cid:durableId="333261791">
    <w:abstractNumId w:val="17"/>
  </w:num>
  <w:num w:numId="4" w16cid:durableId="1770345525">
    <w:abstractNumId w:val="16"/>
  </w:num>
  <w:num w:numId="5" w16cid:durableId="1816144979">
    <w:abstractNumId w:val="18"/>
  </w:num>
  <w:num w:numId="6" w16cid:durableId="1304313350">
    <w:abstractNumId w:val="0"/>
  </w:num>
  <w:num w:numId="7" w16cid:durableId="166828809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1"/>
  </w:num>
  <w:num w:numId="17" w16cid:durableId="17998823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91C09"/>
    <w:rsid w:val="00092684"/>
    <w:rsid w:val="0009404A"/>
    <w:rsid w:val="00095105"/>
    <w:rsid w:val="00096CCA"/>
    <w:rsid w:val="000A1DAF"/>
    <w:rsid w:val="000A55BA"/>
    <w:rsid w:val="000A5666"/>
    <w:rsid w:val="000A5CAA"/>
    <w:rsid w:val="000B19A0"/>
    <w:rsid w:val="000B58D8"/>
    <w:rsid w:val="000C0734"/>
    <w:rsid w:val="000C1AAB"/>
    <w:rsid w:val="000D5F00"/>
    <w:rsid w:val="000F17DA"/>
    <w:rsid w:val="000F56CC"/>
    <w:rsid w:val="000F6340"/>
    <w:rsid w:val="000F7060"/>
    <w:rsid w:val="00111342"/>
    <w:rsid w:val="0011308C"/>
    <w:rsid w:val="00116B6A"/>
    <w:rsid w:val="0012166D"/>
    <w:rsid w:val="00125B9B"/>
    <w:rsid w:val="0013051A"/>
    <w:rsid w:val="001320DF"/>
    <w:rsid w:val="00136E12"/>
    <w:rsid w:val="001373AF"/>
    <w:rsid w:val="001377EF"/>
    <w:rsid w:val="00140BBE"/>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D9A"/>
    <w:rsid w:val="00496A1A"/>
    <w:rsid w:val="004A183E"/>
    <w:rsid w:val="004A3E25"/>
    <w:rsid w:val="004A41F6"/>
    <w:rsid w:val="004A718F"/>
    <w:rsid w:val="004B155C"/>
    <w:rsid w:val="004B27E2"/>
    <w:rsid w:val="004B51ED"/>
    <w:rsid w:val="004C1C34"/>
    <w:rsid w:val="004C34ED"/>
    <w:rsid w:val="004C51EC"/>
    <w:rsid w:val="004C5A91"/>
    <w:rsid w:val="004D05F2"/>
    <w:rsid w:val="004E65DD"/>
    <w:rsid w:val="004F0319"/>
    <w:rsid w:val="004F1255"/>
    <w:rsid w:val="004F549E"/>
    <w:rsid w:val="00504C79"/>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782D"/>
    <w:rsid w:val="005B2924"/>
    <w:rsid w:val="005C3266"/>
    <w:rsid w:val="005C524E"/>
    <w:rsid w:val="005C5AB9"/>
    <w:rsid w:val="005C6AB8"/>
    <w:rsid w:val="005D3E68"/>
    <w:rsid w:val="005D5F88"/>
    <w:rsid w:val="005E0EC2"/>
    <w:rsid w:val="005E17C2"/>
    <w:rsid w:val="005E2CBE"/>
    <w:rsid w:val="005E4870"/>
    <w:rsid w:val="005F220A"/>
    <w:rsid w:val="005F4C97"/>
    <w:rsid w:val="006043E9"/>
    <w:rsid w:val="00605902"/>
    <w:rsid w:val="00606105"/>
    <w:rsid w:val="00613A39"/>
    <w:rsid w:val="00622ABC"/>
    <w:rsid w:val="00623204"/>
    <w:rsid w:val="00624034"/>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7D6C"/>
    <w:rsid w:val="006A2ADE"/>
    <w:rsid w:val="006A551F"/>
    <w:rsid w:val="006B5CAE"/>
    <w:rsid w:val="006B7A62"/>
    <w:rsid w:val="006C1704"/>
    <w:rsid w:val="006C1A65"/>
    <w:rsid w:val="006C29A7"/>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4447"/>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F2000"/>
    <w:rsid w:val="007F38DF"/>
    <w:rsid w:val="007F74F1"/>
    <w:rsid w:val="008010D0"/>
    <w:rsid w:val="008020A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C86"/>
    <w:rsid w:val="00AC4CF3"/>
    <w:rsid w:val="00AC5A9E"/>
    <w:rsid w:val="00AD1FEC"/>
    <w:rsid w:val="00AD2DF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4034"/>
    <w:rsid w:val="00D6797E"/>
    <w:rsid w:val="00D73109"/>
    <w:rsid w:val="00D76C43"/>
    <w:rsid w:val="00D810EC"/>
    <w:rsid w:val="00D835B6"/>
    <w:rsid w:val="00D84464"/>
    <w:rsid w:val="00D9001E"/>
    <w:rsid w:val="00DA0540"/>
    <w:rsid w:val="00DA2840"/>
    <w:rsid w:val="00DA4030"/>
    <w:rsid w:val="00DB15FD"/>
    <w:rsid w:val="00DB3DD5"/>
    <w:rsid w:val="00DB5079"/>
    <w:rsid w:val="00DB58EC"/>
    <w:rsid w:val="00DB7347"/>
    <w:rsid w:val="00DB74D5"/>
    <w:rsid w:val="00DC399B"/>
    <w:rsid w:val="00DD0F92"/>
    <w:rsid w:val="00DD109C"/>
    <w:rsid w:val="00DD5E2B"/>
    <w:rsid w:val="00DE585A"/>
    <w:rsid w:val="00DF0424"/>
    <w:rsid w:val="00DF3781"/>
    <w:rsid w:val="00DF6E69"/>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E38F0"/>
    <w:rsid w:val="00FE43A9"/>
    <w:rsid w:val="00FE6588"/>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BC313BFE-B1FA-40DA-A097-435C4AE4E54A}"/>
</file>

<file path=customXml/itemProps3.xml><?xml version="1.0" encoding="utf-8"?>
<ds:datastoreItem xmlns:ds="http://schemas.openxmlformats.org/officeDocument/2006/customXml" ds:itemID="{4C2928CF-DBDC-4A22-9A07-C08067808509}"/>
</file>

<file path=customXml/itemProps4.xml><?xml version="1.0" encoding="utf-8"?>
<ds:datastoreItem xmlns:ds="http://schemas.openxmlformats.org/officeDocument/2006/customXml" ds:itemID="{A5DDDAA5-449B-45C0-8F4A-922B0DB43AC0}"/>
</file>

<file path=docProps/app.xml><?xml version="1.0" encoding="utf-8"?>
<Properties xmlns="http://schemas.openxmlformats.org/officeDocument/2006/extended-properties" xmlns:vt="http://schemas.openxmlformats.org/officeDocument/2006/docPropsVTypes">
  <Template>Normal</Template>
  <TotalTime>209</TotalTime>
  <Pages>3</Pages>
  <Words>945</Words>
  <Characters>5203</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273</cp:revision>
  <cp:lastPrinted>2025-02-25T14:59:00Z</cp:lastPrinted>
  <dcterms:created xsi:type="dcterms:W3CDTF">2023-02-14T22:37:00Z</dcterms:created>
  <dcterms:modified xsi:type="dcterms:W3CDTF">2025-02-25T15:00:00Z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