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0F3C9" w14:textId="13A932BA" w:rsidR="002D4134" w:rsidRPr="00F40531" w:rsidRDefault="00201C0D" w:rsidP="00F40531">
      <w:pPr>
        <w:spacing w:after="0" w:line="240" w:lineRule="auto"/>
        <w:jc w:val="center"/>
        <w:rPr>
          <w:rFonts w:ascii="Times New Roman" w:hAnsi="Times New Roman" w:cs="Times New Roman"/>
          <w:b/>
          <w:sz w:val="24"/>
          <w:szCs w:val="24"/>
          <w:lang w:val="es-PE" w:eastAsia="ar-SA"/>
        </w:rPr>
      </w:pPr>
      <w:r w:rsidRPr="00F40531">
        <w:rPr>
          <w:rFonts w:ascii="Times New Roman" w:hAnsi="Times New Roman" w:cs="Times New Roman"/>
          <w:b/>
          <w:sz w:val="24"/>
          <w:szCs w:val="24"/>
          <w:lang w:val="es-PE" w:eastAsia="ar-SA"/>
        </w:rPr>
        <w:t xml:space="preserve">RESOLUCIÓN DE RECURSO IMPUGNATIVO </w:t>
      </w:r>
      <w:r w:rsidR="00707C99" w:rsidRPr="00F40531">
        <w:rPr>
          <w:rFonts w:ascii="Times New Roman" w:hAnsi="Times New Roman" w:cs="Times New Roman"/>
          <w:b/>
          <w:sz w:val="24"/>
          <w:szCs w:val="24"/>
          <w:lang w:val="es-PE" w:eastAsia="ar-SA"/>
        </w:rPr>
        <w:t xml:space="preserve">N° </w:t>
      </w:r>
      <w:r w:rsidR="00516293" w:rsidRPr="00F40531">
        <w:rPr>
          <w:rFonts w:ascii="Times New Roman" w:hAnsi="Times New Roman" w:cs="Times New Roman"/>
          <w:b/>
          <w:sz w:val="24"/>
          <w:szCs w:val="24"/>
          <w:lang w:val="es-PE" w:eastAsia="ar-SA"/>
        </w:rPr>
        <w:t>0</w:t>
      </w:r>
      <w:r w:rsidR="00543015" w:rsidRPr="00F40531">
        <w:rPr>
          <w:rFonts w:ascii="Times New Roman" w:hAnsi="Times New Roman" w:cs="Times New Roman"/>
          <w:b/>
          <w:sz w:val="24"/>
          <w:szCs w:val="24"/>
          <w:lang w:val="es-PE" w:eastAsia="ar-SA"/>
        </w:rPr>
        <w:t>0</w:t>
      </w:r>
      <w:r w:rsidR="00DB78F3">
        <w:rPr>
          <w:rFonts w:ascii="Times New Roman" w:hAnsi="Times New Roman" w:cs="Times New Roman"/>
          <w:b/>
          <w:sz w:val="24"/>
          <w:szCs w:val="24"/>
          <w:lang w:val="es-PE" w:eastAsia="ar-SA"/>
        </w:rPr>
        <w:t>9</w:t>
      </w:r>
      <w:r w:rsidR="00C671F5" w:rsidRPr="00F40531">
        <w:rPr>
          <w:rFonts w:ascii="Times New Roman" w:hAnsi="Times New Roman" w:cs="Times New Roman"/>
          <w:b/>
          <w:sz w:val="24"/>
          <w:szCs w:val="24"/>
          <w:lang w:val="es-PE" w:eastAsia="ar-SA"/>
        </w:rPr>
        <w:t>/2</w:t>
      </w:r>
      <w:r w:rsidR="00A74F96" w:rsidRPr="00F40531">
        <w:rPr>
          <w:rFonts w:ascii="Times New Roman" w:hAnsi="Times New Roman" w:cs="Times New Roman"/>
          <w:b/>
          <w:sz w:val="24"/>
          <w:szCs w:val="24"/>
          <w:lang w:val="es-PE" w:eastAsia="ar-SA"/>
        </w:rPr>
        <w:t>5</w:t>
      </w:r>
    </w:p>
    <w:p w14:paraId="41B4468D" w14:textId="77777777" w:rsidR="00F40531" w:rsidRPr="00F40531" w:rsidRDefault="00F40531" w:rsidP="00F40531">
      <w:pPr>
        <w:spacing w:after="0" w:line="240" w:lineRule="auto"/>
        <w:jc w:val="center"/>
        <w:rPr>
          <w:rFonts w:ascii="Times New Roman" w:hAnsi="Times New Roman" w:cs="Times New Roman"/>
          <w:b/>
          <w:sz w:val="24"/>
          <w:szCs w:val="24"/>
          <w:lang w:val="es-PE" w:eastAsia="ar-SA"/>
        </w:rPr>
      </w:pPr>
    </w:p>
    <w:p w14:paraId="191A0A78" w14:textId="77777777" w:rsidR="00AC4971" w:rsidRPr="00AC4971" w:rsidRDefault="00AC4971" w:rsidP="00AC4971">
      <w:pPr>
        <w:spacing w:line="240" w:lineRule="auto"/>
        <w:jc w:val="both"/>
        <w:rPr>
          <w:rFonts w:ascii="Times New Roman" w:eastAsia="Arial Unicode MS" w:hAnsi="Times New Roman" w:cs="Times New Roman"/>
          <w:b/>
          <w:bCs/>
          <w:sz w:val="24"/>
          <w:szCs w:val="24"/>
          <w:lang w:val="es-MX" w:eastAsia="ar-SA"/>
        </w:rPr>
      </w:pPr>
      <w:r w:rsidRPr="00AC4971">
        <w:rPr>
          <w:rFonts w:ascii="Times New Roman" w:eastAsia="Arial Unicode MS" w:hAnsi="Times New Roman" w:cs="Times New Roman"/>
          <w:b/>
          <w:bCs/>
          <w:sz w:val="24"/>
          <w:szCs w:val="24"/>
          <w:lang w:val="es-MX" w:eastAsia="ar-SA"/>
        </w:rPr>
        <w:t>VISTOS:</w:t>
      </w:r>
    </w:p>
    <w:p w14:paraId="6B86A8BB" w14:textId="77777777" w:rsidR="00AC4971" w:rsidRPr="00AC4971" w:rsidRDefault="00AC4971" w:rsidP="00AC4971">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El Recurso de Impugnación presentado por ………………… respecto de la Resolución Nro. 195/24, expedida por esta Defensoría del Asegurado (DEFASEG), conforme a la cual se declaró FUNDADA la reclamación interpuesta por ………………… respecto al SEGURO AMI SALUD RED MÉDICA - PÓLIZA N° …………………;</w:t>
      </w:r>
    </w:p>
    <w:p w14:paraId="3AF8F091" w14:textId="77777777" w:rsidR="00AC4971" w:rsidRPr="00AC4971" w:rsidRDefault="00AC4971" w:rsidP="00AC4971">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Que, el indicado recurso se sustenta resumidamente en lo siguiente: (1) el reclamo no se ajusta a los términos y condiciones de la póliza contratada, por lo que tal y como se le informó a la asegurada en la Carta de Rechazo, la Compañía se vio en la imposibilidad de brindar la cobertura de reembolso solicitada; (2) esto debido a que el Plan de Beneficios de la Asegurada (Plan de Salud contratado), no contempla la modalidad solicitada de financiamiento mediante reembolsos para servicios ambulatorios. Por el contrario, el beneficio ambulatorio se brinda por la modalidad de financiamiento por la empresa …………………; (3) dado que en el contrato de seguro no se prevé la posibilidad de acceder a reembolsos por los gatos incurridos en servicios ambulatorios, la Compañía no cuenta con la facultad de otorgar la cobertura solicitada; (4) el rechazo del reclamo es consistente con las disposiciones contractuales acordadas entre las partes basadas en la póliza suscritas, las mismas que delimitan las modalidades de cobertura aplicables. Por esta razón, la Compañía se mantiene firme y considera pertinente que se le haya denegado la solicitud de reembolso; (5) la Compañía no asume responsabilidad alguna respecto a la información proporcionada por la Clínica a la Aseguradora sobre la supuesta inactividad del seguro; (6) las coberturas y beneficios están sujetos a lo establecido en la póliza y cualquier información externa que no forme parte del contrato no genera la obligación de proporcionar coberturas adicionales o diferentes a las especificadas. Por lo tanto, la Compañía no está a brindar una cobertura que no se encuentra contemplada en el plan de beneficios contratado por la Asegurada.</w:t>
      </w:r>
    </w:p>
    <w:p w14:paraId="40D0DC2B" w14:textId="77777777" w:rsidR="00AC4971" w:rsidRPr="00AC4971" w:rsidRDefault="00AC4971" w:rsidP="00AC4971">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Que, la reclamante absolvió el traslado del recurso interpuesto, manifestando en síntesis lo siguiente: (1) la aseguradora estaba en la obligación de pagar al proveedor del servicio de salud (en este caso la Clínica San Felipe) por la atención brindada desde el 02 al 05 de abril de 2024; (2) ello se deriva de una atención de emergencia con atención hospitalaria; (3) no se trata de un caso, como lo denominada y pretende canalizar la aseguradora, de “financiamiento mediante reembolso”, debido a que la solicitud bajo análisis no se enmarcó en la definición de reembolso ni se ha encausado bajo el procedimiento especial de la aseguradora, porque la atención fue en la Clínica San Felipe que sí pertenece a la red de clínicas incluidas en la póliza; (4) es incorrecto el análisis que realiza la aseguradora porque no se está cuestionando las modalidades de cobertura aplicables, sino se reclama que la póliza N° ………………… debió estar inhabilitada por la aseguradora y, por lo tanto, la aseguradora debió hacerse caso de los gastos por la atención médica recibida por emergencia en la Clínica San Felipe conforme lo señalado en la Póliza Ami Salud Red Medica Nro. …………………; (5) no se tratan de supuestos sino de hechos y es un hecho que el seguro se encontraba inactivo, tal es así que, un día después del ingreso por emergencia, se llamó a la aseguradora reclamando el por qué el seguro se encontraba inactivo sin motivo alguno y días después la aseguradora atendió dicho pedido sin dar explicaciones del por qué estaba inactivo y lo reactivó; (6) la aseguradora confunde el tema bajo análisis debido a que no se reclama una nueva o diferente cobertura teniendo en cuenta que i) en primer lugar, la póliza N° ………………… debió inhabilitarse, ii) expresamente en el plan de beneficios se encuentra incluida a la Clínica San Felipe e inclusive el asegurado debe pagar 0%; por lo que existe una cobertura del 100% por parte de la aseguradora, conforme se detalla en el Plan de Beneficios, iii) el siniestro sí se encontraba dentro de la póliza contratada al tratarse de una emergencia por lo tanto sí debió tener la cobertura por parte de la aseguradora</w:t>
      </w:r>
    </w:p>
    <w:p w14:paraId="05BA5D6D" w14:textId="77777777" w:rsidR="00AC4971" w:rsidRPr="00AC4971" w:rsidRDefault="00AC4971" w:rsidP="00AC4971">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14:paraId="3DB16BC8" w14:textId="77777777" w:rsidR="00AC4971" w:rsidRPr="00AC4971" w:rsidRDefault="00AC4971" w:rsidP="00AC4971">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14:paraId="14547BC3" w14:textId="77777777" w:rsidR="00AC4971" w:rsidRPr="00AC4971" w:rsidRDefault="00AC4971" w:rsidP="00AC4971">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SEGUNDO: Que el Recurso de Impugnación presentado por la aseguradora no se sustenta en nueva prueba sino en tratar de desvirtuar los fundamentos de la Resolución Impugnada, insistiendo en los argumentos no atendibles que expuso al efectuar sus descargos y en la audiencia de vista.</w:t>
      </w:r>
    </w:p>
    <w:p w14:paraId="4EBE2A3B" w14:textId="77777777" w:rsidR="00AC4971" w:rsidRPr="00AC4971" w:rsidRDefault="00AC4971" w:rsidP="00AC4971">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En ese sentido, este Colegiado advierte que no existe nuevo argumento que analizar ni error en la Resolución Impugnada, y que la aseguradora hace una lectura ligera de lo decidido en la Resolución Impugnada.</w:t>
      </w:r>
    </w:p>
    <w:p w14:paraId="1A74F4A1" w14:textId="59C909C4" w:rsidR="00AC4971" w:rsidRPr="00AC4971" w:rsidRDefault="00AC4971" w:rsidP="00AC4971">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En efecto, tal como se desarrolla en el séptimo considerando de la Resolución Impugnada, la Defensoría llega a su conclusión valorando que en el presente caso no fue posible cubrir vía crédito la atención de salud reclamada debido a una causa imputable a …………………, razón por la cual la aseguradora no puede escudarse en su propia negligencia para denegar la cobertura a la cual tenía derecho la asegurada:</w:t>
      </w:r>
    </w:p>
    <w:p w14:paraId="13D98049" w14:textId="77777777" w:rsidR="00AC4971" w:rsidRPr="00AC4971" w:rsidRDefault="00AC4971" w:rsidP="001E1C8C">
      <w:pPr>
        <w:spacing w:line="240" w:lineRule="auto"/>
        <w:ind w:left="720"/>
        <w:jc w:val="both"/>
        <w:rPr>
          <w:rFonts w:ascii="Times New Roman" w:eastAsia="Arial Unicode MS" w:hAnsi="Times New Roman" w:cs="Times New Roman"/>
          <w:i/>
          <w:iCs/>
          <w:sz w:val="24"/>
          <w:szCs w:val="24"/>
          <w:lang w:val="es-PE" w:eastAsia="ar-SA"/>
        </w:rPr>
      </w:pPr>
      <w:r>
        <w:rPr>
          <w:rFonts w:ascii="Times New Roman" w:hAnsi="Times New Roman"/>
          <w:sz w:val="24"/>
        </w:rPr>
        <w:t xml:space="preserve">“La aseguradora no ha explicado las razones por las cuales, al momento de solicitarse la atención médica, esto es el 2 de abril de 2024 la Póliza N° ………………… encontraba vigente. Tampoco ………………… ha sustentado que el impase sobre la inactivación del seguro fuera imputable a la asegurada. </w:t>
      </w:r>
    </w:p>
    <w:p w14:paraId="1A1B220D" w14:textId="77777777" w:rsidR="00AC4971" w:rsidRPr="00AC4971" w:rsidRDefault="00AC4971" w:rsidP="001E1C8C">
      <w:pPr>
        <w:spacing w:line="240" w:lineRule="auto"/>
        <w:ind w:left="720"/>
        <w:jc w:val="both"/>
        <w:rPr>
          <w:rFonts w:ascii="Times New Roman" w:eastAsia="Arial Unicode MS" w:hAnsi="Times New Roman" w:cs="Times New Roman"/>
          <w:i/>
          <w:iCs/>
          <w:sz w:val="24"/>
          <w:szCs w:val="24"/>
          <w:lang w:val="es-PE" w:eastAsia="ar-SA"/>
        </w:rPr>
      </w:pPr>
      <w:r w:rsidRPr="00AC4971">
        <w:rPr>
          <w:rFonts w:ascii="Times New Roman" w:eastAsia="Arial Unicode MS" w:hAnsi="Times New Roman" w:cs="Times New Roman"/>
          <w:i/>
          <w:iCs/>
          <w:sz w:val="24"/>
          <w:szCs w:val="24"/>
          <w:lang w:val="es-PE" w:eastAsia="ar-SA"/>
        </w:rPr>
        <w:t xml:space="preserve">Ante esas circunstancias, se verifica que la imposibilidad para la asegurada de solicitar vía crédito la atención de salud reclamada fue debido a la falta de habilitación de la Póliza de Seguro contratada, hecho imputable a la propia aseguradora. </w:t>
      </w:r>
    </w:p>
    <w:p w14:paraId="1DF602AC" w14:textId="77777777" w:rsidR="00AC4971" w:rsidRPr="00AC4971" w:rsidRDefault="00AC4971" w:rsidP="001E1C8C">
      <w:pPr>
        <w:spacing w:line="240" w:lineRule="auto"/>
        <w:ind w:left="720"/>
        <w:jc w:val="both"/>
        <w:rPr>
          <w:rFonts w:ascii="Times New Roman" w:eastAsia="Arial Unicode MS" w:hAnsi="Times New Roman" w:cs="Times New Roman"/>
          <w:i/>
          <w:iCs/>
          <w:sz w:val="24"/>
          <w:szCs w:val="24"/>
          <w:lang w:val="es-PE" w:eastAsia="ar-SA"/>
        </w:rPr>
      </w:pPr>
      <w:r>
        <w:rPr>
          <w:rFonts w:ascii="Times New Roman" w:hAnsi="Times New Roman"/>
          <w:sz w:val="24"/>
        </w:rPr>
        <w:t xml:space="preserve">Es evidente que ………………… no está legitimada para denegar la cobertura de una atención de salud amparándose en una imposibilidad generada por ella misma. </w:t>
      </w:r>
    </w:p>
    <w:p w14:paraId="01D151F0" w14:textId="77777777" w:rsidR="00AC4971" w:rsidRPr="00AC4971" w:rsidRDefault="00AC4971" w:rsidP="001E1C8C">
      <w:pPr>
        <w:spacing w:line="240" w:lineRule="auto"/>
        <w:ind w:left="720"/>
        <w:jc w:val="both"/>
        <w:rPr>
          <w:rFonts w:ascii="Times New Roman" w:eastAsia="Arial Unicode MS" w:hAnsi="Times New Roman" w:cs="Times New Roman"/>
          <w:i/>
          <w:iCs/>
          <w:sz w:val="24"/>
          <w:szCs w:val="24"/>
          <w:lang w:val="es-PE" w:eastAsia="ar-SA"/>
        </w:rPr>
      </w:pPr>
      <w:r w:rsidRPr="00AC4971">
        <w:rPr>
          <w:rFonts w:ascii="Times New Roman" w:eastAsia="Arial Unicode MS" w:hAnsi="Times New Roman" w:cs="Times New Roman"/>
          <w:i/>
          <w:iCs/>
          <w:sz w:val="24"/>
          <w:szCs w:val="24"/>
          <w:lang w:val="es-PE" w:eastAsia="ar-SA"/>
        </w:rPr>
        <w:t xml:space="preserve">No cabe duda de que, de haber estado habilitada la póliza de seguro el día 2 de abril de 2024, la atención de salud habría sido cubierta vía crédito. </w:t>
      </w:r>
    </w:p>
    <w:p w14:paraId="5641024F" w14:textId="77777777" w:rsidR="00AC4971" w:rsidRPr="00AC4971" w:rsidRDefault="00AC4971" w:rsidP="001E1C8C">
      <w:pPr>
        <w:spacing w:line="240" w:lineRule="auto"/>
        <w:ind w:left="720"/>
        <w:jc w:val="both"/>
        <w:rPr>
          <w:rFonts w:ascii="Times New Roman" w:eastAsia="Arial Unicode MS" w:hAnsi="Times New Roman" w:cs="Times New Roman"/>
          <w:i/>
          <w:iCs/>
          <w:sz w:val="24"/>
          <w:szCs w:val="24"/>
          <w:lang w:val="es-MX" w:eastAsia="ar-SA"/>
        </w:rPr>
      </w:pPr>
      <w:r w:rsidRPr="00AC4971">
        <w:rPr>
          <w:rFonts w:ascii="Times New Roman" w:eastAsia="Arial Unicode MS" w:hAnsi="Times New Roman" w:cs="Times New Roman"/>
          <w:i/>
          <w:iCs/>
          <w:sz w:val="24"/>
          <w:szCs w:val="24"/>
          <w:lang w:val="es-PE" w:eastAsia="ar-SA"/>
        </w:rPr>
        <w:t>Para esta Defensoría resulta evidente la inconsistencia de la negativa de cobertura derivada de un hecho imputable a la actuación de la propia aseguradora.”</w:t>
      </w:r>
    </w:p>
    <w:p w14:paraId="52DAD783" w14:textId="239F6CEE" w:rsidR="00AC4971" w:rsidRPr="00AC4971" w:rsidRDefault="00AC4971" w:rsidP="00AC4971">
      <w:pPr>
        <w:spacing w:line="240" w:lineRule="auto"/>
        <w:jc w:val="both"/>
        <w:rPr>
          <w:rFonts w:ascii="Times New Roman" w:eastAsia="Arial Unicode MS" w:hAnsi="Times New Roman" w:cs="Times New Roman"/>
          <w:sz w:val="24"/>
          <w:szCs w:val="24"/>
          <w:lang w:val="es-ES" w:eastAsia="ar-SA"/>
        </w:rPr>
      </w:pPr>
      <w:r w:rsidRPr="00AC4971">
        <w:rPr>
          <w:rFonts w:ascii="Times New Roman" w:eastAsia="Arial Unicode MS" w:hAnsi="Times New Roman" w:cs="Times New Roman"/>
          <w:b/>
          <w:sz w:val="24"/>
          <w:szCs w:val="24"/>
          <w:u w:val="single"/>
          <w:lang w:val="es-ES" w:eastAsia="ar-SA"/>
        </w:rPr>
        <w:lastRenderedPageBreak/>
        <w:t>TERCERO</w:t>
      </w:r>
      <w:r w:rsidRPr="00AC4971">
        <w:rPr>
          <w:rFonts w:ascii="Times New Roman" w:eastAsia="Arial Unicode MS" w:hAnsi="Times New Roman" w:cs="Times New Roman"/>
          <w:b/>
          <w:sz w:val="24"/>
          <w:szCs w:val="24"/>
          <w:lang w:val="es-ES" w:eastAsia="ar-SA"/>
        </w:rPr>
        <w:t>:</w:t>
      </w:r>
      <w:r w:rsidRPr="00AC4971">
        <w:rPr>
          <w:rFonts w:ascii="Times New Roman" w:eastAsia="Arial Unicode MS" w:hAnsi="Times New Roman" w:cs="Times New Roman"/>
          <w:sz w:val="24"/>
          <w:szCs w:val="24"/>
          <w:lang w:val="es-ES" w:eastAsia="ar-SA"/>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14:paraId="539F3EC1" w14:textId="0C3BE14D" w:rsidR="00AC4971" w:rsidRPr="00AC4971" w:rsidRDefault="00AC4971" w:rsidP="00AC4971">
      <w:pPr>
        <w:spacing w:line="240" w:lineRule="auto"/>
        <w:jc w:val="both"/>
        <w:rPr>
          <w:rFonts w:ascii="Times New Roman" w:eastAsia="Arial Unicode MS" w:hAnsi="Times New Roman" w:cs="Times New Roman"/>
          <w:b/>
          <w:sz w:val="24"/>
          <w:szCs w:val="24"/>
          <w:lang w:val="es-ES" w:eastAsia="ar-SA"/>
        </w:rPr>
      </w:pPr>
      <w:r w:rsidRPr="00AC4971">
        <w:rPr>
          <w:rFonts w:ascii="Times New Roman" w:eastAsia="Arial Unicode MS" w:hAnsi="Times New Roman" w:cs="Times New Roman"/>
          <w:b/>
          <w:sz w:val="24"/>
          <w:szCs w:val="24"/>
          <w:lang w:val="es-ES" w:eastAsia="ar-SA"/>
        </w:rPr>
        <w:t>RESUELVE:</w:t>
      </w:r>
    </w:p>
    <w:p w14:paraId="1F37674E" w14:textId="77777777" w:rsidR="00AC4971" w:rsidRPr="00AC4971" w:rsidRDefault="00AC4971" w:rsidP="00AC4971">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Declarar INFUNDADO el Recurso de Impugnación interpuesto y, por consiguiente, CONFIRMAR la Resolución Nro. 195/24.</w:t>
      </w:r>
    </w:p>
    <w:p w14:paraId="51EDAB4B" w14:textId="3A3ECC95" w:rsidR="00B32E8A" w:rsidRPr="00F40531" w:rsidRDefault="0091528B" w:rsidP="007F2000">
      <w:pPr>
        <w:spacing w:line="240" w:lineRule="auto"/>
        <w:jc w:val="right"/>
        <w:rPr>
          <w:rFonts w:ascii="Times New Roman" w:hAnsi="Times New Roman" w:cs="Times New Roman"/>
          <w:sz w:val="24"/>
          <w:szCs w:val="24"/>
          <w:lang w:val="es-PE"/>
        </w:rPr>
      </w:pPr>
      <w:r w:rsidRPr="00F40531">
        <w:rPr>
          <w:rFonts w:ascii="Times New Roman" w:eastAsia="Arial Unicode MS" w:hAnsi="Times New Roman" w:cs="Times New Roman"/>
          <w:sz w:val="24"/>
          <w:szCs w:val="24"/>
          <w:lang w:val="es-PE" w:eastAsia="ar-SA"/>
        </w:rPr>
        <w:t>Lima,</w:t>
      </w:r>
      <w:r w:rsidR="00774D05" w:rsidRPr="00F40531">
        <w:rPr>
          <w:rFonts w:ascii="Times New Roman" w:eastAsia="Arial Unicode MS" w:hAnsi="Times New Roman" w:cs="Times New Roman"/>
          <w:sz w:val="24"/>
          <w:szCs w:val="24"/>
          <w:lang w:val="es-PE" w:eastAsia="ar-SA"/>
        </w:rPr>
        <w:t xml:space="preserve"> </w:t>
      </w:r>
      <w:r w:rsidR="00744789">
        <w:rPr>
          <w:rFonts w:ascii="Times New Roman" w:eastAsia="Arial Unicode MS" w:hAnsi="Times New Roman" w:cs="Times New Roman"/>
          <w:sz w:val="24"/>
          <w:szCs w:val="24"/>
          <w:lang w:val="es-PE" w:eastAsia="ar-SA"/>
        </w:rPr>
        <w:t>17</w:t>
      </w:r>
      <w:r w:rsidR="00570ED6" w:rsidRPr="00F40531">
        <w:rPr>
          <w:rFonts w:ascii="Times New Roman" w:eastAsia="Arial Unicode MS" w:hAnsi="Times New Roman" w:cs="Times New Roman"/>
          <w:sz w:val="24"/>
          <w:szCs w:val="24"/>
          <w:lang w:val="es-PE" w:eastAsia="ar-SA"/>
        </w:rPr>
        <w:t xml:space="preserve"> </w:t>
      </w:r>
      <w:r w:rsidR="00707C99" w:rsidRPr="00F40531">
        <w:rPr>
          <w:rFonts w:ascii="Times New Roman" w:eastAsia="Arial Unicode MS" w:hAnsi="Times New Roman" w:cs="Times New Roman"/>
          <w:sz w:val="24"/>
          <w:szCs w:val="24"/>
          <w:lang w:val="es-PE" w:eastAsia="ar-SA"/>
        </w:rPr>
        <w:t xml:space="preserve">de </w:t>
      </w:r>
      <w:r w:rsidR="00744789">
        <w:rPr>
          <w:rFonts w:ascii="Times New Roman" w:eastAsia="Arial Unicode MS" w:hAnsi="Times New Roman" w:cs="Times New Roman"/>
          <w:sz w:val="24"/>
          <w:szCs w:val="24"/>
          <w:lang w:val="es-PE" w:eastAsia="ar-SA"/>
        </w:rPr>
        <w:t>marzo</w:t>
      </w:r>
      <w:r w:rsidR="002F478E" w:rsidRPr="00F40531">
        <w:rPr>
          <w:rFonts w:ascii="Times New Roman" w:eastAsia="Arial Unicode MS" w:hAnsi="Times New Roman" w:cs="Times New Roman"/>
          <w:sz w:val="24"/>
          <w:szCs w:val="24"/>
          <w:lang w:val="es-PE" w:eastAsia="ar-SA"/>
        </w:rPr>
        <w:t xml:space="preserve"> </w:t>
      </w:r>
      <w:r w:rsidR="00F06498" w:rsidRPr="00F40531">
        <w:rPr>
          <w:rFonts w:ascii="Times New Roman" w:eastAsia="Arial Unicode MS" w:hAnsi="Times New Roman" w:cs="Times New Roman"/>
          <w:sz w:val="24"/>
          <w:szCs w:val="24"/>
          <w:lang w:val="es-PE" w:eastAsia="ar-SA"/>
        </w:rPr>
        <w:t>de 202</w:t>
      </w:r>
      <w:r w:rsidR="00AE4D37" w:rsidRPr="00F40531">
        <w:rPr>
          <w:rFonts w:ascii="Times New Roman" w:eastAsia="Arial Unicode MS" w:hAnsi="Times New Roman" w:cs="Times New Roman"/>
          <w:sz w:val="24"/>
          <w:szCs w:val="24"/>
          <w:lang w:val="es-PE" w:eastAsia="ar-SA"/>
        </w:rPr>
        <w:t>5</w:t>
      </w:r>
      <w:r w:rsidR="00707C99" w:rsidRPr="00F40531">
        <w:rPr>
          <w:rFonts w:ascii="Times New Roman" w:eastAsia="Times New Roman" w:hAnsi="Times New Roman" w:cs="Times New Roman"/>
          <w:sz w:val="24"/>
          <w:szCs w:val="24"/>
          <w:lang w:val="es-PE" w:eastAsia="ar-SA"/>
        </w:rPr>
        <w:t xml:space="preserve"> </w:t>
      </w:r>
    </w:p>
    <w:p w14:paraId="1B6988F6" w14:textId="77777777" w:rsidR="00A323F4" w:rsidRPr="00F40531" w:rsidRDefault="00A323F4" w:rsidP="00A323F4">
      <w:pPr>
        <w:spacing w:after="0" w:line="240" w:lineRule="auto"/>
        <w:jc w:val="both"/>
        <w:rPr>
          <w:rFonts w:ascii="Times New Roman" w:hAnsi="Times New Roman" w:cs="Times New Roman"/>
          <w:b/>
          <w:bCs/>
          <w:i/>
          <w:iCs/>
          <w:sz w:val="24"/>
          <w:szCs w:val="24"/>
          <w:lang w:val="es-PE"/>
        </w:rPr>
      </w:pPr>
      <w:r w:rsidRPr="00F4053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AB80116" w14:textId="77777777" w:rsidR="00A323F4" w:rsidRPr="00F40531" w:rsidRDefault="00A323F4" w:rsidP="00A323F4">
      <w:pPr>
        <w:spacing w:after="0" w:line="360" w:lineRule="auto"/>
        <w:jc w:val="both"/>
        <w:rPr>
          <w:rFonts w:ascii="Times New Roman" w:hAnsi="Times New Roman" w:cs="Times New Roman"/>
          <w:b/>
          <w:bCs/>
          <w:i/>
          <w:iCs/>
          <w:sz w:val="24"/>
          <w:szCs w:val="24"/>
          <w:lang w:val="es-PE"/>
        </w:rPr>
      </w:pPr>
    </w:p>
    <w:p w14:paraId="220AA7AD" w14:textId="133296B2" w:rsidR="007543CD" w:rsidRPr="00F40531" w:rsidRDefault="00543015" w:rsidP="007543CD">
      <w:pPr>
        <w:spacing w:after="0" w:line="360" w:lineRule="auto"/>
        <w:jc w:val="center"/>
        <w:rPr>
          <w:rFonts w:ascii="Times New Roman" w:hAnsi="Times New Roman" w:cs="Times New Roman"/>
          <w:b/>
          <w:bCs/>
          <w:sz w:val="24"/>
          <w:szCs w:val="24"/>
          <w:lang w:val="es-PE"/>
        </w:rPr>
      </w:pPr>
      <w:r w:rsidRPr="00F40531">
        <w:rPr>
          <w:rFonts w:ascii="Times New Roman" w:hAnsi="Times New Roman" w:cs="Times New Roman"/>
          <w:b/>
          <w:bCs/>
          <w:sz w:val="24"/>
          <w:szCs w:val="24"/>
          <w:lang w:val="es-PE"/>
        </w:rPr>
        <w:t xml:space="preserve">María Eugenia Valdez Fernández Baca </w:t>
      </w:r>
      <w:r w:rsidR="007543CD" w:rsidRPr="00F40531">
        <w:rPr>
          <w:rFonts w:ascii="Times New Roman" w:hAnsi="Times New Roman" w:cs="Times New Roman"/>
          <w:b/>
          <w:bCs/>
          <w:sz w:val="24"/>
          <w:szCs w:val="24"/>
          <w:lang w:val="es-PE"/>
        </w:rPr>
        <w:t>– Presidente</w:t>
      </w:r>
    </w:p>
    <w:p w14:paraId="0DCF6E18" w14:textId="56F1BED3" w:rsidR="007543CD" w:rsidRPr="00F40531" w:rsidRDefault="00543015" w:rsidP="007543CD">
      <w:pPr>
        <w:spacing w:after="0" w:line="360" w:lineRule="auto"/>
        <w:jc w:val="center"/>
        <w:rPr>
          <w:rFonts w:ascii="Times New Roman" w:hAnsi="Times New Roman" w:cs="Times New Roman"/>
          <w:b/>
          <w:bCs/>
          <w:sz w:val="24"/>
          <w:szCs w:val="24"/>
          <w:lang w:val="es-PE"/>
        </w:rPr>
      </w:pPr>
      <w:r w:rsidRPr="00F40531">
        <w:rPr>
          <w:rFonts w:ascii="Times New Roman" w:hAnsi="Times New Roman" w:cs="Times New Roman"/>
          <w:b/>
          <w:bCs/>
          <w:sz w:val="24"/>
          <w:szCs w:val="24"/>
          <w:lang w:val="es-PE"/>
        </w:rPr>
        <w:t xml:space="preserve">Rolando Eyzaguirre Maccan </w:t>
      </w:r>
      <w:r w:rsidR="007543CD" w:rsidRPr="00F40531">
        <w:rPr>
          <w:rFonts w:ascii="Times New Roman" w:hAnsi="Times New Roman" w:cs="Times New Roman"/>
          <w:b/>
          <w:bCs/>
          <w:sz w:val="24"/>
          <w:szCs w:val="24"/>
          <w:lang w:val="es-PE"/>
        </w:rPr>
        <w:t>– Vocal</w:t>
      </w:r>
    </w:p>
    <w:p w14:paraId="69BFE54F" w14:textId="77777777" w:rsidR="007543CD" w:rsidRPr="00F40531" w:rsidRDefault="007543CD" w:rsidP="007543CD">
      <w:pPr>
        <w:spacing w:after="0" w:line="360" w:lineRule="auto"/>
        <w:jc w:val="center"/>
        <w:rPr>
          <w:rFonts w:ascii="Times New Roman" w:hAnsi="Times New Roman" w:cs="Times New Roman"/>
          <w:sz w:val="24"/>
          <w:szCs w:val="24"/>
          <w:lang w:val="es-PE"/>
        </w:rPr>
      </w:pPr>
      <w:r w:rsidRPr="00F40531">
        <w:rPr>
          <w:rFonts w:ascii="Times New Roman" w:hAnsi="Times New Roman" w:cs="Times New Roman"/>
          <w:b/>
          <w:bCs/>
          <w:sz w:val="24"/>
          <w:szCs w:val="24"/>
          <w:lang w:val="es-PE"/>
        </w:rPr>
        <w:t>Gonzalo Abad del Busto – Vocal</w:t>
      </w:r>
    </w:p>
    <w:p w14:paraId="412CCBAA" w14:textId="77777777" w:rsidR="00986F0C" w:rsidRPr="00F40531"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FA1290"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FA1290"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FA1290"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85C30" w14:textId="77777777" w:rsidR="003D2B30" w:rsidRDefault="003D2B30" w:rsidP="00784355">
      <w:pPr>
        <w:spacing w:after="0" w:line="240" w:lineRule="auto"/>
      </w:pPr>
      <w:r>
        <w:separator/>
      </w:r>
    </w:p>
  </w:endnote>
  <w:endnote w:type="continuationSeparator" w:id="0">
    <w:p w14:paraId="2FC1AA34" w14:textId="77777777" w:rsidR="003D2B30" w:rsidRDefault="003D2B30"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B0AB5" w14:textId="77777777" w:rsidR="003D2B30" w:rsidRDefault="003D2B30" w:rsidP="00784355">
      <w:pPr>
        <w:spacing w:after="0" w:line="240" w:lineRule="auto"/>
      </w:pPr>
      <w:r>
        <w:separator/>
      </w:r>
    </w:p>
  </w:footnote>
  <w:footnote w:type="continuationSeparator" w:id="0">
    <w:p w14:paraId="4B1E6C7D" w14:textId="77777777" w:rsidR="003D2B30" w:rsidRDefault="003D2B30"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4"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9"/>
  </w:num>
  <w:num w:numId="3" w16cid:durableId="333261791">
    <w:abstractNumId w:val="17"/>
  </w:num>
  <w:num w:numId="4" w16cid:durableId="1770345525">
    <w:abstractNumId w:val="16"/>
  </w:num>
  <w:num w:numId="5" w16cid:durableId="1816144979">
    <w:abstractNumId w:val="18"/>
  </w:num>
  <w:num w:numId="6" w16cid:durableId="1304313350">
    <w:abstractNumId w:val="0"/>
  </w:num>
  <w:num w:numId="7" w16cid:durableId="16682880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1"/>
  </w:num>
  <w:num w:numId="17" w16cid:durableId="17998823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7BFD"/>
    <w:rsid w:val="0019385F"/>
    <w:rsid w:val="00196365"/>
    <w:rsid w:val="001965DE"/>
    <w:rsid w:val="001A008A"/>
    <w:rsid w:val="001A3395"/>
    <w:rsid w:val="001A43EC"/>
    <w:rsid w:val="001A44E1"/>
    <w:rsid w:val="001A5178"/>
    <w:rsid w:val="001A555F"/>
    <w:rsid w:val="001A57AC"/>
    <w:rsid w:val="001B1E59"/>
    <w:rsid w:val="001B3EE9"/>
    <w:rsid w:val="001B58A3"/>
    <w:rsid w:val="001B75E0"/>
    <w:rsid w:val="001C052B"/>
    <w:rsid w:val="001C3A70"/>
    <w:rsid w:val="001D0EED"/>
    <w:rsid w:val="001D59D9"/>
    <w:rsid w:val="001D6136"/>
    <w:rsid w:val="001E119C"/>
    <w:rsid w:val="001E1C8C"/>
    <w:rsid w:val="001E6657"/>
    <w:rsid w:val="00201C0D"/>
    <w:rsid w:val="00204407"/>
    <w:rsid w:val="00205C9E"/>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6367"/>
    <w:rsid w:val="002D0DB0"/>
    <w:rsid w:val="002D3B01"/>
    <w:rsid w:val="002D4134"/>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581F"/>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5D81"/>
    <w:rsid w:val="005A782D"/>
    <w:rsid w:val="005B2924"/>
    <w:rsid w:val="005C3266"/>
    <w:rsid w:val="005C524E"/>
    <w:rsid w:val="005C5AB9"/>
    <w:rsid w:val="005C6AB8"/>
    <w:rsid w:val="005D3E68"/>
    <w:rsid w:val="005D5F88"/>
    <w:rsid w:val="005E0EC2"/>
    <w:rsid w:val="005E17C2"/>
    <w:rsid w:val="005E2CBE"/>
    <w:rsid w:val="005E4870"/>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A7"/>
    <w:rsid w:val="00744447"/>
    <w:rsid w:val="00744789"/>
    <w:rsid w:val="007543CD"/>
    <w:rsid w:val="00761F1D"/>
    <w:rsid w:val="007703E9"/>
    <w:rsid w:val="007708AB"/>
    <w:rsid w:val="00771625"/>
    <w:rsid w:val="00772376"/>
    <w:rsid w:val="00774D05"/>
    <w:rsid w:val="00775711"/>
    <w:rsid w:val="00781235"/>
    <w:rsid w:val="00784355"/>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E7310"/>
    <w:rsid w:val="007F2000"/>
    <w:rsid w:val="007F38DF"/>
    <w:rsid w:val="007F74F1"/>
    <w:rsid w:val="008010D0"/>
    <w:rsid w:val="008020A1"/>
    <w:rsid w:val="00816B3F"/>
    <w:rsid w:val="0081754D"/>
    <w:rsid w:val="008177B9"/>
    <w:rsid w:val="00817F65"/>
    <w:rsid w:val="00821801"/>
    <w:rsid w:val="00827313"/>
    <w:rsid w:val="00836831"/>
    <w:rsid w:val="00837DDE"/>
    <w:rsid w:val="00845093"/>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47F3"/>
    <w:rsid w:val="008B5C61"/>
    <w:rsid w:val="008B61EE"/>
    <w:rsid w:val="008B69A3"/>
    <w:rsid w:val="008B6A09"/>
    <w:rsid w:val="008B760D"/>
    <w:rsid w:val="008D1D39"/>
    <w:rsid w:val="008D5049"/>
    <w:rsid w:val="008D6DDF"/>
    <w:rsid w:val="008D721C"/>
    <w:rsid w:val="008E33FD"/>
    <w:rsid w:val="008F1161"/>
    <w:rsid w:val="008F479E"/>
    <w:rsid w:val="009011F1"/>
    <w:rsid w:val="00901835"/>
    <w:rsid w:val="009024E8"/>
    <w:rsid w:val="00902B7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001E"/>
    <w:rsid w:val="00DA0540"/>
    <w:rsid w:val="00DA2840"/>
    <w:rsid w:val="00DA4030"/>
    <w:rsid w:val="00DB15FD"/>
    <w:rsid w:val="00DB3DD5"/>
    <w:rsid w:val="00DB5079"/>
    <w:rsid w:val="00DB58EC"/>
    <w:rsid w:val="00DB7347"/>
    <w:rsid w:val="00DB74D5"/>
    <w:rsid w:val="00DB78F3"/>
    <w:rsid w:val="00DC399B"/>
    <w:rsid w:val="00DD0F92"/>
    <w:rsid w:val="00DD109C"/>
    <w:rsid w:val="00DD5E2B"/>
    <w:rsid w:val="00DE585A"/>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0531"/>
    <w:rsid w:val="00F42F97"/>
    <w:rsid w:val="00F439B5"/>
    <w:rsid w:val="00F52E75"/>
    <w:rsid w:val="00F54C75"/>
    <w:rsid w:val="00F57DED"/>
    <w:rsid w:val="00F6058F"/>
    <w:rsid w:val="00F60A18"/>
    <w:rsid w:val="00F63F49"/>
    <w:rsid w:val="00F65837"/>
    <w:rsid w:val="00F713A4"/>
    <w:rsid w:val="00F72D00"/>
    <w:rsid w:val="00F7567C"/>
    <w:rsid w:val="00F76FC7"/>
    <w:rsid w:val="00F80B95"/>
    <w:rsid w:val="00F81150"/>
    <w:rsid w:val="00F833B7"/>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E38F0"/>
    <w:rsid w:val="00FE43A9"/>
    <w:rsid w:val="00FE6588"/>
    <w:rsid w:val="00FE73F3"/>
    <w:rsid w:val="00FF11AC"/>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12FE483C-300D-4B8C-A5B9-336A9ABD0148}"/>
</file>

<file path=customXml/itemProps3.xml><?xml version="1.0" encoding="utf-8"?>
<ds:datastoreItem xmlns:ds="http://schemas.openxmlformats.org/officeDocument/2006/customXml" ds:itemID="{762939C4-069A-4E6F-B4E8-AABB2B54165A}"/>
</file>

<file path=customXml/itemProps4.xml><?xml version="1.0" encoding="utf-8"?>
<ds:datastoreItem xmlns:ds="http://schemas.openxmlformats.org/officeDocument/2006/customXml" ds:itemID="{C1AD5997-AF8B-4EFA-B806-2CDF9FBE9A37}"/>
</file>

<file path=docProps/app.xml><?xml version="1.0" encoding="utf-8"?>
<Properties xmlns="http://schemas.openxmlformats.org/officeDocument/2006/extended-properties" xmlns:vt="http://schemas.openxmlformats.org/officeDocument/2006/docPropsVTypes">
  <Template>Normal</Template>
  <TotalTime>226</TotalTime>
  <Pages>3</Pages>
  <Words>1134</Words>
  <Characters>6238</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285</cp:revision>
  <cp:lastPrinted>2025-03-17T20:54:00Z</cp:lastPrinted>
  <dcterms:created xsi:type="dcterms:W3CDTF">2023-02-14T22:37:00Z</dcterms:created>
  <dcterms:modified xsi:type="dcterms:W3CDTF">2025-03-17T20:54:00Z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