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79039B85" w:rsidR="002D4134" w:rsidRPr="00627505" w:rsidRDefault="00201C0D" w:rsidP="00F40531">
      <w:pPr>
        <w:spacing w:after="0" w:line="240" w:lineRule="auto"/>
        <w:jc w:val="center"/>
        <w:rPr>
          <w:rFonts w:ascii="Times New Roman" w:hAnsi="Times New Roman" w:cs="Times New Roman"/>
          <w:b/>
          <w:sz w:val="24"/>
          <w:szCs w:val="24"/>
          <w:lang w:val="es-PE" w:eastAsia="ar-SA"/>
        </w:rPr>
      </w:pPr>
      <w:r w:rsidRPr="00627505">
        <w:rPr>
          <w:rFonts w:ascii="Times New Roman" w:hAnsi="Times New Roman" w:cs="Times New Roman"/>
          <w:b/>
          <w:sz w:val="24"/>
          <w:szCs w:val="24"/>
          <w:lang w:val="es-PE" w:eastAsia="ar-SA"/>
        </w:rPr>
        <w:t xml:space="preserve">RESOLUCIÓN DE RECURSO IMPUGNATIVO </w:t>
      </w:r>
      <w:r w:rsidR="00707C99" w:rsidRPr="00627505">
        <w:rPr>
          <w:rFonts w:ascii="Times New Roman" w:hAnsi="Times New Roman" w:cs="Times New Roman"/>
          <w:b/>
          <w:sz w:val="24"/>
          <w:szCs w:val="24"/>
          <w:lang w:val="es-PE" w:eastAsia="ar-SA"/>
        </w:rPr>
        <w:t xml:space="preserve">N° </w:t>
      </w:r>
      <w:r w:rsidR="00516293" w:rsidRPr="00627505">
        <w:rPr>
          <w:rFonts w:ascii="Times New Roman" w:hAnsi="Times New Roman" w:cs="Times New Roman"/>
          <w:b/>
          <w:sz w:val="24"/>
          <w:szCs w:val="24"/>
          <w:lang w:val="es-PE" w:eastAsia="ar-SA"/>
        </w:rPr>
        <w:t>0</w:t>
      </w:r>
      <w:r w:rsidR="00D6267A" w:rsidRPr="00627505">
        <w:rPr>
          <w:rFonts w:ascii="Times New Roman" w:hAnsi="Times New Roman" w:cs="Times New Roman"/>
          <w:b/>
          <w:sz w:val="24"/>
          <w:szCs w:val="24"/>
          <w:lang w:val="es-PE" w:eastAsia="ar-SA"/>
        </w:rPr>
        <w:t>1</w:t>
      </w:r>
      <w:r w:rsidR="002C2CEC">
        <w:rPr>
          <w:rFonts w:ascii="Times New Roman" w:hAnsi="Times New Roman" w:cs="Times New Roman"/>
          <w:b/>
          <w:sz w:val="24"/>
          <w:szCs w:val="24"/>
          <w:lang w:val="es-PE" w:eastAsia="ar-SA"/>
        </w:rPr>
        <w:t>2</w:t>
      </w:r>
      <w:r w:rsidR="00C671F5" w:rsidRPr="00627505">
        <w:rPr>
          <w:rFonts w:ascii="Times New Roman" w:hAnsi="Times New Roman" w:cs="Times New Roman"/>
          <w:b/>
          <w:sz w:val="24"/>
          <w:szCs w:val="24"/>
          <w:lang w:val="es-PE" w:eastAsia="ar-SA"/>
        </w:rPr>
        <w:t>/2</w:t>
      </w:r>
      <w:r w:rsidR="00A74F96" w:rsidRPr="00627505">
        <w:rPr>
          <w:rFonts w:ascii="Times New Roman" w:hAnsi="Times New Roman" w:cs="Times New Roman"/>
          <w:b/>
          <w:sz w:val="24"/>
          <w:szCs w:val="24"/>
          <w:lang w:val="es-PE" w:eastAsia="ar-SA"/>
        </w:rPr>
        <w:t>5</w:t>
      </w:r>
    </w:p>
    <w:p w14:paraId="41B4468D" w14:textId="77777777" w:rsidR="00F40531" w:rsidRPr="00627505" w:rsidRDefault="00F40531" w:rsidP="00F40531">
      <w:pPr>
        <w:spacing w:after="0" w:line="240" w:lineRule="auto"/>
        <w:jc w:val="center"/>
        <w:rPr>
          <w:rFonts w:ascii="Times New Roman" w:hAnsi="Times New Roman" w:cs="Times New Roman"/>
          <w:b/>
          <w:sz w:val="24"/>
          <w:szCs w:val="24"/>
          <w:lang w:val="es-PE" w:eastAsia="ar-SA"/>
        </w:rPr>
      </w:pPr>
    </w:p>
    <w:p w14:paraId="2B3972D0" w14:textId="77777777" w:rsidR="000E3730" w:rsidRPr="000E3730" w:rsidRDefault="000E3730" w:rsidP="000E3730">
      <w:pPr>
        <w:spacing w:line="240" w:lineRule="auto"/>
        <w:jc w:val="both"/>
        <w:rPr>
          <w:rFonts w:ascii="Times New Roman" w:eastAsia="Arial Unicode MS" w:hAnsi="Times New Roman" w:cs="Times New Roman"/>
          <w:b/>
          <w:bCs/>
          <w:sz w:val="24"/>
          <w:szCs w:val="24"/>
          <w:lang w:val="es-MX" w:eastAsia="ar-SA"/>
        </w:rPr>
      </w:pPr>
      <w:r w:rsidRPr="000E3730">
        <w:rPr>
          <w:rFonts w:ascii="Times New Roman" w:eastAsia="Arial Unicode MS" w:hAnsi="Times New Roman" w:cs="Times New Roman"/>
          <w:b/>
          <w:bCs/>
          <w:sz w:val="24"/>
          <w:szCs w:val="24"/>
          <w:lang w:val="es-MX" w:eastAsia="ar-SA"/>
        </w:rPr>
        <w:t>Vistos:</w:t>
      </w:r>
    </w:p>
    <w:p w14:paraId="69A3D985" w14:textId="054DD832" w:rsidR="000E3730" w:rsidRPr="000E3730" w:rsidRDefault="000E3730" w:rsidP="000E3730">
      <w:pPr>
        <w:spacing w:line="240" w:lineRule="auto"/>
        <w:jc w:val="both"/>
        <w:rPr>
          <w:rFonts w:ascii="Times New Roman" w:eastAsia="Arial Unicode MS" w:hAnsi="Times New Roman" w:cs="Times New Roman"/>
          <w:b/>
          <w:bCs/>
          <w:sz w:val="24"/>
          <w:szCs w:val="24"/>
          <w:lang w:val="es-MX" w:eastAsia="ar-SA"/>
        </w:rPr>
      </w:pPr>
      <w:r>
        <w:rPr>
          <w:rFonts w:ascii="Times New Roman" w:hAnsi="Times New Roman"/>
          <w:sz w:val="24"/>
        </w:rPr>
        <w:t xml:space="preserve">El Recurso de Impugnación presentado por doña………………… ………………… respecto de la Resolución Nº 014-2025 de fecha 05 de febrero de 2024, de julio de 2024, que declaró INFUNDADA la reclamación interpuesta contra ………………… respecto a la póliza de Desgravamen Ripley Tarjeta de Crédito Póliza N° ………………… </w:t>
      </w:r>
    </w:p>
    <w:bookmarkEnd w:id="0"/>
    <w:p w14:paraId="2665B819" w14:textId="77777777" w:rsidR="000E3730" w:rsidRPr="000E3730" w:rsidRDefault="000E3730" w:rsidP="000E3730">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la reclamante manifiesta su disconformidad con lo resuelto señalando resumidamente lo siguiente: a) la Resolución Impugnada adolece de vicios en la motivación, pues no menciona cuál es la norma que impide imputar un pago inferior al monto mínimo al pago de la prima de seguro, tanto más cuando el cálculo del monto de la prima de seguro se hace sobre saldos deudores: e) se esta vulnerando el debido proceso, y se genera una falta de confianza respecto de una correcta administración de justicia de la entidad encargada de la defensa del asegurado. </w:t>
      </w:r>
    </w:p>
    <w:p w14:paraId="6A8BC14A" w14:textId="77777777" w:rsidR="000E3730" w:rsidRPr="000E3730" w:rsidRDefault="000E3730" w:rsidP="000E3730">
      <w:pPr>
        <w:spacing w:line="240" w:lineRule="auto"/>
        <w:jc w:val="both"/>
        <w:rPr>
          <w:rFonts w:ascii="Times New Roman" w:eastAsia="Arial Unicode MS" w:hAnsi="Times New Roman" w:cs="Times New Roman"/>
          <w:bCs/>
          <w:sz w:val="24"/>
          <w:szCs w:val="24"/>
          <w:lang w:val="es-MX" w:eastAsia="ar-SA"/>
        </w:rPr>
      </w:pPr>
      <w:r w:rsidRPr="000E3730">
        <w:rPr>
          <w:rFonts w:ascii="Times New Roman" w:eastAsia="Arial Unicode MS" w:hAnsi="Times New Roman" w:cs="Times New Roman"/>
          <w:bCs/>
          <w:sz w:val="24"/>
          <w:szCs w:val="24"/>
          <w:lang w:val="es-MX" w:eastAsia="ar-SA"/>
        </w:rPr>
        <w:t>Que, habiéndose corrido traslado de la impugnación a la aseguradora, esta absuelve el traslado señalando resumidamente lo siguiente: a) carece de sustento pretender que la aseguradora otorgue cobertura por una póliza que se encuentra extinta por falta de pago; b) el contratante es el responsable del pago de las primas y la consecuencia de su falta de pago es extinción de la póliza; c) el pago de la cuota de la tarjeta de crédito se realiza por separado, siendo que el monto parcial abonado se realiza por la cuota de la tarjeta y no por la prima de seguro de desgravamen; d) la reclamante no ha ofrecido medio probatorio alguno que acredite que pagó las primas del seguro por el monto de S/15.90; e) añade que Ripley ha confirmado que los pagos realizados por el asegurado en marzo de 2024, fueron efectuados por concepto de las cuotas de la tarjeta y que no incluyen el pago del desgravamen, adjuntan el correo correspondiente que acredita dicha afirmación; lo que acredita que el asegurado no realizó el pago de las primas de seguro.</w:t>
      </w:r>
    </w:p>
    <w:p w14:paraId="5575BB15" w14:textId="77777777" w:rsidR="000E3730" w:rsidRPr="000E3730" w:rsidRDefault="000E3730" w:rsidP="000E3730">
      <w:pPr>
        <w:spacing w:line="240" w:lineRule="auto"/>
        <w:jc w:val="both"/>
        <w:rPr>
          <w:rFonts w:ascii="Times New Roman" w:eastAsia="Arial Unicode MS" w:hAnsi="Times New Roman" w:cs="Times New Roman"/>
          <w:bCs/>
          <w:sz w:val="24"/>
          <w:szCs w:val="24"/>
          <w:lang w:val="es-MX" w:eastAsia="ar-SA"/>
        </w:rPr>
      </w:pPr>
      <w:r w:rsidRPr="000E3730">
        <w:rPr>
          <w:rFonts w:ascii="Times New Roman" w:eastAsia="Arial Unicode MS" w:hAnsi="Times New Roman" w:cs="Times New Roman"/>
          <w:bCs/>
          <w:sz w:val="24"/>
          <w:szCs w:val="24"/>
          <w:lang w:val="es-MX" w:eastAsia="ar-SA"/>
        </w:rPr>
        <w:t xml:space="preserve">Que, la recurrente, ha presentado escrito adicional señalando que no es cierto que su padre realizaba el pago de las primas del seguro de desgravamen por separado, sino que ellos figuraban como un cargo en el estado de cuenta de la tarjeta de crédito. Asimismo solicita se incluya a Ripley a fin que exhiba el consentimiento informado suscrito por su padre mediante el cual haya aceptado realizar cancelaciones en forma separada; </w:t>
      </w:r>
    </w:p>
    <w:p w14:paraId="5D355600" w14:textId="77777777" w:rsidR="000E3730" w:rsidRPr="000E3730" w:rsidRDefault="000E3730" w:rsidP="000E3730">
      <w:pPr>
        <w:spacing w:line="240" w:lineRule="auto"/>
        <w:jc w:val="both"/>
        <w:rPr>
          <w:rFonts w:ascii="Times New Roman" w:eastAsia="Arial Unicode MS" w:hAnsi="Times New Roman" w:cs="Times New Roman"/>
          <w:bCs/>
          <w:sz w:val="24"/>
          <w:szCs w:val="24"/>
          <w:lang w:val="es-MX" w:eastAsia="ar-SA"/>
        </w:rPr>
      </w:pPr>
      <w:r w:rsidRPr="000E3730">
        <w:rPr>
          <w:rFonts w:ascii="Times New Roman" w:eastAsia="Arial Unicode MS" w:hAnsi="Times New Roman" w:cs="Times New Roman"/>
          <w:b/>
          <w:bCs/>
          <w:sz w:val="24"/>
          <w:szCs w:val="24"/>
          <w:lang w:val="es-MX" w:eastAsia="ar-SA"/>
        </w:rPr>
        <w:t>Considerando:</w:t>
      </w:r>
    </w:p>
    <w:p w14:paraId="367C0670" w14:textId="77777777" w:rsidR="000E3730" w:rsidRDefault="000E3730" w:rsidP="000E3730">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6996535A" w14:textId="06EC68C5" w:rsidR="000E3730" w:rsidRPr="000E3730" w:rsidRDefault="000E3730" w:rsidP="000E3730">
      <w:pPr>
        <w:spacing w:line="240" w:lineRule="auto"/>
        <w:jc w:val="both"/>
        <w:rPr>
          <w:rFonts w:ascii="Times New Roman" w:eastAsia="Arial Unicode MS" w:hAnsi="Times New Roman" w:cs="Times New Roman"/>
          <w:bCs/>
          <w:sz w:val="24"/>
          <w:szCs w:val="24"/>
          <w:lang w:val="es-PE" w:eastAsia="ar-SA"/>
        </w:rPr>
      </w:pPr>
      <w:r w:rsidRPr="000E3730">
        <w:rPr>
          <w:rFonts w:ascii="Times New Roman" w:eastAsia="Arial Unicode MS" w:hAnsi="Times New Roman" w:cs="Times New Roman"/>
          <w:sz w:val="24"/>
          <w:szCs w:val="24"/>
          <w:lang w:val="es-PE" w:eastAsia="ar-SA"/>
        </w:rPr>
        <w:t>Que, la reclamante solicita se incluya al banco Ripley en este proceso. Al respecto este colegiado solo es competente para ver reclamos contra compañías de seguros, no pudiendo incluir dentro del proceso a terceros que no sean compañías de seguros.</w:t>
      </w:r>
    </w:p>
    <w:p w14:paraId="47088806"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p>
    <w:p w14:paraId="2D573056" w14:textId="77777777" w:rsidR="000E3730" w:rsidRPr="000E3730" w:rsidRDefault="000E3730" w:rsidP="000E3730">
      <w:pPr>
        <w:spacing w:line="240" w:lineRule="auto"/>
        <w:jc w:val="both"/>
        <w:rPr>
          <w:rFonts w:ascii="Times New Roman" w:eastAsia="Arial Unicode MS" w:hAnsi="Times New Roman" w:cs="Times New Roman"/>
          <w:sz w:val="24"/>
          <w:szCs w:val="24"/>
          <w:lang w:val="es-419" w:eastAsia="ar-SA"/>
        </w:rPr>
      </w:pPr>
      <w:r w:rsidRPr="000E3730">
        <w:rPr>
          <w:rFonts w:ascii="Times New Roman" w:eastAsia="Arial Unicode MS" w:hAnsi="Times New Roman" w:cs="Times New Roman"/>
          <w:sz w:val="24"/>
          <w:szCs w:val="24"/>
          <w:lang w:val="es-PE" w:eastAsia="ar-SA"/>
        </w:rPr>
        <w:lastRenderedPageBreak/>
        <w:t>En efecto, es conveniente precisar que la Defensoría del Asegurado</w:t>
      </w:r>
      <w:r w:rsidRPr="000E3730">
        <w:rPr>
          <w:rFonts w:ascii="Times New Roman" w:eastAsia="Arial Unicode MS" w:hAnsi="Times New Roman" w:cs="Times New Roman"/>
          <w:sz w:val="24"/>
          <w:szCs w:val="24"/>
          <w:lang w:val="es-419" w:eastAsia="ar-SA"/>
        </w:rPr>
        <w:t xml:space="preserve"> (DEFASEG) se constituye como un mecanismo de </w:t>
      </w:r>
      <w:proofErr w:type="spellStart"/>
      <w:r w:rsidRPr="000E3730">
        <w:rPr>
          <w:rFonts w:ascii="Times New Roman" w:eastAsia="Arial Unicode MS" w:hAnsi="Times New Roman" w:cs="Times New Roman"/>
          <w:sz w:val="24"/>
          <w:szCs w:val="24"/>
          <w:lang w:val="es-419" w:eastAsia="ar-SA"/>
        </w:rPr>
        <w:t>autorregulacion</w:t>
      </w:r>
      <w:proofErr w:type="spellEnd"/>
      <w:r w:rsidRPr="000E3730">
        <w:rPr>
          <w:rFonts w:ascii="Times New Roman" w:eastAsia="Arial Unicode MS" w:hAnsi="Times New Roman" w:cs="Times New Roman"/>
          <w:sz w:val="24"/>
          <w:szCs w:val="24"/>
          <w:lang w:val="es-419" w:eastAsia="ar-SA"/>
        </w:rPr>
        <w:t xml:space="preserve"> privado creado por la Asociación de Empresas de Seguros, el cual es voluntario para los asegurados, y busca resolver los conflictos entre compañías de seguros y asegurados respecto de rechazo y liquidaciones de siniestro. Debido a ello, no constituye una instancia administrativa regida por la ley del procedimiento administrativo general, siendo que se rige por su propio reglamento. </w:t>
      </w:r>
    </w:p>
    <w:p w14:paraId="0D1193AB"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419" w:eastAsia="ar-SA"/>
        </w:rPr>
        <w:t xml:space="preserve">Conforme al reglamento de la DEFASEG, </w:t>
      </w:r>
      <w:r w:rsidRPr="000E3730">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sin que sea necesario que la DEFASEG revoque previamente la resolución emitida. Ello debido a que las resoluciones que expide esta Defensoría no son vinculantes para el asegurado o reclamante cuando éstas les son desfavorables, siendo vinculantes para las aseguradoras cuando el fallo es favorable para el asegurado.  </w:t>
      </w:r>
    </w:p>
    <w:p w14:paraId="10735FBE"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Segundo: Atendiendo a los fundamentos de la impugnación interpuesta, se advierte que la reclamante insiste en sus argumentos ya analizados añadiendo que la Resolución Impugnada incurre en vicios por cuanto no menciona cual es la norma que impide que un pago parcial realizado al banco pueda ser imputado al pago de la prima de seguro. </w:t>
      </w:r>
    </w:p>
    <w:p w14:paraId="0E7811A0"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Al respecto, este colegiado tiene a bien precisar que la carga de la prueba corresponde a quien afirma un hecho, y si la recurrente señala que cumplió con pagar la prima de seguro, es ella quien debió acreditar que lo hizo, siendo que conforme ha sido expuesto en la Resolución Impugnada, el pago parcial de un monto inferior al pago de la cuota mínima de su tarjeta de crédito, no acredita la realización del pago de la prima de seguro, la cual cuando el deudor cumple con sus obligaciones crediticias, es cobrada por el banco y transferida a la aseguradora. En este caso, el banco no transfirió a la compañía de seguros prima alguna, por cuanto se incumplió con el pago de la cuota mínima que debía pagarse bajo el contrato de tarjeta de crédito. </w:t>
      </w:r>
    </w:p>
    <w:p w14:paraId="173C6B89"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PE" w:eastAsia="ar-SA"/>
        </w:rPr>
        <w:t>Cabe mencionar, que cuando una persona adquiere una tarjeta de crédito y contrata una seguro de desgravamen asociado a dicha tarjeta. Su relación es con el banco en forma directa, y con la compañía de seguros a través del banco. Siendo que el banco quien le cobra a fin de mes los consumos realizados y la cuota del seguro de desgravamen. Los pagos que realiza el deudor son hacia el banco, y es el banco quien luego traslada a la compañía de seguro, las primas que le corresponden.</w:t>
      </w:r>
    </w:p>
    <w:p w14:paraId="16679163"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PE" w:eastAsia="ar-SA"/>
        </w:rPr>
        <w:t>La relación que tiene el deudor con el Banco por su tarjeta de crédito es ajena a la competencia de esta Defensoría, quien solo se limita a verificar si se pagó o no la prima de seguro. Es evidente que si se hicieron pagos menores al monto mínimo, el Banco ni siquiera está cobrando el monto mínimo que el deudor se comprometió a realizar, y es por ello que el recibo o ticket presentado no acredita el pago de la prima de seguro.</w:t>
      </w:r>
    </w:p>
    <w:p w14:paraId="457F2DFC"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PE" w:eastAsia="ar-SA"/>
        </w:rPr>
        <w:t>Si era intención del deudor que ese pago se imputase al monto de la prima de seguro (antes que a la deuda que tenía con el Banco) es el deudor quien tiene que acreditarlo, y es claro que el banco debió haber dado su conformidad conforme lo establece el artículo 1266 del código civil.</w:t>
      </w:r>
    </w:p>
    <w:p w14:paraId="3B13E980"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p>
    <w:p w14:paraId="05F19BE2"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PE" w:eastAsia="ar-SA"/>
        </w:rPr>
        <w:t xml:space="preserve">No corresponde a este colegiado demostrar que el asegurado sí pagó la prima ante un pago parcial hecho al Banco (como sostiene la parte reclamante en su impugnación, al mencionar que se debe sustentar cuál es la norma que impide hacer la imputación al pago de la prima), sino que corresponde al deudor acreditar que cumplió con realizar el pago de sus obligaciones, lo que no está acreditado al haber presentado solo un recibo de pago parcial de sus obligaciones frente al banco. </w:t>
      </w:r>
    </w:p>
    <w:p w14:paraId="166180A9"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r w:rsidRPr="000E3730">
        <w:rPr>
          <w:rFonts w:ascii="Times New Roman" w:eastAsia="Arial Unicode MS" w:hAnsi="Times New Roman" w:cs="Times New Roman"/>
          <w:sz w:val="24"/>
          <w:szCs w:val="24"/>
          <w:lang w:val="es-PE" w:eastAsia="ar-SA"/>
        </w:rPr>
        <w:t>En este caso, además, se han presentado comunicaciones del Banco que confirman que el pago parcial realizado, no fue imputado al pago de la prima, conforme se aprecia a continuación, y por ende este colegiado no aprecia argumento, ni prueba que permita revocar lo decidido.</w:t>
      </w:r>
    </w:p>
    <w:p w14:paraId="3591970E" w14:textId="77777777" w:rsidR="000E3730" w:rsidRPr="000E3730" w:rsidRDefault="000E3730" w:rsidP="000E3730">
      <w:pPr>
        <w:spacing w:line="240" w:lineRule="auto"/>
        <w:jc w:val="both"/>
        <w:rPr>
          <w:rFonts w:ascii="Times New Roman" w:eastAsia="Arial Unicode MS" w:hAnsi="Times New Roman" w:cs="Times New Roman"/>
          <w:sz w:val="24"/>
          <w:szCs w:val="24"/>
          <w:lang w:val="es-PE" w:eastAsia="ar-SA"/>
        </w:rPr>
      </w:pPr>
    </w:p>
    <w:p w14:paraId="2D5CCEC0" w14:textId="492E119D" w:rsidR="000E3730" w:rsidRPr="000E3730" w:rsidRDefault="000E3730" w:rsidP="000E3730">
      <w:pPr>
        <w:spacing w:line="240" w:lineRule="auto"/>
        <w:jc w:val="center"/>
        <w:rPr>
          <w:rFonts w:ascii="Times New Roman" w:eastAsia="Arial Unicode MS" w:hAnsi="Times New Roman" w:cs="Times New Roman"/>
          <w:sz w:val="24"/>
          <w:szCs w:val="24"/>
          <w:lang w:val="es-PE" w:eastAsia="ar-SA"/>
        </w:rPr>
      </w:pPr>
      <w:r>
        <w:rPr>
          <w:rFonts w:ascii="Times New Roman" w:hAnsi="Times New Roman"/>
          <w:sz w:val="24"/>
        </w:rPr>
        <w:t xml:space="preserve">…………………</w:t>
      </w:r>
    </w:p>
    <w:p w14:paraId="34FC0952" w14:textId="715912B1" w:rsidR="000E3730" w:rsidRDefault="000E3730" w:rsidP="000E3730">
      <w:pPr>
        <w:spacing w:line="240" w:lineRule="auto"/>
        <w:jc w:val="both"/>
        <w:rPr>
          <w:rFonts w:ascii="Times New Roman" w:eastAsia="Arial Unicode MS" w:hAnsi="Times New Roman" w:cs="Times New Roman"/>
          <w:sz w:val="24"/>
          <w:szCs w:val="24"/>
          <w:lang w:val="es-ES" w:eastAsia="ar-SA"/>
        </w:rPr>
      </w:pPr>
      <w:r w:rsidRPr="000E3730">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063FAF1D" w14:textId="77777777" w:rsidR="000E3730" w:rsidRDefault="000E3730" w:rsidP="000E3730">
      <w:pPr>
        <w:spacing w:line="240" w:lineRule="auto"/>
        <w:jc w:val="both"/>
        <w:rPr>
          <w:rFonts w:ascii="Times New Roman" w:eastAsia="Arial Unicode MS" w:hAnsi="Times New Roman" w:cs="Times New Roman"/>
          <w:sz w:val="24"/>
          <w:szCs w:val="24"/>
          <w:lang w:val="es-ES" w:eastAsia="ar-SA"/>
        </w:rPr>
      </w:pPr>
    </w:p>
    <w:p w14:paraId="74E0F744" w14:textId="77777777" w:rsidR="000E3730" w:rsidRDefault="000E3730" w:rsidP="000E3730">
      <w:pPr>
        <w:spacing w:line="240" w:lineRule="auto"/>
        <w:jc w:val="both"/>
        <w:rPr>
          <w:rFonts w:ascii="Times New Roman" w:eastAsia="Arial Unicode MS" w:hAnsi="Times New Roman" w:cs="Times New Roman"/>
          <w:sz w:val="24"/>
          <w:szCs w:val="24"/>
          <w:lang w:val="es-ES" w:eastAsia="ar-SA"/>
        </w:rPr>
      </w:pPr>
    </w:p>
    <w:p w14:paraId="3118134C" w14:textId="77777777" w:rsidR="000E3730" w:rsidRPr="000E3730" w:rsidRDefault="000E3730" w:rsidP="000E3730">
      <w:pPr>
        <w:spacing w:line="240" w:lineRule="auto"/>
        <w:jc w:val="both"/>
        <w:rPr>
          <w:rFonts w:ascii="Times New Roman" w:eastAsia="Arial Unicode MS" w:hAnsi="Times New Roman" w:cs="Times New Roman"/>
          <w:sz w:val="24"/>
          <w:szCs w:val="24"/>
          <w:lang w:val="es-ES" w:eastAsia="ar-SA"/>
        </w:rPr>
      </w:pPr>
    </w:p>
    <w:p w14:paraId="117F5FFC" w14:textId="5998BB0A" w:rsidR="000E3730" w:rsidRPr="000E3730" w:rsidRDefault="000E3730" w:rsidP="000E3730">
      <w:pPr>
        <w:spacing w:line="240" w:lineRule="auto"/>
        <w:jc w:val="both"/>
        <w:rPr>
          <w:rFonts w:ascii="Times New Roman" w:eastAsia="Arial Unicode MS" w:hAnsi="Times New Roman" w:cs="Times New Roman"/>
          <w:b/>
          <w:bCs/>
          <w:sz w:val="24"/>
          <w:szCs w:val="24"/>
          <w:lang w:val="es-PE" w:eastAsia="ar-SA"/>
        </w:rPr>
      </w:pPr>
      <w:r w:rsidRPr="000E3730">
        <w:rPr>
          <w:rFonts w:ascii="Times New Roman" w:eastAsia="Arial Unicode MS" w:hAnsi="Times New Roman" w:cs="Times New Roman"/>
          <w:b/>
          <w:bCs/>
          <w:sz w:val="24"/>
          <w:szCs w:val="24"/>
          <w:lang w:val="es-ES" w:eastAsia="ar-SA"/>
        </w:rPr>
        <w:lastRenderedPageBreak/>
        <w:t xml:space="preserve">RESUELVE: </w:t>
      </w:r>
    </w:p>
    <w:p w14:paraId="5E91F334" w14:textId="77777777" w:rsidR="000E3730" w:rsidRPr="000E3730" w:rsidRDefault="000E3730" w:rsidP="000E3730">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impugnativo interpuesto y, por consiguiente, ratificar la Resolución Nº 014-2025 de fecha 05 de febrero de 2024 que declaró INFUNDADA la reclamación interpuesta por doña………………… ………………… contra …………………, dejando a salvo el derecho de la reclamante de acudir ante las instancias que estime pertinente.</w:t>
      </w:r>
    </w:p>
    <w:p w14:paraId="51EDAB4B" w14:textId="054926BE" w:rsidR="00B32E8A" w:rsidRPr="00627505" w:rsidRDefault="0091528B" w:rsidP="007F2000">
      <w:pPr>
        <w:spacing w:line="240" w:lineRule="auto"/>
        <w:jc w:val="right"/>
        <w:rPr>
          <w:rFonts w:ascii="Times New Roman" w:hAnsi="Times New Roman" w:cs="Times New Roman"/>
          <w:sz w:val="24"/>
          <w:szCs w:val="24"/>
          <w:lang w:val="es-PE"/>
        </w:rPr>
      </w:pPr>
      <w:r w:rsidRPr="00627505">
        <w:rPr>
          <w:rFonts w:ascii="Times New Roman" w:eastAsia="Arial Unicode MS" w:hAnsi="Times New Roman" w:cs="Times New Roman"/>
          <w:sz w:val="24"/>
          <w:szCs w:val="24"/>
          <w:lang w:val="es-PE" w:eastAsia="ar-SA"/>
        </w:rPr>
        <w:t>Lima,</w:t>
      </w:r>
      <w:r w:rsidR="00774D05" w:rsidRPr="00627505">
        <w:rPr>
          <w:rFonts w:ascii="Times New Roman" w:eastAsia="Arial Unicode MS" w:hAnsi="Times New Roman" w:cs="Times New Roman"/>
          <w:sz w:val="24"/>
          <w:szCs w:val="24"/>
          <w:lang w:val="es-PE" w:eastAsia="ar-SA"/>
        </w:rPr>
        <w:t xml:space="preserve"> </w:t>
      </w:r>
      <w:r w:rsidR="00744789" w:rsidRPr="00627505">
        <w:rPr>
          <w:rFonts w:ascii="Times New Roman" w:eastAsia="Arial Unicode MS" w:hAnsi="Times New Roman" w:cs="Times New Roman"/>
          <w:sz w:val="24"/>
          <w:szCs w:val="24"/>
          <w:lang w:val="es-PE" w:eastAsia="ar-SA"/>
        </w:rPr>
        <w:t>1</w:t>
      </w:r>
      <w:r w:rsidR="00D6267A" w:rsidRPr="00627505">
        <w:rPr>
          <w:rFonts w:ascii="Times New Roman" w:eastAsia="Arial Unicode MS" w:hAnsi="Times New Roman" w:cs="Times New Roman"/>
          <w:sz w:val="24"/>
          <w:szCs w:val="24"/>
          <w:lang w:val="es-PE" w:eastAsia="ar-SA"/>
        </w:rPr>
        <w:t>9</w:t>
      </w:r>
      <w:r w:rsidR="00570ED6" w:rsidRPr="00627505">
        <w:rPr>
          <w:rFonts w:ascii="Times New Roman" w:eastAsia="Arial Unicode MS" w:hAnsi="Times New Roman" w:cs="Times New Roman"/>
          <w:sz w:val="24"/>
          <w:szCs w:val="24"/>
          <w:lang w:val="es-PE" w:eastAsia="ar-SA"/>
        </w:rPr>
        <w:t xml:space="preserve"> </w:t>
      </w:r>
      <w:r w:rsidR="00707C99" w:rsidRPr="00627505">
        <w:rPr>
          <w:rFonts w:ascii="Times New Roman" w:eastAsia="Arial Unicode MS" w:hAnsi="Times New Roman" w:cs="Times New Roman"/>
          <w:sz w:val="24"/>
          <w:szCs w:val="24"/>
          <w:lang w:val="es-PE" w:eastAsia="ar-SA"/>
        </w:rPr>
        <w:t xml:space="preserve">de </w:t>
      </w:r>
      <w:r w:rsidR="00744789" w:rsidRPr="00627505">
        <w:rPr>
          <w:rFonts w:ascii="Times New Roman" w:eastAsia="Arial Unicode MS" w:hAnsi="Times New Roman" w:cs="Times New Roman"/>
          <w:sz w:val="24"/>
          <w:szCs w:val="24"/>
          <w:lang w:val="es-PE" w:eastAsia="ar-SA"/>
        </w:rPr>
        <w:t>marzo</w:t>
      </w:r>
      <w:r w:rsidR="002F478E" w:rsidRPr="00627505">
        <w:rPr>
          <w:rFonts w:ascii="Times New Roman" w:eastAsia="Arial Unicode MS" w:hAnsi="Times New Roman" w:cs="Times New Roman"/>
          <w:sz w:val="24"/>
          <w:szCs w:val="24"/>
          <w:lang w:val="es-PE" w:eastAsia="ar-SA"/>
        </w:rPr>
        <w:t xml:space="preserve"> </w:t>
      </w:r>
      <w:r w:rsidR="00F06498" w:rsidRPr="00627505">
        <w:rPr>
          <w:rFonts w:ascii="Times New Roman" w:eastAsia="Arial Unicode MS" w:hAnsi="Times New Roman" w:cs="Times New Roman"/>
          <w:sz w:val="24"/>
          <w:szCs w:val="24"/>
          <w:lang w:val="es-PE" w:eastAsia="ar-SA"/>
        </w:rPr>
        <w:t>de 202</w:t>
      </w:r>
      <w:r w:rsidR="00AE4D37" w:rsidRPr="00627505">
        <w:rPr>
          <w:rFonts w:ascii="Times New Roman" w:eastAsia="Arial Unicode MS" w:hAnsi="Times New Roman" w:cs="Times New Roman"/>
          <w:sz w:val="24"/>
          <w:szCs w:val="24"/>
          <w:lang w:val="es-PE" w:eastAsia="ar-SA"/>
        </w:rPr>
        <w:t>5</w:t>
      </w:r>
      <w:r w:rsidR="00707C99" w:rsidRPr="00627505">
        <w:rPr>
          <w:rFonts w:ascii="Times New Roman" w:eastAsia="Times New Roman" w:hAnsi="Times New Roman" w:cs="Times New Roman"/>
          <w:sz w:val="24"/>
          <w:szCs w:val="24"/>
          <w:lang w:val="es-PE" w:eastAsia="ar-SA"/>
        </w:rPr>
        <w:t xml:space="preserve"> </w:t>
      </w:r>
    </w:p>
    <w:p w14:paraId="1B6988F6" w14:textId="77777777" w:rsidR="00A323F4" w:rsidRPr="00627505" w:rsidRDefault="00A323F4" w:rsidP="00A323F4">
      <w:pPr>
        <w:spacing w:after="0" w:line="240" w:lineRule="auto"/>
        <w:jc w:val="both"/>
        <w:rPr>
          <w:rFonts w:ascii="Times New Roman" w:hAnsi="Times New Roman" w:cs="Times New Roman"/>
          <w:b/>
          <w:bCs/>
          <w:i/>
          <w:iCs/>
          <w:sz w:val="24"/>
          <w:szCs w:val="24"/>
          <w:lang w:val="es-PE"/>
        </w:rPr>
      </w:pPr>
      <w:r w:rsidRPr="006275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627505"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t xml:space="preserve">María Eugenia Valdez Fernández Baca </w:t>
      </w:r>
      <w:r w:rsidR="007543CD" w:rsidRPr="00627505">
        <w:rPr>
          <w:rFonts w:ascii="Times New Roman" w:hAnsi="Times New Roman" w:cs="Times New Roman"/>
          <w:b/>
          <w:bCs/>
          <w:sz w:val="24"/>
          <w:szCs w:val="24"/>
          <w:lang w:val="es-PE"/>
        </w:rPr>
        <w:t>– Presidente</w:t>
      </w:r>
    </w:p>
    <w:p w14:paraId="0DCF6E18" w14:textId="56F1BED3" w:rsidR="007543CD" w:rsidRPr="00627505" w:rsidRDefault="00543015" w:rsidP="007543CD">
      <w:pPr>
        <w:spacing w:after="0" w:line="360" w:lineRule="auto"/>
        <w:jc w:val="center"/>
        <w:rPr>
          <w:rFonts w:ascii="Times New Roman" w:hAnsi="Times New Roman" w:cs="Times New Roman"/>
          <w:b/>
          <w:bCs/>
          <w:sz w:val="24"/>
          <w:szCs w:val="24"/>
          <w:lang w:val="es-PE"/>
        </w:rPr>
      </w:pPr>
      <w:r w:rsidRPr="00627505">
        <w:rPr>
          <w:rFonts w:ascii="Times New Roman" w:hAnsi="Times New Roman" w:cs="Times New Roman"/>
          <w:b/>
          <w:bCs/>
          <w:sz w:val="24"/>
          <w:szCs w:val="24"/>
          <w:lang w:val="es-PE"/>
        </w:rPr>
        <w:t xml:space="preserve">Rolando Eyzaguirre </w:t>
      </w:r>
      <w:proofErr w:type="spellStart"/>
      <w:r w:rsidRPr="00627505">
        <w:rPr>
          <w:rFonts w:ascii="Times New Roman" w:hAnsi="Times New Roman" w:cs="Times New Roman"/>
          <w:b/>
          <w:bCs/>
          <w:sz w:val="24"/>
          <w:szCs w:val="24"/>
          <w:lang w:val="es-PE"/>
        </w:rPr>
        <w:t>Maccan</w:t>
      </w:r>
      <w:proofErr w:type="spellEnd"/>
      <w:r w:rsidRPr="00627505">
        <w:rPr>
          <w:rFonts w:ascii="Times New Roman" w:hAnsi="Times New Roman" w:cs="Times New Roman"/>
          <w:b/>
          <w:bCs/>
          <w:sz w:val="24"/>
          <w:szCs w:val="24"/>
          <w:lang w:val="es-PE"/>
        </w:rPr>
        <w:t xml:space="preserve"> </w:t>
      </w:r>
      <w:r w:rsidR="007543CD" w:rsidRPr="00627505">
        <w:rPr>
          <w:rFonts w:ascii="Times New Roman" w:hAnsi="Times New Roman" w:cs="Times New Roman"/>
          <w:b/>
          <w:bCs/>
          <w:sz w:val="24"/>
          <w:szCs w:val="24"/>
          <w:lang w:val="es-PE"/>
        </w:rPr>
        <w:t>– Vocal</w:t>
      </w:r>
    </w:p>
    <w:p w14:paraId="69BFE54F" w14:textId="77777777" w:rsidR="007543CD" w:rsidRPr="00627505" w:rsidRDefault="007543CD" w:rsidP="007543CD">
      <w:pPr>
        <w:spacing w:after="0" w:line="360" w:lineRule="auto"/>
        <w:jc w:val="center"/>
        <w:rPr>
          <w:rFonts w:ascii="Times New Roman" w:hAnsi="Times New Roman" w:cs="Times New Roman"/>
          <w:sz w:val="24"/>
          <w:szCs w:val="24"/>
          <w:lang w:val="es-PE"/>
        </w:rPr>
      </w:pPr>
      <w:r w:rsidRPr="00627505">
        <w:rPr>
          <w:rFonts w:ascii="Times New Roman" w:hAnsi="Times New Roman" w:cs="Times New Roman"/>
          <w:b/>
          <w:bCs/>
          <w:sz w:val="24"/>
          <w:szCs w:val="24"/>
          <w:lang w:val="es-PE"/>
        </w:rPr>
        <w:t>Gonzalo Abad del Busto – Vocal</w:t>
      </w:r>
    </w:p>
    <w:p w14:paraId="412CCBAA" w14:textId="77777777" w:rsidR="00986F0C" w:rsidRPr="00627505"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10"/>
      <w:footerReference w:type="default" r:id="rId11"/>
      <w:headerReference w:type="first" r:id="rId14"/>
      <w:footerReference w:type="first" r:id="rId15"/>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1F58" w14:textId="77777777" w:rsidR="00CA718D" w:rsidRDefault="00CA718D" w:rsidP="00784355">
      <w:pPr>
        <w:spacing w:after="0" w:line="240" w:lineRule="auto"/>
      </w:pPr>
      <w:r>
        <w:separator/>
      </w:r>
    </w:p>
  </w:endnote>
  <w:endnote w:type="continuationSeparator" w:id="0">
    <w:p w14:paraId="6AC0DA8E" w14:textId="77777777" w:rsidR="00CA718D" w:rsidRDefault="00CA718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0F3C" w14:textId="77777777" w:rsidR="00CA718D" w:rsidRDefault="00CA718D" w:rsidP="00784355">
      <w:pPr>
        <w:spacing w:after="0" w:line="240" w:lineRule="auto"/>
      </w:pPr>
      <w:r>
        <w:separator/>
      </w:r>
    </w:p>
  </w:footnote>
  <w:footnote w:type="continuationSeparator" w:id="0">
    <w:p w14:paraId="12436424" w14:textId="77777777" w:rsidR="00CA718D" w:rsidRDefault="00CA718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3"/>
  </w:num>
  <w:num w:numId="3" w16cid:durableId="333261791">
    <w:abstractNumId w:val="20"/>
  </w:num>
  <w:num w:numId="4" w16cid:durableId="1770345525">
    <w:abstractNumId w:val="19"/>
  </w:num>
  <w:num w:numId="5" w16cid:durableId="1816144979">
    <w:abstractNumId w:val="22"/>
  </w:num>
  <w:num w:numId="6" w16cid:durableId="1304313350">
    <w:abstractNumId w:val="0"/>
  </w:num>
  <w:num w:numId="7" w16cid:durableId="1668288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2"/>
  </w:num>
  <w:num w:numId="17" w16cid:durableId="1799882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E373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077A6"/>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60FB5A3-722A-4D2B-B667-F13D12B6E881}"/>
</file>

<file path=customXml/itemProps3.xml><?xml version="1.0" encoding="utf-8"?>
<ds:datastoreItem xmlns:ds="http://schemas.openxmlformats.org/officeDocument/2006/customXml" ds:itemID="{812D2CEE-A257-4B18-B60E-50FBCE0BD55E}"/>
</file>

<file path=customXml/itemProps4.xml><?xml version="1.0" encoding="utf-8"?>
<ds:datastoreItem xmlns:ds="http://schemas.openxmlformats.org/officeDocument/2006/customXml" ds:itemID="{36E17272-45E1-4BCA-8A04-A83A970A7CEE}"/>
</file>

<file path=docProps/app.xml><?xml version="1.0" encoding="utf-8"?>
<Properties xmlns="http://schemas.openxmlformats.org/officeDocument/2006/extended-properties" xmlns:vt="http://schemas.openxmlformats.org/officeDocument/2006/docPropsVTypes">
  <Template>Normal</Template>
  <TotalTime>230</TotalTime>
  <Pages>4</Pages>
  <Words>1280</Words>
  <Characters>7040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294</cp:revision>
  <cp:lastPrinted>2025-03-21T17:15:00Z</cp:lastPrinted>
  <dcterms:created xsi:type="dcterms:W3CDTF">2023-02-14T22:37:00Z</dcterms:created>
  <dcterms:modified xsi:type="dcterms:W3CDTF">2025-03-21T17:15:00Z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