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1AD90E1C" w:rsidR="002D4134" w:rsidRPr="00627505" w:rsidRDefault="00201C0D" w:rsidP="00F40531">
      <w:pPr>
        <w:spacing w:after="0" w:line="240" w:lineRule="auto"/>
        <w:jc w:val="center"/>
        <w:rPr>
          <w:rFonts w:ascii="Times New Roman" w:hAnsi="Times New Roman" w:cs="Times New Roman"/>
          <w:b/>
          <w:sz w:val="24"/>
          <w:szCs w:val="24"/>
          <w:lang w:val="es-PE" w:eastAsia="ar-SA"/>
        </w:rPr>
      </w:pPr>
      <w:r w:rsidRPr="00627505">
        <w:rPr>
          <w:rFonts w:ascii="Times New Roman" w:hAnsi="Times New Roman" w:cs="Times New Roman"/>
          <w:b/>
          <w:sz w:val="24"/>
          <w:szCs w:val="24"/>
          <w:lang w:val="es-PE" w:eastAsia="ar-SA"/>
        </w:rPr>
        <w:t xml:space="preserve">RESOLUCIÓN DE RECURSO IMPUGNATIVO </w:t>
      </w:r>
      <w:r w:rsidR="00707C99" w:rsidRPr="00627505">
        <w:rPr>
          <w:rFonts w:ascii="Times New Roman" w:hAnsi="Times New Roman" w:cs="Times New Roman"/>
          <w:b/>
          <w:sz w:val="24"/>
          <w:szCs w:val="24"/>
          <w:lang w:val="es-PE" w:eastAsia="ar-SA"/>
        </w:rPr>
        <w:t xml:space="preserve">N° </w:t>
      </w:r>
      <w:r w:rsidR="00516293" w:rsidRPr="00627505">
        <w:rPr>
          <w:rFonts w:ascii="Times New Roman" w:hAnsi="Times New Roman" w:cs="Times New Roman"/>
          <w:b/>
          <w:sz w:val="24"/>
          <w:szCs w:val="24"/>
          <w:lang w:val="es-PE" w:eastAsia="ar-SA"/>
        </w:rPr>
        <w:t>0</w:t>
      </w:r>
      <w:r w:rsidR="00D6267A" w:rsidRPr="00627505">
        <w:rPr>
          <w:rFonts w:ascii="Times New Roman" w:hAnsi="Times New Roman" w:cs="Times New Roman"/>
          <w:b/>
          <w:sz w:val="24"/>
          <w:szCs w:val="24"/>
          <w:lang w:val="es-PE" w:eastAsia="ar-SA"/>
        </w:rPr>
        <w:t>1</w:t>
      </w:r>
      <w:r w:rsidR="005F3495">
        <w:rPr>
          <w:rFonts w:ascii="Times New Roman" w:hAnsi="Times New Roman" w:cs="Times New Roman"/>
          <w:b/>
          <w:sz w:val="24"/>
          <w:szCs w:val="24"/>
          <w:lang w:val="es-PE" w:eastAsia="ar-SA"/>
        </w:rPr>
        <w:t>3</w:t>
      </w:r>
      <w:r w:rsidR="00C671F5" w:rsidRPr="00627505">
        <w:rPr>
          <w:rFonts w:ascii="Times New Roman" w:hAnsi="Times New Roman" w:cs="Times New Roman"/>
          <w:b/>
          <w:sz w:val="24"/>
          <w:szCs w:val="24"/>
          <w:lang w:val="es-PE" w:eastAsia="ar-SA"/>
        </w:rPr>
        <w:t>/2</w:t>
      </w:r>
      <w:r w:rsidR="00A74F96" w:rsidRPr="00627505">
        <w:rPr>
          <w:rFonts w:ascii="Times New Roman" w:hAnsi="Times New Roman" w:cs="Times New Roman"/>
          <w:b/>
          <w:sz w:val="24"/>
          <w:szCs w:val="24"/>
          <w:lang w:val="es-PE" w:eastAsia="ar-SA"/>
        </w:rPr>
        <w:t>5</w:t>
      </w:r>
    </w:p>
    <w:p w14:paraId="41B4468D" w14:textId="77777777" w:rsidR="00F40531" w:rsidRPr="00627505" w:rsidRDefault="00F40531" w:rsidP="00F40531">
      <w:pPr>
        <w:spacing w:after="0" w:line="240" w:lineRule="auto"/>
        <w:jc w:val="center"/>
        <w:rPr>
          <w:rFonts w:ascii="Times New Roman" w:hAnsi="Times New Roman" w:cs="Times New Roman"/>
          <w:b/>
          <w:sz w:val="24"/>
          <w:szCs w:val="24"/>
          <w:lang w:val="es-PE" w:eastAsia="ar-SA"/>
        </w:rPr>
      </w:pPr>
    </w:p>
    <w:p w14:paraId="4BE79EE6" w14:textId="7076314C" w:rsidR="00FE69B1" w:rsidRPr="00FE69B1" w:rsidRDefault="00FE69B1" w:rsidP="00FE69B1">
      <w:pPr>
        <w:spacing w:line="240" w:lineRule="auto"/>
        <w:jc w:val="both"/>
        <w:rPr>
          <w:rFonts w:ascii="Times New Roman" w:eastAsia="Arial Unicode MS" w:hAnsi="Times New Roman" w:cs="Times New Roman"/>
          <w:b/>
          <w:bCs/>
          <w:sz w:val="24"/>
          <w:szCs w:val="24"/>
          <w:lang w:val="es-MX" w:eastAsia="ar-SA"/>
        </w:rPr>
      </w:pPr>
      <w:r w:rsidRPr="00FE69B1">
        <w:rPr>
          <w:rFonts w:ascii="Times New Roman" w:eastAsia="Arial Unicode MS" w:hAnsi="Times New Roman" w:cs="Times New Roman"/>
          <w:b/>
          <w:bCs/>
          <w:sz w:val="24"/>
          <w:szCs w:val="24"/>
          <w:lang w:val="es-MX" w:eastAsia="ar-SA"/>
        </w:rPr>
        <w:t>VISTOS:</w:t>
      </w:r>
    </w:p>
    <w:p w14:paraId="7CA825CA" w14:textId="724C6064"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256/24, expedida por esta Defensoría del Asegurado (DEFASEG), conforme a la cual se declaró FUNDADA la reclamación interpuesta por ………………… respecto al Seguro Vehicular – PÓLIZA N° …………………;</w:t>
      </w:r>
    </w:p>
    <w:p w14:paraId="04A8E7A8" w14:textId="0788EE71" w:rsidR="00FE69B1" w:rsidRPr="00FE69B1" w:rsidRDefault="00FE69B1" w:rsidP="00FE69B1">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el indicado recurso se sustenta resumidamente en lo siguiente: (1) el Asegurado no solo conocía aquellos requisitos relacionados a la inspección, sino que este sí fue informado debidamente con el resultado de la inspección  realizada; (2) con la propuesta N°9902795,  la Compañía cumplió con el deber de informarle al Asegurado sobre el incumplimiento de su vehículo respecto a la inspección requerida, en conformidad con lo estipulado en la póliza; (3) esta notificación es una prueba fehaciente que demuestra que el Asegurado tuvo pleno conocimiento de la situación de su vehículo y el incumplimiento de los estándares establecidos en la inspección; (4) de acuerdo a la verificación interna de la Compañía sobre el Cargo Electrónico de dicha comunicación, se puede apreciar tanto los correos a los cuales se envió la comunicación, así como el estado de dicha comunicación; (5) el asegurado sí tenía conocimiento de la misma, puesto que el estado del mensaje se encuentra como “…………………”; (5) dicho pantallazo constituye otro medio probatorio fehaciente que indica que …………………, como aseguradora, cumplió con la obligación de comunicarse con el Asegurado, razón por la cual este no puede alegar desinformación o desconocimiento sobre la misma; (6) estos medios probatorios en conjunto cumplen con evidenciar que la Compañía sí informó al Asegurado acerca de la no aprobación de la inspección vehicular junto con las consecuencias de ello, de manera anterior a la ocurrencia del siniestro.</w:t>
      </w:r>
    </w:p>
    <w:p w14:paraId="4B6AAA7A" w14:textId="6FD65F28" w:rsidR="00FE69B1" w:rsidRPr="00FE69B1" w:rsidRDefault="00FE69B1" w:rsidP="00FE69B1">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la reclamante absolvió el traslado del recurso interpuesto, indicando en síntesis lo siguiente: (1) la aseguradora no acreditó con pruebas suficientes haber informado al asegurado sobre el rechazo de la inspección vehicular de manera anterior a la ocurrencia del siniestro; (2) el 12 de julio de 2024 se contrató un Seguro Vehicular a través de Corredores de Seguros Falabella, cumpliendo con todos los procedimientos y requisitos establecidos. También se sometió el vehículo a la inspección requerida, la cual fue aprobada satisfactoriamente; (3) Corredores Falabella confirmó la validez del seguro, lo cual quedó respaldado en el aplicativo móvil de …………………; (4) el accidente de tránsito ocurrió el 14 de julio de 2024, y fue notificado inmediatamente a …………………, quienes registraron el siniestro con el número 3691090 y asignaron un procurador; (5) el seguro seguía activo en el sistema de la aseguradora, y se procedió con la asignación correspondiente del siniestro; (6) el 17 de julio de 2024, cinco días después del siniestro, Corredores Falabella envió vía correo electrónico la póliza de seguros con el siguiente mensaje: "¡Hola …………………! Encuentra adjunto el documento que certifica que contrataste tu Seguro Vehicular ANUAL con la Compañía …………………."; (7) el 19 de julio de 2024, ………………… envió un correo ratificando lo informado por Corredores Falabella, indicando: "Hola …………………, ¡esperamos que te encuentres bien! Te informamos que hemos atendido tu solicitud: El vehículo de placa N° ………………… se encuentra incluido en la póliza N° …………………, Certificado N° …………………, con propuesta N° 9902795. La vigencia de la póliza inició el 12/………………… y finaliza el 12/07/2025."; (8) el 31 de julio de 2024, ………………… envió un correo notificando el rechazo del Seguro Vehicular sin especificar los motivos; (9) el 20 de agosto de 2024, Corredores Falabella comunicó que la póliza había sido anulada el 15 de julio de 2024 debido a que no se cumplió con la inspección vehicular.</w:t>
      </w:r>
    </w:p>
    <w:p w14:paraId="5F93375E" w14:textId="609502C8" w:rsidR="00FE69B1" w:rsidRPr="00FE69B1" w:rsidRDefault="00FE69B1" w:rsidP="00FE69B1">
      <w:pPr>
        <w:spacing w:line="240" w:lineRule="auto"/>
        <w:jc w:val="both"/>
        <w:rPr>
          <w:rFonts w:ascii="Times New Roman" w:eastAsia="Arial Unicode MS" w:hAnsi="Times New Roman" w:cs="Times New Roman"/>
          <w:bCs/>
          <w:sz w:val="24"/>
          <w:szCs w:val="24"/>
          <w:lang w:val="es-MX" w:eastAsia="ar-SA"/>
        </w:rPr>
      </w:pPr>
      <w:r w:rsidRPr="00FE69B1">
        <w:rPr>
          <w:rFonts w:ascii="Times New Roman" w:eastAsia="Arial Unicode MS" w:hAnsi="Times New Roman" w:cs="Times New Roman"/>
          <w:bCs/>
          <w:sz w:val="24"/>
          <w:szCs w:val="24"/>
          <w:lang w:val="es-MX" w:eastAsia="ar-SA"/>
        </w:rPr>
        <w:t>Que, atendiendo a lo expuesto, esta Defensoría resuelve finalmente lo siguiente:</w:t>
      </w:r>
    </w:p>
    <w:p w14:paraId="3A3BB454" w14:textId="4D40BDC2"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51216B39" w14:textId="2C4BB835"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54FDAC62" w14:textId="5A3BDE7E" w:rsidR="00FE69B1" w:rsidRPr="00FE69B1" w:rsidRDefault="00FE69B1" w:rsidP="00FE69B1">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SEGUNDO: Que el Recurso de Impugnación presentado por la aseguradora se sustenta en prueba no presentada en primera instancia, y expresa que con ella se acreditaría que, antes de la ocurrencia del siniestro, ………………… habría remitido al asegurado la comunicación informando que la inspección vehicular no fue aprobada.</w:t>
      </w:r>
    </w:p>
    <w:p w14:paraId="603B01A1" w14:textId="0CD010C8" w:rsidR="00FE69B1" w:rsidRPr="00FE69B1" w:rsidRDefault="00FE69B1" w:rsidP="00FE69B1">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Sobre el particular, este Colegiado advierte que la prueba aportada por la aseguradora no prueba sus afirmaciones, por lo que no altera la situación fáctica bajo la que se fundamenta la Resolución Impugnada.</w:t>
      </w:r>
    </w:p>
    <w:p w14:paraId="52DD15DE" w14:textId="101F41A6"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efecto, conforme a la Resolución Impugnada, se declaró fundada la reclamación por cuanto se verificó que ………………… no cumplió con informar oportunamente de manera inmediata que no aprobaba el resultado de la inspección.</w:t>
      </w:r>
    </w:p>
    <w:p w14:paraId="45FAD520" w14:textId="391CE142"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Como se indica en los fundamentos de la resolución recurrida, dicha conducta de la aseguradora generó la apariencia y confianza en el asegurado de la existencia de un contrato de seguro con todas las coberturas activadas. Por tal razón, para fines de proteger la confianza razonablemente generada de las declaraciones y actuaciones contractuales de la aseguradora y su comercializador, que derivan en la carga de advertir, objetar o denegar oportunamente las coberturas o el contrato de seguro, así como dejar reservas o salvedades, este colegiado estima que, no habiendo formalmente comunicado antes del siniestro que no se encontraba satisfactoriamente la inspección de la unidad asegurada, ello compromete a ………………… a proseguir otorgando cobertura, de manera que el rechazo objeto de reclamo es ilegítimo.</w:t>
      </w:r>
    </w:p>
    <w:p w14:paraId="1C3D6923" w14:textId="272277A6"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r w:rsidRPr="00FE69B1">
        <w:rPr>
          <w:rFonts w:ascii="Times New Roman" w:eastAsia="Arial Unicode MS" w:hAnsi="Times New Roman" w:cs="Times New Roman"/>
          <w:sz w:val="24"/>
          <w:szCs w:val="24"/>
          <w:lang w:val="es-PE" w:eastAsia="ar-SA"/>
        </w:rPr>
        <w:t>Tal como obra en autos, el siniestro ocurrió el 14 de julio de 2024 por lo que correspondía que la aseguradora comunicara con anterioridad que no fue aprobado el resultado de la inspección.</w:t>
      </w:r>
    </w:p>
    <w:p w14:paraId="7AF71F5B" w14:textId="77777777"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al cargo electrónico presentado por …………………, se evidencia que la comunicación informando que la póliza fue rechazada se envió el 22 de julio de 2024, es decir, de manera extemporánea. </w:t>
      </w:r>
    </w:p>
    <w:p w14:paraId="757AD660" w14:textId="77777777"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p>
    <w:p w14:paraId="047F0582" w14:textId="77777777"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p>
    <w:p w14:paraId="1802FD9B" w14:textId="1B741CEE" w:rsidR="00FE69B1" w:rsidRPr="00FE69B1" w:rsidRDefault="00FE69B1" w:rsidP="00FE69B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45C7F1AF" w14:textId="77777777" w:rsidR="00FE69B1" w:rsidRPr="00FE69B1" w:rsidRDefault="00FE69B1" w:rsidP="0007301A">
      <w:pPr>
        <w:spacing w:line="240" w:lineRule="auto"/>
        <w:ind w:left="720"/>
        <w:jc w:val="both"/>
        <w:rPr>
          <w:rFonts w:ascii="Times New Roman" w:eastAsia="Arial Unicode MS" w:hAnsi="Times New Roman" w:cs="Times New Roman"/>
          <w:i/>
          <w:iCs/>
          <w:sz w:val="18"/>
          <w:szCs w:val="18"/>
          <w:lang w:val="es-ES" w:eastAsia="ar-SA"/>
        </w:rPr>
      </w:pPr>
      <w:r w:rsidRPr="00FE69B1">
        <w:rPr>
          <w:rFonts w:ascii="Times New Roman" w:eastAsia="Arial Unicode MS" w:hAnsi="Times New Roman" w:cs="Times New Roman"/>
          <w:i/>
          <w:iCs/>
          <w:sz w:val="24"/>
          <w:szCs w:val="18"/>
          <w:lang w:val="es-ES" w:eastAsia="ar-SA"/>
        </w:rPr>
        <w:t xml:space="preserve">tales enfermedades al momento de afiliarse al seguro. </w:t>
      </w:r>
    </w:p>
    <w:p w14:paraId="7B04146F" w14:textId="35D36163" w:rsidR="00FE69B1" w:rsidRPr="00FE69B1" w:rsidRDefault="00FE69B1" w:rsidP="00FE69B1">
      <w:pPr>
        <w:spacing w:line="240" w:lineRule="auto"/>
        <w:jc w:val="both"/>
        <w:rPr>
          <w:rFonts w:ascii="Times New Roman" w:eastAsia="Arial Unicode MS" w:hAnsi="Times New Roman" w:cs="Times New Roman"/>
          <w:sz w:val="24"/>
          <w:szCs w:val="24"/>
          <w:lang w:val="es-ES" w:eastAsia="ar-SA"/>
        </w:rPr>
      </w:pPr>
      <w:r w:rsidRPr="00FE69B1">
        <w:rPr>
          <w:rFonts w:ascii="Times New Roman" w:eastAsia="Arial Unicode MS" w:hAnsi="Times New Roman" w:cs="Times New Roman"/>
          <w:b/>
          <w:sz w:val="24"/>
          <w:szCs w:val="24"/>
          <w:u w:val="single"/>
          <w:lang w:val="es-ES" w:eastAsia="ar-SA"/>
        </w:rPr>
        <w:t>TERCERO</w:t>
      </w:r>
      <w:r w:rsidRPr="00FE69B1">
        <w:rPr>
          <w:rFonts w:ascii="Times New Roman" w:eastAsia="Arial Unicode MS" w:hAnsi="Times New Roman" w:cs="Times New Roman"/>
          <w:b/>
          <w:sz w:val="24"/>
          <w:szCs w:val="24"/>
          <w:lang w:val="es-ES" w:eastAsia="ar-SA"/>
        </w:rPr>
        <w:t>:</w:t>
      </w:r>
      <w:r w:rsidRPr="00FE69B1">
        <w:rPr>
          <w:rFonts w:ascii="Times New Roman" w:eastAsia="Arial Unicode MS" w:hAnsi="Times New Roman" w:cs="Times New Roman"/>
          <w:sz w:val="24"/>
          <w:szCs w:val="24"/>
          <w:lang w:val="es-ES" w:eastAsia="ar-SA"/>
        </w:rPr>
        <w:t xml:space="preserve"> En atención a las consideraciones precedentes, este colegiado aprecia finalmente que no se ha evidenciado error ni falta de fundamentos en la resolución recurrida, por lo que no existe mérito ni razón objetiva para revocarla.</w:t>
      </w:r>
    </w:p>
    <w:p w14:paraId="6690EE51" w14:textId="77777777" w:rsidR="00FE69B1" w:rsidRPr="00FE69B1" w:rsidRDefault="00FE69B1" w:rsidP="00FE69B1">
      <w:pPr>
        <w:spacing w:line="240" w:lineRule="auto"/>
        <w:jc w:val="both"/>
        <w:rPr>
          <w:rFonts w:ascii="Times New Roman" w:eastAsia="Arial Unicode MS" w:hAnsi="Times New Roman" w:cs="Times New Roman"/>
          <w:b/>
          <w:sz w:val="24"/>
          <w:szCs w:val="24"/>
          <w:lang w:val="es-ES" w:eastAsia="ar-SA"/>
        </w:rPr>
      </w:pPr>
      <w:r w:rsidRPr="00FE69B1">
        <w:rPr>
          <w:rFonts w:ascii="Times New Roman" w:eastAsia="Arial Unicode MS" w:hAnsi="Times New Roman" w:cs="Times New Roman"/>
          <w:b/>
          <w:sz w:val="24"/>
          <w:szCs w:val="24"/>
          <w:lang w:val="es-ES" w:eastAsia="ar-SA"/>
        </w:rPr>
        <w:t>RESUELVE:</w:t>
      </w:r>
    </w:p>
    <w:p w14:paraId="61138D57" w14:textId="77777777" w:rsidR="00FE69B1" w:rsidRPr="00FE69B1" w:rsidRDefault="00FE69B1" w:rsidP="00FE69B1">
      <w:pPr>
        <w:spacing w:line="240" w:lineRule="auto"/>
        <w:jc w:val="both"/>
        <w:rPr>
          <w:rFonts w:ascii="Times New Roman" w:eastAsia="Arial Unicode MS" w:hAnsi="Times New Roman" w:cs="Times New Roman"/>
          <w:sz w:val="24"/>
          <w:szCs w:val="24"/>
          <w:lang w:val="es-ES" w:eastAsia="ar-SA"/>
        </w:rPr>
      </w:pPr>
    </w:p>
    <w:p w14:paraId="46221C5F" w14:textId="77777777" w:rsidR="00FE69B1" w:rsidRPr="00FE69B1" w:rsidRDefault="00FE69B1" w:rsidP="00FE69B1">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de Impugnación interpuesto y, por consiguiente, CONFIRMAR la Resolución Nro. 256/24.</w:t>
      </w:r>
    </w:p>
    <w:p w14:paraId="51EDAB4B" w14:textId="1E5A16BE" w:rsidR="00B32E8A" w:rsidRPr="00627505" w:rsidRDefault="0091528B" w:rsidP="007F2000">
      <w:pPr>
        <w:spacing w:line="240" w:lineRule="auto"/>
        <w:jc w:val="right"/>
        <w:rPr>
          <w:rFonts w:ascii="Times New Roman" w:hAnsi="Times New Roman" w:cs="Times New Roman"/>
          <w:sz w:val="24"/>
          <w:szCs w:val="24"/>
          <w:lang w:val="es-PE"/>
        </w:rPr>
      </w:pPr>
      <w:r w:rsidRPr="00627505">
        <w:rPr>
          <w:rFonts w:ascii="Times New Roman" w:eastAsia="Arial Unicode MS" w:hAnsi="Times New Roman" w:cs="Times New Roman"/>
          <w:sz w:val="24"/>
          <w:szCs w:val="24"/>
          <w:lang w:val="es-PE" w:eastAsia="ar-SA"/>
        </w:rPr>
        <w:t>Lima,</w:t>
      </w:r>
      <w:r w:rsidR="00774D05" w:rsidRPr="00627505">
        <w:rPr>
          <w:rFonts w:ascii="Times New Roman" w:eastAsia="Arial Unicode MS" w:hAnsi="Times New Roman" w:cs="Times New Roman"/>
          <w:sz w:val="24"/>
          <w:szCs w:val="24"/>
          <w:lang w:val="es-PE" w:eastAsia="ar-SA"/>
        </w:rPr>
        <w:t xml:space="preserve"> </w:t>
      </w:r>
      <w:r w:rsidR="00FE69B1">
        <w:rPr>
          <w:rFonts w:ascii="Times New Roman" w:eastAsia="Arial Unicode MS" w:hAnsi="Times New Roman" w:cs="Times New Roman"/>
          <w:sz w:val="24"/>
          <w:szCs w:val="24"/>
          <w:lang w:val="es-PE" w:eastAsia="ar-SA"/>
        </w:rPr>
        <w:t>24</w:t>
      </w:r>
      <w:r w:rsidR="00570ED6" w:rsidRPr="00627505">
        <w:rPr>
          <w:rFonts w:ascii="Times New Roman" w:eastAsia="Arial Unicode MS" w:hAnsi="Times New Roman" w:cs="Times New Roman"/>
          <w:sz w:val="24"/>
          <w:szCs w:val="24"/>
          <w:lang w:val="es-PE" w:eastAsia="ar-SA"/>
        </w:rPr>
        <w:t xml:space="preserve"> </w:t>
      </w:r>
      <w:r w:rsidR="00707C99" w:rsidRPr="00627505">
        <w:rPr>
          <w:rFonts w:ascii="Times New Roman" w:eastAsia="Arial Unicode MS" w:hAnsi="Times New Roman" w:cs="Times New Roman"/>
          <w:sz w:val="24"/>
          <w:szCs w:val="24"/>
          <w:lang w:val="es-PE" w:eastAsia="ar-SA"/>
        </w:rPr>
        <w:t xml:space="preserve">de </w:t>
      </w:r>
      <w:r w:rsidR="00744789" w:rsidRPr="00627505">
        <w:rPr>
          <w:rFonts w:ascii="Times New Roman" w:eastAsia="Arial Unicode MS" w:hAnsi="Times New Roman" w:cs="Times New Roman"/>
          <w:sz w:val="24"/>
          <w:szCs w:val="24"/>
          <w:lang w:val="es-PE" w:eastAsia="ar-SA"/>
        </w:rPr>
        <w:t>marzo</w:t>
      </w:r>
      <w:r w:rsidR="002F478E" w:rsidRPr="00627505">
        <w:rPr>
          <w:rFonts w:ascii="Times New Roman" w:eastAsia="Arial Unicode MS" w:hAnsi="Times New Roman" w:cs="Times New Roman"/>
          <w:sz w:val="24"/>
          <w:szCs w:val="24"/>
          <w:lang w:val="es-PE" w:eastAsia="ar-SA"/>
        </w:rPr>
        <w:t xml:space="preserve"> </w:t>
      </w:r>
      <w:r w:rsidR="00F06498" w:rsidRPr="00627505">
        <w:rPr>
          <w:rFonts w:ascii="Times New Roman" w:eastAsia="Arial Unicode MS" w:hAnsi="Times New Roman" w:cs="Times New Roman"/>
          <w:sz w:val="24"/>
          <w:szCs w:val="24"/>
          <w:lang w:val="es-PE" w:eastAsia="ar-SA"/>
        </w:rPr>
        <w:t>de 202</w:t>
      </w:r>
      <w:r w:rsidR="00AE4D37" w:rsidRPr="00627505">
        <w:rPr>
          <w:rFonts w:ascii="Times New Roman" w:eastAsia="Arial Unicode MS" w:hAnsi="Times New Roman" w:cs="Times New Roman"/>
          <w:sz w:val="24"/>
          <w:szCs w:val="24"/>
          <w:lang w:val="es-PE" w:eastAsia="ar-SA"/>
        </w:rPr>
        <w:t>5</w:t>
      </w:r>
      <w:r w:rsidR="00707C99" w:rsidRPr="00627505">
        <w:rPr>
          <w:rFonts w:ascii="Times New Roman" w:eastAsia="Times New Roman" w:hAnsi="Times New Roman" w:cs="Times New Roman"/>
          <w:sz w:val="24"/>
          <w:szCs w:val="24"/>
          <w:lang w:val="es-PE" w:eastAsia="ar-SA"/>
        </w:rPr>
        <w:t xml:space="preserve"> </w:t>
      </w:r>
    </w:p>
    <w:p w14:paraId="1B6988F6" w14:textId="77777777" w:rsidR="00A323F4" w:rsidRPr="00627505" w:rsidRDefault="00A323F4" w:rsidP="00A323F4">
      <w:pPr>
        <w:spacing w:after="0" w:line="240" w:lineRule="auto"/>
        <w:jc w:val="both"/>
        <w:rPr>
          <w:rFonts w:ascii="Times New Roman" w:hAnsi="Times New Roman" w:cs="Times New Roman"/>
          <w:b/>
          <w:bCs/>
          <w:i/>
          <w:iCs/>
          <w:sz w:val="24"/>
          <w:szCs w:val="24"/>
          <w:lang w:val="es-PE"/>
        </w:rPr>
      </w:pPr>
      <w:r w:rsidRPr="0062750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627505"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627505" w:rsidRDefault="00543015" w:rsidP="007543CD">
      <w:pPr>
        <w:spacing w:after="0" w:line="360" w:lineRule="auto"/>
        <w:jc w:val="center"/>
        <w:rPr>
          <w:rFonts w:ascii="Times New Roman" w:hAnsi="Times New Roman" w:cs="Times New Roman"/>
          <w:b/>
          <w:bCs/>
          <w:sz w:val="24"/>
          <w:szCs w:val="24"/>
          <w:lang w:val="es-PE"/>
        </w:rPr>
      </w:pPr>
      <w:r w:rsidRPr="00627505">
        <w:rPr>
          <w:rFonts w:ascii="Times New Roman" w:hAnsi="Times New Roman" w:cs="Times New Roman"/>
          <w:b/>
          <w:bCs/>
          <w:sz w:val="24"/>
          <w:szCs w:val="24"/>
          <w:lang w:val="es-PE"/>
        </w:rPr>
        <w:t xml:space="preserve">María Eugenia Valdez Fernández Baca </w:t>
      </w:r>
      <w:r w:rsidR="007543CD" w:rsidRPr="00627505">
        <w:rPr>
          <w:rFonts w:ascii="Times New Roman" w:hAnsi="Times New Roman" w:cs="Times New Roman"/>
          <w:b/>
          <w:bCs/>
          <w:sz w:val="24"/>
          <w:szCs w:val="24"/>
          <w:lang w:val="es-PE"/>
        </w:rPr>
        <w:t xml:space="preserve">– </w:t>
      </w:r>
      <w:proofErr w:type="gramStart"/>
      <w:r w:rsidR="007543CD" w:rsidRPr="00627505">
        <w:rPr>
          <w:rFonts w:ascii="Times New Roman" w:hAnsi="Times New Roman" w:cs="Times New Roman"/>
          <w:b/>
          <w:bCs/>
          <w:sz w:val="24"/>
          <w:szCs w:val="24"/>
          <w:lang w:val="es-PE"/>
        </w:rPr>
        <w:t>Presidente</w:t>
      </w:r>
      <w:proofErr w:type="gramEnd"/>
    </w:p>
    <w:p w14:paraId="0DCF6E18" w14:textId="56F1BED3" w:rsidR="007543CD" w:rsidRPr="00627505" w:rsidRDefault="00543015" w:rsidP="007543CD">
      <w:pPr>
        <w:spacing w:after="0" w:line="360" w:lineRule="auto"/>
        <w:jc w:val="center"/>
        <w:rPr>
          <w:rFonts w:ascii="Times New Roman" w:hAnsi="Times New Roman" w:cs="Times New Roman"/>
          <w:b/>
          <w:bCs/>
          <w:sz w:val="24"/>
          <w:szCs w:val="24"/>
          <w:lang w:val="es-PE"/>
        </w:rPr>
      </w:pPr>
      <w:r w:rsidRPr="00627505">
        <w:rPr>
          <w:rFonts w:ascii="Times New Roman" w:hAnsi="Times New Roman" w:cs="Times New Roman"/>
          <w:b/>
          <w:bCs/>
          <w:sz w:val="24"/>
          <w:szCs w:val="24"/>
          <w:lang w:val="es-PE"/>
        </w:rPr>
        <w:t xml:space="preserve">Rolando Eyzaguirre </w:t>
      </w:r>
      <w:proofErr w:type="spellStart"/>
      <w:r w:rsidRPr="00627505">
        <w:rPr>
          <w:rFonts w:ascii="Times New Roman" w:hAnsi="Times New Roman" w:cs="Times New Roman"/>
          <w:b/>
          <w:bCs/>
          <w:sz w:val="24"/>
          <w:szCs w:val="24"/>
          <w:lang w:val="es-PE"/>
        </w:rPr>
        <w:t>Maccan</w:t>
      </w:r>
      <w:proofErr w:type="spellEnd"/>
      <w:r w:rsidRPr="00627505">
        <w:rPr>
          <w:rFonts w:ascii="Times New Roman" w:hAnsi="Times New Roman" w:cs="Times New Roman"/>
          <w:b/>
          <w:bCs/>
          <w:sz w:val="24"/>
          <w:szCs w:val="24"/>
          <w:lang w:val="es-PE"/>
        </w:rPr>
        <w:t xml:space="preserve"> </w:t>
      </w:r>
      <w:r w:rsidR="007543CD" w:rsidRPr="00627505">
        <w:rPr>
          <w:rFonts w:ascii="Times New Roman" w:hAnsi="Times New Roman" w:cs="Times New Roman"/>
          <w:b/>
          <w:bCs/>
          <w:sz w:val="24"/>
          <w:szCs w:val="24"/>
          <w:lang w:val="es-PE"/>
        </w:rPr>
        <w:t>– Vocal</w:t>
      </w:r>
    </w:p>
    <w:p w14:paraId="69BFE54F" w14:textId="77777777" w:rsidR="007543CD" w:rsidRPr="00627505" w:rsidRDefault="007543CD" w:rsidP="007543CD">
      <w:pPr>
        <w:spacing w:after="0" w:line="360" w:lineRule="auto"/>
        <w:jc w:val="center"/>
        <w:rPr>
          <w:rFonts w:ascii="Times New Roman" w:hAnsi="Times New Roman" w:cs="Times New Roman"/>
          <w:sz w:val="24"/>
          <w:szCs w:val="24"/>
          <w:lang w:val="es-PE"/>
        </w:rPr>
      </w:pPr>
      <w:r w:rsidRPr="00627505">
        <w:rPr>
          <w:rFonts w:ascii="Times New Roman" w:hAnsi="Times New Roman" w:cs="Times New Roman"/>
          <w:b/>
          <w:bCs/>
          <w:sz w:val="24"/>
          <w:szCs w:val="24"/>
          <w:lang w:val="es-PE"/>
        </w:rPr>
        <w:t>Gonzalo Abad del Busto – Vocal</w:t>
      </w:r>
    </w:p>
    <w:p w14:paraId="412CCBAA" w14:textId="77777777" w:rsidR="00986F0C" w:rsidRPr="00627505"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21F58" w14:textId="77777777" w:rsidR="00CA718D" w:rsidRDefault="00CA718D" w:rsidP="00784355">
      <w:pPr>
        <w:spacing w:after="0" w:line="240" w:lineRule="auto"/>
      </w:pPr>
      <w:r>
        <w:separator/>
      </w:r>
    </w:p>
  </w:endnote>
  <w:endnote w:type="continuationSeparator" w:id="0">
    <w:p w14:paraId="6AC0DA8E" w14:textId="77777777" w:rsidR="00CA718D" w:rsidRDefault="00CA718D"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50F3C" w14:textId="77777777" w:rsidR="00CA718D" w:rsidRDefault="00CA718D" w:rsidP="00784355">
      <w:pPr>
        <w:spacing w:after="0" w:line="240" w:lineRule="auto"/>
      </w:pPr>
      <w:r>
        <w:separator/>
      </w:r>
    </w:p>
  </w:footnote>
  <w:footnote w:type="continuationSeparator" w:id="0">
    <w:p w14:paraId="12436424" w14:textId="77777777" w:rsidR="00CA718D" w:rsidRDefault="00CA718D"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3"/>
  </w:num>
  <w:num w:numId="3" w16cid:durableId="333261791">
    <w:abstractNumId w:val="20"/>
  </w:num>
  <w:num w:numId="4" w16cid:durableId="1770345525">
    <w:abstractNumId w:val="19"/>
  </w:num>
  <w:num w:numId="5" w16cid:durableId="1816144979">
    <w:abstractNumId w:val="22"/>
  </w:num>
  <w:num w:numId="6" w16cid:durableId="1304313350">
    <w:abstractNumId w:val="0"/>
  </w:num>
  <w:num w:numId="7" w16cid:durableId="16682880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2"/>
  </w:num>
  <w:num w:numId="17" w16cid:durableId="17998823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3183"/>
    <w:rsid w:val="0006548C"/>
    <w:rsid w:val="00065584"/>
    <w:rsid w:val="00070DB6"/>
    <w:rsid w:val="00071A25"/>
    <w:rsid w:val="0007301A"/>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E3730"/>
    <w:rsid w:val="000F17DA"/>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6FD4"/>
    <w:rsid w:val="005A782D"/>
    <w:rsid w:val="005B2924"/>
    <w:rsid w:val="005C3266"/>
    <w:rsid w:val="005C524E"/>
    <w:rsid w:val="005C5AB9"/>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B5CAE"/>
    <w:rsid w:val="006B7A62"/>
    <w:rsid w:val="006C1704"/>
    <w:rsid w:val="006C1A65"/>
    <w:rsid w:val="006C29A7"/>
    <w:rsid w:val="006C2E60"/>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F0424"/>
    <w:rsid w:val="00DF3781"/>
    <w:rsid w:val="00DF6E69"/>
    <w:rsid w:val="00E077A6"/>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4CEE03A-8CDD-486A-96A9-2EEF729A7792}"/>
</file>

<file path=customXml/itemProps3.xml><?xml version="1.0" encoding="utf-8"?>
<ds:datastoreItem xmlns:ds="http://schemas.openxmlformats.org/officeDocument/2006/customXml" ds:itemID="{E162A5C5-5804-45C8-8886-69BB744EF004}"/>
</file>

<file path=customXml/itemProps4.xml><?xml version="1.0" encoding="utf-8"?>
<ds:datastoreItem xmlns:ds="http://schemas.openxmlformats.org/officeDocument/2006/customXml" ds:itemID="{60A6C77B-A250-4D62-AF5B-C0180609A078}"/>
</file>

<file path=docProps/app.xml><?xml version="1.0" encoding="utf-8"?>
<Properties xmlns="http://schemas.openxmlformats.org/officeDocument/2006/extended-properties" xmlns:vt="http://schemas.openxmlformats.org/officeDocument/2006/docPropsVTypes">
  <Template>Normal</Template>
  <TotalTime>231</TotalTime>
  <Pages>4</Pages>
  <Words>1093</Words>
  <Characters>6014</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298</cp:revision>
  <cp:lastPrinted>2025-03-27T15:28:00Z</cp:lastPrinted>
  <dcterms:created xsi:type="dcterms:W3CDTF">2023-02-14T22:37:00Z</dcterms:created>
  <dcterms:modified xsi:type="dcterms:W3CDTF">2025-03-27T15:28:00Z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