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8FD7" w14:textId="25DA9CF5" w:rsidR="005A2497" w:rsidRDefault="00201C0D" w:rsidP="005A2497">
      <w:pPr>
        <w:spacing w:after="0" w:line="240" w:lineRule="auto"/>
        <w:jc w:val="center"/>
        <w:rPr>
          <w:rFonts w:ascii="Times New Roman" w:hAnsi="Times New Roman" w:cs="Times New Roman"/>
          <w:b/>
          <w:sz w:val="24"/>
          <w:szCs w:val="24"/>
          <w:lang w:val="es-PE" w:eastAsia="ar-SA"/>
        </w:rPr>
      </w:pPr>
      <w:r w:rsidRPr="000B2CB1">
        <w:rPr>
          <w:rFonts w:ascii="Times New Roman" w:hAnsi="Times New Roman" w:cs="Times New Roman"/>
          <w:b/>
          <w:sz w:val="24"/>
          <w:szCs w:val="24"/>
          <w:lang w:val="es-PE" w:eastAsia="ar-SA"/>
        </w:rPr>
        <w:t xml:space="preserve">RESOLUCIÓN DE RECURSO IMPUGNATIVO </w:t>
      </w:r>
      <w:r w:rsidR="00707C99" w:rsidRPr="000B2CB1">
        <w:rPr>
          <w:rFonts w:ascii="Times New Roman" w:hAnsi="Times New Roman" w:cs="Times New Roman"/>
          <w:b/>
          <w:sz w:val="24"/>
          <w:szCs w:val="24"/>
          <w:lang w:val="es-PE" w:eastAsia="ar-SA"/>
        </w:rPr>
        <w:t xml:space="preserve">N° </w:t>
      </w:r>
      <w:r w:rsidR="00516293" w:rsidRPr="000B2CB1">
        <w:rPr>
          <w:rFonts w:ascii="Times New Roman" w:hAnsi="Times New Roman" w:cs="Times New Roman"/>
          <w:b/>
          <w:sz w:val="24"/>
          <w:szCs w:val="24"/>
          <w:lang w:val="es-PE" w:eastAsia="ar-SA"/>
        </w:rPr>
        <w:t>0</w:t>
      </w:r>
      <w:r w:rsidR="00D6267A" w:rsidRPr="000B2CB1">
        <w:rPr>
          <w:rFonts w:ascii="Times New Roman" w:hAnsi="Times New Roman" w:cs="Times New Roman"/>
          <w:b/>
          <w:sz w:val="24"/>
          <w:szCs w:val="24"/>
          <w:lang w:val="es-PE" w:eastAsia="ar-SA"/>
        </w:rPr>
        <w:t>1</w:t>
      </w:r>
      <w:r w:rsidR="00DE7053">
        <w:rPr>
          <w:rFonts w:ascii="Times New Roman" w:hAnsi="Times New Roman" w:cs="Times New Roman"/>
          <w:b/>
          <w:sz w:val="24"/>
          <w:szCs w:val="24"/>
          <w:lang w:val="es-PE" w:eastAsia="ar-SA"/>
        </w:rPr>
        <w:t>6</w:t>
      </w:r>
      <w:r w:rsidR="00C671F5" w:rsidRPr="000B2CB1">
        <w:rPr>
          <w:rFonts w:ascii="Times New Roman" w:hAnsi="Times New Roman" w:cs="Times New Roman"/>
          <w:b/>
          <w:sz w:val="24"/>
          <w:szCs w:val="24"/>
          <w:lang w:val="es-PE" w:eastAsia="ar-SA"/>
        </w:rPr>
        <w:t>/2</w:t>
      </w:r>
      <w:r w:rsidR="00A74F96" w:rsidRPr="000B2CB1">
        <w:rPr>
          <w:rFonts w:ascii="Times New Roman" w:hAnsi="Times New Roman" w:cs="Times New Roman"/>
          <w:b/>
          <w:sz w:val="24"/>
          <w:szCs w:val="24"/>
          <w:lang w:val="es-PE" w:eastAsia="ar-SA"/>
        </w:rPr>
        <w:t>5</w:t>
      </w:r>
    </w:p>
    <w:p w14:paraId="56DB191C" w14:textId="77777777" w:rsidR="005A2497" w:rsidRPr="005A2497" w:rsidRDefault="005A2497" w:rsidP="005A2497">
      <w:pPr>
        <w:spacing w:after="0" w:line="240" w:lineRule="auto"/>
        <w:jc w:val="center"/>
        <w:rPr>
          <w:rFonts w:ascii="Times New Roman" w:hAnsi="Times New Roman" w:cs="Times New Roman"/>
          <w:b/>
          <w:sz w:val="24"/>
          <w:szCs w:val="24"/>
          <w:lang w:val="es-PE" w:eastAsia="ar-SA"/>
        </w:rPr>
      </w:pPr>
    </w:p>
    <w:p w14:paraId="448153EC" w14:textId="6899B257" w:rsidR="005A2497" w:rsidRPr="005A2497" w:rsidRDefault="005A2497" w:rsidP="005A2497">
      <w:pPr>
        <w:spacing w:line="240" w:lineRule="auto"/>
        <w:jc w:val="both"/>
        <w:rPr>
          <w:rFonts w:ascii="Times New Roman" w:eastAsia="Arial Unicode MS" w:hAnsi="Times New Roman" w:cs="Times New Roman"/>
          <w:sz w:val="24"/>
          <w:szCs w:val="24"/>
          <w:lang w:val="es-PE" w:eastAsia="ar-SA"/>
        </w:rPr>
      </w:pPr>
      <w:r w:rsidRPr="005A2497">
        <w:rPr>
          <w:rFonts w:ascii="Times New Roman" w:eastAsia="Arial Unicode MS" w:hAnsi="Times New Roman" w:cs="Times New Roman"/>
          <w:b/>
          <w:sz w:val="24"/>
          <w:szCs w:val="24"/>
          <w:lang w:val="es-PE" w:eastAsia="ar-SA"/>
        </w:rPr>
        <w:t xml:space="preserve">Vistos: </w:t>
      </w:r>
    </w:p>
    <w:p w14:paraId="307D6086" w14:textId="77777777" w:rsidR="005A2497" w:rsidRPr="005A2497" w:rsidRDefault="005A2497" w:rsidP="005A2497">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El Recurso Impugnativo presentado por ANDRES …………………, respecto de la Resolución N° 030/25 emitida por esta Defensoría del Asegurado que declaró INFUNDADA la reclamación interpuesta, sobre otorgamiento de cobertura al siniestro ocurrido conforme a la Póliza de Seguro de Tarjetas 360°.</w:t>
      </w:r>
    </w:p>
    <w:p w14:paraId="54ECBBB6" w14:textId="77777777" w:rsidR="005A2497" w:rsidRPr="005A2497" w:rsidRDefault="005A2497" w:rsidP="005A2497">
      <w:pPr>
        <w:spacing w:line="240" w:lineRule="auto"/>
        <w:jc w:val="both"/>
        <w:rPr>
          <w:rFonts w:ascii="Times New Roman" w:eastAsia="Arial Unicode MS" w:hAnsi="Times New Roman" w:cs="Times New Roman"/>
          <w:sz w:val="24"/>
          <w:szCs w:val="24"/>
          <w:lang w:val="es-PE" w:eastAsia="ar-SA"/>
        </w:rPr>
      </w:pPr>
      <w:r w:rsidRPr="005A2497">
        <w:rPr>
          <w:rFonts w:ascii="Times New Roman" w:eastAsia="Arial Unicode MS" w:hAnsi="Times New Roman" w:cs="Times New Roman"/>
          <w:sz w:val="24"/>
          <w:szCs w:val="24"/>
          <w:lang w:val="es-PE" w:eastAsia="ar-SA"/>
        </w:rPr>
        <w:t>Que el señalado Recurso Impugnativo se fundamenta resumidamente en lo siguiente:</w:t>
      </w:r>
    </w:p>
    <w:p w14:paraId="18EA1674" w14:textId="77777777" w:rsidR="005A2497" w:rsidRPr="005A2497" w:rsidRDefault="005A2497" w:rsidP="005A2497">
      <w:pPr>
        <w:numPr>
          <w:ilvl w:val="0"/>
          <w:numId w:val="34"/>
        </w:numPr>
        <w:spacing w:line="240" w:lineRule="auto"/>
        <w:jc w:val="both"/>
        <w:rPr>
          <w:rFonts w:ascii="Times New Roman" w:eastAsia="Arial Unicode MS" w:hAnsi="Times New Roman" w:cs="Times New Roman"/>
          <w:sz w:val="24"/>
          <w:szCs w:val="24"/>
          <w:lang w:val="es-PE" w:eastAsia="ar-SA"/>
        </w:rPr>
      </w:pPr>
      <w:r w:rsidRPr="005A2497">
        <w:rPr>
          <w:rFonts w:ascii="Times New Roman" w:eastAsia="Arial Unicode MS" w:hAnsi="Times New Roman" w:cs="Times New Roman"/>
          <w:sz w:val="24"/>
          <w:szCs w:val="24"/>
          <w:lang w:val="es-PE" w:eastAsia="ar-SA"/>
        </w:rPr>
        <w:t>Que, la decisión de la aseguradora y la validación de DEFASEG se han basado exclusivamente en el resultado de una prueba poligráfica, sin considerar de manera objetiva las pruebas documentales aportadas.</w:t>
      </w:r>
    </w:p>
    <w:p w14:paraId="676C11BE" w14:textId="77777777" w:rsidR="005A2497" w:rsidRPr="005A2497" w:rsidRDefault="005A2497" w:rsidP="005A2497">
      <w:pPr>
        <w:numPr>
          <w:ilvl w:val="0"/>
          <w:numId w:val="34"/>
        </w:numPr>
        <w:spacing w:line="240" w:lineRule="auto"/>
        <w:jc w:val="both"/>
        <w:rPr>
          <w:rFonts w:ascii="Times New Roman" w:eastAsia="Arial Unicode MS" w:hAnsi="Times New Roman" w:cs="Times New Roman"/>
          <w:sz w:val="24"/>
          <w:szCs w:val="24"/>
          <w:lang w:val="es-PE" w:eastAsia="ar-SA"/>
        </w:rPr>
      </w:pPr>
      <w:r w:rsidRPr="005A2497">
        <w:rPr>
          <w:rFonts w:ascii="Times New Roman" w:eastAsia="Arial Unicode MS" w:hAnsi="Times New Roman" w:cs="Times New Roman"/>
          <w:sz w:val="24"/>
          <w:szCs w:val="24"/>
          <w:lang w:val="es-PE" w:eastAsia="ar-SA"/>
        </w:rPr>
        <w:t>Que, la comunidad científica y organismos internacionales cuestionan su fiabilidad dado que puede ser afectada por diversos factores (estrés, ansiedad, condiciones físicas del examinado, etc.)</w:t>
      </w:r>
    </w:p>
    <w:p w14:paraId="37F1894E" w14:textId="77777777" w:rsidR="005A2497" w:rsidRPr="005A2497" w:rsidRDefault="005A2497" w:rsidP="005A2497">
      <w:pPr>
        <w:numPr>
          <w:ilvl w:val="0"/>
          <w:numId w:val="34"/>
        </w:numPr>
        <w:spacing w:line="240" w:lineRule="auto"/>
        <w:jc w:val="both"/>
        <w:rPr>
          <w:rFonts w:ascii="Times New Roman" w:eastAsia="Arial Unicode MS" w:hAnsi="Times New Roman" w:cs="Times New Roman"/>
          <w:sz w:val="24"/>
          <w:szCs w:val="24"/>
          <w:lang w:val="es-PE" w:eastAsia="ar-SA"/>
        </w:rPr>
      </w:pPr>
      <w:r w:rsidRPr="005A2497">
        <w:rPr>
          <w:rFonts w:ascii="Times New Roman" w:eastAsia="Arial Unicode MS" w:hAnsi="Times New Roman" w:cs="Times New Roman"/>
          <w:sz w:val="24"/>
          <w:szCs w:val="24"/>
          <w:lang w:val="es-PE" w:eastAsia="ar-SA"/>
        </w:rPr>
        <w:t>Que, existen precedentes en donde la SBS e INDECOPI han considerado que el polígrafo no puede ser el único criterio para rechazar un siniestro.</w:t>
      </w:r>
    </w:p>
    <w:p w14:paraId="482D42A9" w14:textId="77777777" w:rsidR="005A2497" w:rsidRPr="005A2497" w:rsidRDefault="005A2497" w:rsidP="005A2497">
      <w:pPr>
        <w:numPr>
          <w:ilvl w:val="0"/>
          <w:numId w:val="34"/>
        </w:numPr>
        <w:spacing w:line="240" w:lineRule="auto"/>
        <w:jc w:val="both"/>
        <w:rPr>
          <w:rFonts w:ascii="Times New Roman" w:eastAsia="Arial Unicode MS" w:hAnsi="Times New Roman" w:cs="Times New Roman"/>
          <w:sz w:val="24"/>
          <w:szCs w:val="24"/>
          <w:lang w:val="es-PE" w:eastAsia="ar-SA"/>
        </w:rPr>
      </w:pPr>
      <w:r w:rsidRPr="005A2497">
        <w:rPr>
          <w:rFonts w:ascii="Times New Roman" w:eastAsia="Arial Unicode MS" w:hAnsi="Times New Roman" w:cs="Times New Roman"/>
          <w:sz w:val="24"/>
          <w:szCs w:val="24"/>
          <w:lang w:val="es-PE" w:eastAsia="ar-SA"/>
        </w:rPr>
        <w:t>Que, a diferencia de la prueba poligráfica, se ha presentado pruebas documentales objetivas que son legalmente válidas y verificables:</w:t>
      </w:r>
    </w:p>
    <w:p w14:paraId="0B63389F" w14:textId="77777777" w:rsidR="005A2497" w:rsidRPr="005A2497" w:rsidRDefault="005A2497" w:rsidP="005A2497">
      <w:pPr>
        <w:numPr>
          <w:ilvl w:val="0"/>
          <w:numId w:val="35"/>
        </w:numPr>
        <w:spacing w:line="240" w:lineRule="auto"/>
        <w:jc w:val="both"/>
        <w:rPr>
          <w:rFonts w:ascii="Times New Roman" w:eastAsia="Arial Unicode MS" w:hAnsi="Times New Roman" w:cs="Times New Roman"/>
          <w:sz w:val="24"/>
          <w:szCs w:val="24"/>
          <w:lang w:val="es-PE" w:eastAsia="ar-SA"/>
        </w:rPr>
      </w:pPr>
      <w:r w:rsidRPr="005A2497">
        <w:rPr>
          <w:rFonts w:ascii="Times New Roman" w:eastAsia="Arial Unicode MS" w:hAnsi="Times New Roman" w:cs="Times New Roman"/>
          <w:sz w:val="24"/>
          <w:szCs w:val="24"/>
          <w:lang w:val="es-PE" w:eastAsia="ar-SA"/>
        </w:rPr>
        <w:t>Denuncia policial formalizada</w:t>
      </w:r>
    </w:p>
    <w:p w14:paraId="787FDC76" w14:textId="77777777" w:rsidR="005A2497" w:rsidRPr="005A2497" w:rsidRDefault="005A2497" w:rsidP="005A2497">
      <w:pPr>
        <w:numPr>
          <w:ilvl w:val="0"/>
          <w:numId w:val="35"/>
        </w:numPr>
        <w:spacing w:line="240" w:lineRule="auto"/>
        <w:jc w:val="both"/>
        <w:rPr>
          <w:rFonts w:ascii="Times New Roman" w:eastAsia="Arial Unicode MS" w:hAnsi="Times New Roman" w:cs="Times New Roman"/>
          <w:sz w:val="24"/>
          <w:szCs w:val="24"/>
          <w:lang w:val="es-PE" w:eastAsia="ar-SA"/>
        </w:rPr>
      </w:pPr>
      <w:r w:rsidRPr="005A2497">
        <w:rPr>
          <w:rFonts w:ascii="Times New Roman" w:eastAsia="Arial Unicode MS" w:hAnsi="Times New Roman" w:cs="Times New Roman"/>
          <w:sz w:val="24"/>
          <w:szCs w:val="24"/>
          <w:lang w:val="es-PE" w:eastAsia="ar-SA"/>
        </w:rPr>
        <w:t>Constancia de bloquero de tarjetas</w:t>
      </w:r>
    </w:p>
    <w:p w14:paraId="5C399D9E" w14:textId="77777777" w:rsidR="005A2497" w:rsidRPr="005A2497" w:rsidRDefault="005A2497" w:rsidP="005A2497">
      <w:pPr>
        <w:numPr>
          <w:ilvl w:val="0"/>
          <w:numId w:val="35"/>
        </w:numPr>
        <w:spacing w:line="240" w:lineRule="auto"/>
        <w:jc w:val="both"/>
        <w:rPr>
          <w:rFonts w:ascii="Times New Roman" w:eastAsia="Arial Unicode MS" w:hAnsi="Times New Roman" w:cs="Times New Roman"/>
          <w:sz w:val="24"/>
          <w:szCs w:val="24"/>
          <w:lang w:val="es-PE" w:eastAsia="ar-SA"/>
        </w:rPr>
      </w:pPr>
      <w:r w:rsidRPr="005A2497">
        <w:rPr>
          <w:rFonts w:ascii="Times New Roman" w:eastAsia="Arial Unicode MS" w:hAnsi="Times New Roman" w:cs="Times New Roman"/>
          <w:sz w:val="24"/>
          <w:szCs w:val="24"/>
          <w:lang w:val="es-PE" w:eastAsia="ar-SA"/>
        </w:rPr>
        <w:t>Estados de cuenta bancarios</w:t>
      </w:r>
    </w:p>
    <w:p w14:paraId="29608EE4" w14:textId="77777777" w:rsidR="005A2497" w:rsidRPr="005A2497" w:rsidRDefault="005A2497" w:rsidP="005A2497">
      <w:pPr>
        <w:numPr>
          <w:ilvl w:val="0"/>
          <w:numId w:val="35"/>
        </w:numPr>
        <w:spacing w:line="240" w:lineRule="auto"/>
        <w:jc w:val="both"/>
        <w:rPr>
          <w:rFonts w:ascii="Times New Roman" w:eastAsia="Arial Unicode MS" w:hAnsi="Times New Roman" w:cs="Times New Roman"/>
          <w:sz w:val="24"/>
          <w:szCs w:val="24"/>
          <w:lang w:val="es-PE" w:eastAsia="ar-SA"/>
        </w:rPr>
      </w:pPr>
      <w:r w:rsidRPr="005A2497">
        <w:rPr>
          <w:rFonts w:ascii="Times New Roman" w:eastAsia="Arial Unicode MS" w:hAnsi="Times New Roman" w:cs="Times New Roman"/>
          <w:sz w:val="24"/>
          <w:szCs w:val="24"/>
          <w:lang w:val="es-PE" w:eastAsia="ar-SA"/>
        </w:rPr>
        <w:t>Registro de llamadas al banco</w:t>
      </w:r>
    </w:p>
    <w:p w14:paraId="78568828" w14:textId="77777777" w:rsidR="005A2497" w:rsidRPr="005A2497" w:rsidRDefault="005A2497" w:rsidP="005A2497">
      <w:pPr>
        <w:numPr>
          <w:ilvl w:val="0"/>
          <w:numId w:val="35"/>
        </w:numPr>
        <w:spacing w:line="240" w:lineRule="auto"/>
        <w:jc w:val="both"/>
        <w:rPr>
          <w:rFonts w:ascii="Times New Roman" w:eastAsia="Arial Unicode MS" w:hAnsi="Times New Roman" w:cs="Times New Roman"/>
          <w:sz w:val="24"/>
          <w:szCs w:val="24"/>
          <w:lang w:val="es-PE" w:eastAsia="ar-SA"/>
        </w:rPr>
      </w:pPr>
      <w:r w:rsidRPr="005A2497">
        <w:rPr>
          <w:rFonts w:ascii="Times New Roman" w:eastAsia="Arial Unicode MS" w:hAnsi="Times New Roman" w:cs="Times New Roman"/>
          <w:sz w:val="24"/>
          <w:szCs w:val="24"/>
          <w:lang w:val="es-PE" w:eastAsia="ar-SA"/>
        </w:rPr>
        <w:t>Correos electrónicos con la aseguradora</w:t>
      </w:r>
    </w:p>
    <w:p w14:paraId="2AB263BD" w14:textId="77777777" w:rsidR="005A2497" w:rsidRPr="005A2497" w:rsidRDefault="005A2497" w:rsidP="005A2497">
      <w:pPr>
        <w:numPr>
          <w:ilvl w:val="0"/>
          <w:numId w:val="34"/>
        </w:numPr>
        <w:spacing w:line="240" w:lineRule="auto"/>
        <w:jc w:val="both"/>
        <w:rPr>
          <w:rFonts w:ascii="Times New Roman" w:eastAsia="Arial Unicode MS" w:hAnsi="Times New Roman" w:cs="Times New Roman"/>
          <w:sz w:val="24"/>
          <w:szCs w:val="24"/>
          <w:lang w:val="es-PE" w:eastAsia="ar-SA"/>
        </w:rPr>
      </w:pPr>
      <w:r w:rsidRPr="005A2497">
        <w:rPr>
          <w:rFonts w:ascii="Times New Roman" w:eastAsia="Arial Unicode MS" w:hAnsi="Times New Roman" w:cs="Times New Roman"/>
          <w:sz w:val="24"/>
          <w:szCs w:val="24"/>
          <w:lang w:val="es-PE" w:eastAsia="ar-SA"/>
        </w:rPr>
        <w:t xml:space="preserve">Que, cabe señalar que ha sido </w:t>
      </w:r>
      <w:proofErr w:type="spellStart"/>
      <w:r w:rsidRPr="005A2497">
        <w:rPr>
          <w:rFonts w:ascii="Times New Roman" w:eastAsia="Arial Unicode MS" w:hAnsi="Times New Roman" w:cs="Times New Roman"/>
          <w:sz w:val="24"/>
          <w:szCs w:val="24"/>
          <w:lang w:val="es-PE" w:eastAsia="ar-SA"/>
        </w:rPr>
        <w:t>victima</w:t>
      </w:r>
      <w:proofErr w:type="spellEnd"/>
      <w:r w:rsidRPr="005A2497">
        <w:rPr>
          <w:rFonts w:ascii="Times New Roman" w:eastAsia="Arial Unicode MS" w:hAnsi="Times New Roman" w:cs="Times New Roman"/>
          <w:sz w:val="24"/>
          <w:szCs w:val="24"/>
          <w:lang w:val="es-PE" w:eastAsia="ar-SA"/>
        </w:rPr>
        <w:t xml:space="preserve"> de siniestros previos y en cada caso ha seguido los procedimientos correspondientes sin que haya demostrado conducta fraudulenta.</w:t>
      </w:r>
    </w:p>
    <w:p w14:paraId="18A91138" w14:textId="77777777" w:rsidR="005A2497" w:rsidRPr="005A2497" w:rsidRDefault="005A2497" w:rsidP="005A2497">
      <w:pPr>
        <w:numPr>
          <w:ilvl w:val="0"/>
          <w:numId w:val="34"/>
        </w:numPr>
        <w:spacing w:line="240" w:lineRule="auto"/>
        <w:jc w:val="both"/>
        <w:rPr>
          <w:rFonts w:ascii="Times New Roman" w:eastAsia="Arial Unicode MS" w:hAnsi="Times New Roman" w:cs="Times New Roman"/>
          <w:sz w:val="24"/>
          <w:szCs w:val="24"/>
          <w:lang w:val="es-PE" w:eastAsia="ar-SA"/>
        </w:rPr>
      </w:pPr>
      <w:r w:rsidRPr="005A2497">
        <w:rPr>
          <w:rFonts w:ascii="Times New Roman" w:eastAsia="Arial Unicode MS" w:hAnsi="Times New Roman" w:cs="Times New Roman"/>
          <w:sz w:val="24"/>
          <w:szCs w:val="24"/>
          <w:lang w:val="es-PE" w:eastAsia="ar-SA"/>
        </w:rPr>
        <w:t xml:space="preserve">Que, no puede asumirse que la demora en el bloqueo del celular en este </w:t>
      </w:r>
      <w:proofErr w:type="gramStart"/>
      <w:r w:rsidRPr="005A2497">
        <w:rPr>
          <w:rFonts w:ascii="Times New Roman" w:eastAsia="Arial Unicode MS" w:hAnsi="Times New Roman" w:cs="Times New Roman"/>
          <w:sz w:val="24"/>
          <w:szCs w:val="24"/>
          <w:lang w:val="es-PE" w:eastAsia="ar-SA"/>
        </w:rPr>
        <w:t>caso,</w:t>
      </w:r>
      <w:proofErr w:type="gramEnd"/>
      <w:r w:rsidRPr="005A2497">
        <w:rPr>
          <w:rFonts w:ascii="Times New Roman" w:eastAsia="Arial Unicode MS" w:hAnsi="Times New Roman" w:cs="Times New Roman"/>
          <w:sz w:val="24"/>
          <w:szCs w:val="24"/>
          <w:lang w:val="es-PE" w:eastAsia="ar-SA"/>
        </w:rPr>
        <w:t xml:space="preserve"> implique una irregularidad.</w:t>
      </w:r>
    </w:p>
    <w:p w14:paraId="290656BB" w14:textId="77777777" w:rsidR="005A2497" w:rsidRPr="005A2497" w:rsidRDefault="005A2497" w:rsidP="005A2497">
      <w:pPr>
        <w:numPr>
          <w:ilvl w:val="0"/>
          <w:numId w:val="34"/>
        </w:numPr>
        <w:spacing w:line="240" w:lineRule="auto"/>
        <w:jc w:val="both"/>
        <w:rPr>
          <w:rFonts w:ascii="Times New Roman" w:eastAsia="Arial Unicode MS" w:hAnsi="Times New Roman" w:cs="Times New Roman"/>
          <w:sz w:val="24"/>
          <w:szCs w:val="24"/>
          <w:lang w:val="es-PE" w:eastAsia="ar-SA"/>
        </w:rPr>
      </w:pPr>
      <w:r w:rsidRPr="005A2497">
        <w:rPr>
          <w:rFonts w:ascii="Times New Roman" w:eastAsia="Arial Unicode MS" w:hAnsi="Times New Roman" w:cs="Times New Roman"/>
          <w:sz w:val="24"/>
          <w:szCs w:val="24"/>
          <w:lang w:val="es-PE" w:eastAsia="ar-SA"/>
        </w:rPr>
        <w:t>Que, en este caso, se ha vulnerado al dar mayor peso a una prueba poligráfica que carece de validez absoluta en detrimento de las pruebas documentales que confirman la ocurrencia del siniestro.</w:t>
      </w:r>
    </w:p>
    <w:p w14:paraId="7339FF0D" w14:textId="77777777" w:rsidR="005A2497" w:rsidRPr="005A2497" w:rsidRDefault="005A2497" w:rsidP="005A2497">
      <w:pPr>
        <w:spacing w:line="240" w:lineRule="auto"/>
        <w:jc w:val="both"/>
        <w:rPr>
          <w:rFonts w:ascii="Times New Roman" w:eastAsia="Arial Unicode MS" w:hAnsi="Times New Roman" w:cs="Times New Roman"/>
          <w:sz w:val="24"/>
          <w:szCs w:val="24"/>
          <w:lang w:val="es-PE" w:eastAsia="ar-SA"/>
        </w:rPr>
      </w:pPr>
      <w:r w:rsidRPr="005A2497">
        <w:rPr>
          <w:rFonts w:ascii="Times New Roman" w:eastAsia="Arial Unicode MS" w:hAnsi="Times New Roman" w:cs="Times New Roman"/>
          <w:sz w:val="24"/>
          <w:szCs w:val="24"/>
          <w:lang w:val="es-PE" w:eastAsia="ar-SA"/>
        </w:rPr>
        <w:t xml:space="preserve">Que, habiéndose corrido traslado a la aseguradora del referido Recurso impugnatorio, la misma en respuesta ha expresado lo siguiente: </w:t>
      </w:r>
    </w:p>
    <w:p w14:paraId="12FA7BA1" w14:textId="77777777" w:rsidR="005A2497" w:rsidRPr="005A2497" w:rsidRDefault="005A2497" w:rsidP="005A2497">
      <w:pPr>
        <w:numPr>
          <w:ilvl w:val="0"/>
          <w:numId w:val="36"/>
        </w:numPr>
        <w:spacing w:line="240" w:lineRule="auto"/>
        <w:jc w:val="both"/>
        <w:rPr>
          <w:rFonts w:ascii="Times New Roman" w:eastAsia="Arial Unicode MS" w:hAnsi="Times New Roman" w:cs="Times New Roman"/>
          <w:sz w:val="24"/>
          <w:szCs w:val="24"/>
          <w:lang w:val="es-PE" w:eastAsia="ar-SA"/>
        </w:rPr>
      </w:pPr>
      <w:r w:rsidRPr="005A2497">
        <w:rPr>
          <w:rFonts w:ascii="Times New Roman" w:eastAsia="Arial Unicode MS" w:hAnsi="Times New Roman" w:cs="Times New Roman"/>
          <w:sz w:val="24"/>
          <w:szCs w:val="24"/>
          <w:lang w:val="es-PE" w:eastAsia="ar-SA"/>
        </w:rPr>
        <w:t>Que, se debe señalar que los argumentos presentados por el asegurado se resumen en la presunta falta de veracidad o de objetividad de la prueba poligráfica.</w:t>
      </w:r>
    </w:p>
    <w:p w14:paraId="2E65842A" w14:textId="77777777" w:rsidR="005A2497" w:rsidRPr="005A2497" w:rsidRDefault="005A2497" w:rsidP="005A2497">
      <w:pPr>
        <w:numPr>
          <w:ilvl w:val="0"/>
          <w:numId w:val="36"/>
        </w:numPr>
        <w:spacing w:line="240" w:lineRule="auto"/>
        <w:jc w:val="both"/>
        <w:rPr>
          <w:rFonts w:ascii="Times New Roman" w:eastAsia="Arial Unicode MS" w:hAnsi="Times New Roman" w:cs="Times New Roman"/>
          <w:sz w:val="24"/>
          <w:szCs w:val="24"/>
          <w:lang w:val="es-PE" w:eastAsia="ar-SA"/>
        </w:rPr>
      </w:pPr>
      <w:r w:rsidRPr="005A2497">
        <w:rPr>
          <w:rFonts w:ascii="Times New Roman" w:eastAsia="Arial Unicode MS" w:hAnsi="Times New Roman" w:cs="Times New Roman"/>
          <w:sz w:val="24"/>
          <w:szCs w:val="24"/>
          <w:lang w:val="es-PE" w:eastAsia="ar-SA"/>
        </w:rPr>
        <w:lastRenderedPageBreak/>
        <w:t xml:space="preserve">Que, en ese sentido, se reitera que la prueba poligráfica resulta el método científico </w:t>
      </w:r>
      <w:proofErr w:type="spellStart"/>
      <w:r w:rsidRPr="005A2497">
        <w:rPr>
          <w:rFonts w:ascii="Times New Roman" w:eastAsia="Arial Unicode MS" w:hAnsi="Times New Roman" w:cs="Times New Roman"/>
          <w:sz w:val="24"/>
          <w:szCs w:val="24"/>
          <w:lang w:val="es-PE" w:eastAsia="ar-SA"/>
        </w:rPr>
        <w:t>mas</w:t>
      </w:r>
      <w:proofErr w:type="spellEnd"/>
      <w:r w:rsidRPr="005A2497">
        <w:rPr>
          <w:rFonts w:ascii="Times New Roman" w:eastAsia="Arial Unicode MS" w:hAnsi="Times New Roman" w:cs="Times New Roman"/>
          <w:sz w:val="24"/>
          <w:szCs w:val="24"/>
          <w:lang w:val="es-PE" w:eastAsia="ar-SA"/>
        </w:rPr>
        <w:t xml:space="preserve"> certero con el cual las aseguradoras pueden contar a fin de esclarecer los hechos relacionados a un siniestro.</w:t>
      </w:r>
    </w:p>
    <w:p w14:paraId="078C0D56" w14:textId="77777777" w:rsidR="005A2497" w:rsidRPr="005A2497" w:rsidRDefault="005A2497" w:rsidP="005A2497">
      <w:pPr>
        <w:numPr>
          <w:ilvl w:val="0"/>
          <w:numId w:val="36"/>
        </w:numPr>
        <w:spacing w:line="240" w:lineRule="auto"/>
        <w:jc w:val="both"/>
        <w:rPr>
          <w:rFonts w:ascii="Times New Roman" w:eastAsia="Arial Unicode MS" w:hAnsi="Times New Roman" w:cs="Times New Roman"/>
          <w:sz w:val="24"/>
          <w:szCs w:val="24"/>
          <w:lang w:val="es-PE" w:eastAsia="ar-SA"/>
        </w:rPr>
      </w:pPr>
      <w:r w:rsidRPr="005A2497">
        <w:rPr>
          <w:rFonts w:ascii="Times New Roman" w:eastAsia="Arial Unicode MS" w:hAnsi="Times New Roman" w:cs="Times New Roman"/>
          <w:sz w:val="24"/>
          <w:szCs w:val="24"/>
          <w:lang w:val="es-PE" w:eastAsia="ar-SA"/>
        </w:rPr>
        <w:t>Que, tal como es reconocido por la DEFASEG en su Resolución N° 025/21, como se señala a continuación:</w:t>
      </w:r>
    </w:p>
    <w:p w14:paraId="22E85A0F" w14:textId="77777777" w:rsidR="005A2497" w:rsidRPr="005A2497" w:rsidRDefault="005A2497" w:rsidP="005A2497">
      <w:pPr>
        <w:spacing w:line="240" w:lineRule="auto"/>
        <w:jc w:val="both"/>
        <w:rPr>
          <w:rFonts w:ascii="Times New Roman" w:eastAsia="Arial Unicode MS" w:hAnsi="Times New Roman" w:cs="Times New Roman"/>
          <w:b/>
          <w:bCs/>
          <w:i/>
          <w:iCs/>
          <w:sz w:val="24"/>
          <w:szCs w:val="24"/>
          <w:lang w:val="es-PE" w:eastAsia="ar-SA"/>
        </w:rPr>
      </w:pPr>
      <w:r w:rsidRPr="005A2497">
        <w:rPr>
          <w:rFonts w:ascii="Times New Roman" w:eastAsia="Arial Unicode MS" w:hAnsi="Times New Roman" w:cs="Times New Roman"/>
          <w:sz w:val="24"/>
          <w:szCs w:val="24"/>
          <w:lang w:val="es-PE" w:eastAsia="ar-SA"/>
        </w:rPr>
        <w:t xml:space="preserve">“6.4 (…) </w:t>
      </w:r>
      <w:r w:rsidRPr="005A2497">
        <w:rPr>
          <w:rFonts w:ascii="Times New Roman" w:eastAsia="Arial Unicode MS" w:hAnsi="Times New Roman" w:cs="Times New Roman"/>
          <w:i/>
          <w:iCs/>
          <w:sz w:val="24"/>
          <w:szCs w:val="24"/>
          <w:lang w:val="es-PE" w:eastAsia="ar-SA"/>
        </w:rPr>
        <w:t xml:space="preserve">Debe destacarse que, si bien la prueba del polígrafo no arroja resultados absolutos, </w:t>
      </w:r>
      <w:r w:rsidRPr="005A2497">
        <w:rPr>
          <w:rFonts w:ascii="Times New Roman" w:eastAsia="Arial Unicode MS" w:hAnsi="Times New Roman" w:cs="Times New Roman"/>
          <w:b/>
          <w:bCs/>
          <w:i/>
          <w:iCs/>
          <w:sz w:val="24"/>
          <w:szCs w:val="24"/>
          <w:lang w:val="es-PE" w:eastAsia="ar-SA"/>
        </w:rPr>
        <w:t>sin son al menos científicamente confiables y permiten razonablemente poner bajo cuestionamiento la veracidad del relato sobre lo sucedido y la real configuración del robo denunciado”</w:t>
      </w:r>
    </w:p>
    <w:p w14:paraId="46D3C5AB" w14:textId="77777777" w:rsidR="005A2497" w:rsidRPr="005A2497" w:rsidRDefault="005A2497" w:rsidP="005A2497">
      <w:pPr>
        <w:numPr>
          <w:ilvl w:val="0"/>
          <w:numId w:val="36"/>
        </w:num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Que, si bien el Sr.………………… se limita a cuestionar la presunta falta de veracidad de la prueba poligráfica, no brinda ningún medio probatorio que acredite que la misma se ha alejado de la realidad, o que ha sido producto de alguna adulteración.</w:t>
      </w:r>
    </w:p>
    <w:p w14:paraId="45531141" w14:textId="77777777" w:rsidR="005A2497" w:rsidRPr="005A2497" w:rsidRDefault="005A2497" w:rsidP="005A2497">
      <w:pPr>
        <w:numPr>
          <w:ilvl w:val="0"/>
          <w:numId w:val="36"/>
        </w:numPr>
        <w:spacing w:line="240" w:lineRule="auto"/>
        <w:jc w:val="both"/>
        <w:rPr>
          <w:rFonts w:ascii="Times New Roman" w:eastAsia="Arial Unicode MS" w:hAnsi="Times New Roman" w:cs="Times New Roman"/>
          <w:sz w:val="24"/>
          <w:szCs w:val="24"/>
          <w:lang w:val="es-PE" w:eastAsia="ar-SA"/>
        </w:rPr>
      </w:pPr>
      <w:r w:rsidRPr="005A2497">
        <w:rPr>
          <w:rFonts w:ascii="Times New Roman" w:eastAsia="Arial Unicode MS" w:hAnsi="Times New Roman" w:cs="Times New Roman"/>
          <w:sz w:val="24"/>
          <w:szCs w:val="24"/>
          <w:lang w:val="es-PE" w:eastAsia="ar-SA"/>
        </w:rPr>
        <w:t>Que, de los documentos listados por el reclamante, solo la Denuncia Policial podría considerarse como un medio de acredite la ocurrencia del siniestro, si bien este es un requisito para iniciar el análisis de un siniestro, tal como señala DEFASEG este es un medio parcializado ya que únicamente representa la declaración realizada por una parte ante la policía.</w:t>
      </w:r>
    </w:p>
    <w:p w14:paraId="1EC9C62E" w14:textId="77777777" w:rsidR="005A2497" w:rsidRPr="005A2497" w:rsidRDefault="005A2497" w:rsidP="005A2497">
      <w:pPr>
        <w:spacing w:line="240" w:lineRule="auto"/>
        <w:jc w:val="both"/>
        <w:rPr>
          <w:rFonts w:ascii="Times New Roman" w:eastAsia="Arial Unicode MS" w:hAnsi="Times New Roman" w:cs="Times New Roman"/>
          <w:sz w:val="24"/>
          <w:szCs w:val="24"/>
          <w:lang w:val="es-PE" w:eastAsia="ar-SA"/>
        </w:rPr>
      </w:pPr>
      <w:r w:rsidRPr="005A2497">
        <w:rPr>
          <w:rFonts w:ascii="Times New Roman" w:eastAsia="Arial Unicode MS" w:hAnsi="Times New Roman" w:cs="Times New Roman"/>
          <w:sz w:val="24"/>
          <w:szCs w:val="24"/>
          <w:lang w:val="es-PE" w:eastAsia="ar-SA"/>
        </w:rPr>
        <w:t>Que, atendiendo a lo expuesto, esta Defensoría resuelve finalmente lo siguiente:</w:t>
      </w:r>
    </w:p>
    <w:p w14:paraId="3DC484D7" w14:textId="77777777" w:rsidR="005A2497" w:rsidRPr="005A2497" w:rsidRDefault="005A2497" w:rsidP="005A2497">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PRIMERO: Que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Impugnativo. Conforme a ello, en el caso concreto ANDRES …………………, al interponer el Recurso Impugnativo, ha ejercido formalmente su derecho a contradecir lo resuelto por la Defensoría, aunque se espera razonablemente que sustente objetivamente la razón de su desacuerdo, el vicio o error en que se habría incurrido y que permitiría fundamentar que lo resuelto no se ajusta a derecho ni a los correspondientes actuados.</w:t>
      </w:r>
    </w:p>
    <w:p w14:paraId="3728F370" w14:textId="77777777" w:rsidR="005A2497" w:rsidRPr="005A2497" w:rsidRDefault="005A2497" w:rsidP="005A2497">
      <w:pPr>
        <w:spacing w:line="240" w:lineRule="auto"/>
        <w:jc w:val="both"/>
        <w:rPr>
          <w:rFonts w:ascii="Times New Roman" w:eastAsia="Arial Unicode MS" w:hAnsi="Times New Roman" w:cs="Times New Roman"/>
          <w:sz w:val="24"/>
          <w:szCs w:val="24"/>
          <w:lang w:val="es-PE" w:eastAsia="ar-SA"/>
        </w:rPr>
      </w:pPr>
      <w:r w:rsidRPr="005A2497">
        <w:rPr>
          <w:rFonts w:ascii="Times New Roman" w:eastAsia="Arial Unicode MS" w:hAnsi="Times New Roman" w:cs="Times New Roman"/>
          <w:b/>
          <w:sz w:val="24"/>
          <w:szCs w:val="24"/>
          <w:lang w:val="es-PE" w:eastAsia="ar-SA"/>
        </w:rPr>
        <w:t>SEGUNDO:</w:t>
      </w:r>
      <w:r w:rsidRPr="005A2497">
        <w:rPr>
          <w:rFonts w:ascii="Times New Roman" w:eastAsia="Arial Unicode MS" w:hAnsi="Times New Roman" w:cs="Times New Roman"/>
          <w:sz w:val="24"/>
          <w:szCs w:val="24"/>
          <w:lang w:val="es-PE" w:eastAsia="ar-SA"/>
        </w:rPr>
        <w:t xml:space="preserve"> Que, de la lectura del Recurso Impugnativo interpuesto se aprecia que el asegurado insiste en todos los puntos ya expresados con ocasión de presentar su escrito de reclamación, argumentos que ya fueron debidamente analizados en los Considerandos, Sétimo, Octavo, Noveno y Décimo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reclamante que este colegiado no comparte, pero sin aportar argumento o medio probatorio alguno que permita objetivamente a este colegiado apreciar que habría incurrido efectivamente en un error o vicio al momento de resolver.</w:t>
      </w:r>
    </w:p>
    <w:p w14:paraId="390FE688" w14:textId="77777777" w:rsidR="005A2497" w:rsidRDefault="005A2497" w:rsidP="005A2497">
      <w:pPr>
        <w:spacing w:line="240" w:lineRule="auto"/>
        <w:jc w:val="both"/>
        <w:rPr>
          <w:rFonts w:ascii="Times New Roman" w:eastAsia="Arial Unicode MS" w:hAnsi="Times New Roman" w:cs="Times New Roman"/>
          <w:sz w:val="24"/>
          <w:szCs w:val="24"/>
          <w:lang w:val="es-PE" w:eastAsia="ar-SA"/>
        </w:rPr>
      </w:pPr>
      <w:r w:rsidRPr="005A2497">
        <w:rPr>
          <w:rFonts w:ascii="Times New Roman" w:eastAsia="Arial Unicode MS" w:hAnsi="Times New Roman" w:cs="Times New Roman"/>
          <w:sz w:val="24"/>
          <w:szCs w:val="24"/>
          <w:lang w:val="es-PE" w:eastAsia="ar-SA"/>
        </w:rPr>
        <w:t>Que, en atención a las consideraciones precedentes, este colegiado no aprecia mérito ni razón objetiva para revocar la resolución recurrida y, por lo tanto</w:t>
      </w:r>
    </w:p>
    <w:p w14:paraId="42FF0208" w14:textId="77777777" w:rsidR="005A2497" w:rsidRPr="005A2497" w:rsidRDefault="005A2497" w:rsidP="005A2497">
      <w:pPr>
        <w:spacing w:line="240" w:lineRule="auto"/>
        <w:jc w:val="both"/>
        <w:rPr>
          <w:rFonts w:ascii="Times New Roman" w:eastAsia="Arial Unicode MS" w:hAnsi="Times New Roman" w:cs="Times New Roman"/>
          <w:sz w:val="24"/>
          <w:szCs w:val="24"/>
          <w:lang w:val="es-PE" w:eastAsia="ar-SA"/>
        </w:rPr>
      </w:pPr>
    </w:p>
    <w:p w14:paraId="320BB6E4" w14:textId="77777777" w:rsidR="005A2497" w:rsidRPr="005A2497" w:rsidRDefault="005A2497" w:rsidP="005A2497">
      <w:pPr>
        <w:spacing w:line="240" w:lineRule="auto"/>
        <w:jc w:val="both"/>
        <w:rPr>
          <w:rFonts w:ascii="Times New Roman" w:eastAsia="Arial Unicode MS" w:hAnsi="Times New Roman" w:cs="Times New Roman"/>
          <w:b/>
          <w:sz w:val="24"/>
          <w:szCs w:val="24"/>
          <w:lang w:val="es-PE" w:eastAsia="ar-SA"/>
        </w:rPr>
      </w:pPr>
      <w:r w:rsidRPr="005A2497">
        <w:rPr>
          <w:rFonts w:ascii="Times New Roman" w:eastAsia="Arial Unicode MS" w:hAnsi="Times New Roman" w:cs="Times New Roman"/>
          <w:b/>
          <w:sz w:val="24"/>
          <w:szCs w:val="24"/>
          <w:lang w:val="es-PE" w:eastAsia="ar-SA"/>
        </w:rPr>
        <w:lastRenderedPageBreak/>
        <w:t xml:space="preserve">RESUELVE: </w:t>
      </w:r>
    </w:p>
    <w:p w14:paraId="0674073F" w14:textId="77777777" w:rsidR="005A2497" w:rsidRPr="005A2497" w:rsidRDefault="005A2497" w:rsidP="005A2497">
      <w:pPr>
        <w:spacing w:line="240" w:lineRule="auto"/>
        <w:jc w:val="both"/>
        <w:rPr>
          <w:rFonts w:ascii="Times New Roman" w:eastAsia="Arial Unicode MS" w:hAnsi="Times New Roman" w:cs="Times New Roman"/>
          <w:sz w:val="24"/>
          <w:szCs w:val="24"/>
          <w:lang w:val="es-PE" w:eastAsia="ar-SA"/>
        </w:rPr>
      </w:pPr>
      <w:r w:rsidRPr="005A2497">
        <w:rPr>
          <w:rFonts w:ascii="Times New Roman" w:eastAsia="Arial Unicode MS" w:hAnsi="Times New Roman" w:cs="Times New Roman"/>
          <w:sz w:val="24"/>
          <w:szCs w:val="24"/>
          <w:lang w:val="es-PE" w:eastAsia="ar-SA"/>
        </w:rPr>
        <w:t xml:space="preserve">Declarar </w:t>
      </w:r>
      <w:r w:rsidRPr="005A2497">
        <w:rPr>
          <w:rFonts w:ascii="Times New Roman" w:eastAsia="Arial Unicode MS" w:hAnsi="Times New Roman" w:cs="Times New Roman"/>
          <w:b/>
          <w:sz w:val="24"/>
          <w:szCs w:val="24"/>
          <w:lang w:val="es-PE" w:eastAsia="ar-SA"/>
        </w:rPr>
        <w:t>INFUNDADO</w:t>
      </w:r>
      <w:r w:rsidRPr="005A2497">
        <w:rPr>
          <w:rFonts w:ascii="Times New Roman" w:eastAsia="Arial Unicode MS" w:hAnsi="Times New Roman" w:cs="Times New Roman"/>
          <w:sz w:val="24"/>
          <w:szCs w:val="24"/>
          <w:lang w:val="es-PE" w:eastAsia="ar-SA"/>
        </w:rPr>
        <w:t xml:space="preserve"> el Recurso Impugnativo interpuesto y, por consiguiente, ratificar la Resolución </w:t>
      </w:r>
      <w:r w:rsidRPr="005A2497">
        <w:rPr>
          <w:rFonts w:ascii="Times New Roman" w:eastAsia="Arial Unicode MS" w:hAnsi="Times New Roman" w:cs="Times New Roman"/>
          <w:b/>
          <w:bCs/>
          <w:sz w:val="24"/>
          <w:szCs w:val="24"/>
          <w:lang w:val="es-PE" w:eastAsia="ar-SA"/>
        </w:rPr>
        <w:t>N° 030/25</w:t>
      </w:r>
      <w:r w:rsidRPr="005A2497">
        <w:rPr>
          <w:rFonts w:ascii="Times New Roman" w:eastAsia="Arial Unicode MS" w:hAnsi="Times New Roman" w:cs="Times New Roman"/>
          <w:sz w:val="24"/>
          <w:szCs w:val="24"/>
          <w:lang w:val="es-PE" w:eastAsia="ar-SA"/>
        </w:rPr>
        <w:t xml:space="preserve"> que declaró</w:t>
      </w:r>
      <w:r w:rsidRPr="005A2497">
        <w:rPr>
          <w:rFonts w:ascii="Times New Roman" w:eastAsia="Arial Unicode MS" w:hAnsi="Times New Roman" w:cs="Times New Roman"/>
          <w:b/>
          <w:bCs/>
          <w:sz w:val="24"/>
          <w:szCs w:val="24"/>
          <w:lang w:val="es-PE" w:eastAsia="ar-SA"/>
        </w:rPr>
        <w:t xml:space="preserve"> INFUNDADA </w:t>
      </w:r>
      <w:r w:rsidRPr="005A2497">
        <w:rPr>
          <w:rFonts w:ascii="Times New Roman" w:eastAsia="Arial Unicode MS" w:hAnsi="Times New Roman" w:cs="Times New Roman"/>
          <w:sz w:val="24"/>
          <w:szCs w:val="24"/>
          <w:lang w:val="es-PE" w:eastAsia="ar-SA"/>
        </w:rPr>
        <w:t>la reclamación interpuesta.</w:t>
      </w:r>
      <w:r w:rsidRPr="005A2497">
        <w:rPr>
          <w:rFonts w:ascii="Times New Roman" w:eastAsia="Arial Unicode MS" w:hAnsi="Times New Roman" w:cs="Times New Roman"/>
          <w:b/>
          <w:bCs/>
          <w:sz w:val="24"/>
          <w:szCs w:val="24"/>
          <w:lang w:val="es-PE" w:eastAsia="ar-SA"/>
        </w:rPr>
        <w:t xml:space="preserve"> </w:t>
      </w:r>
      <w:r w:rsidRPr="005A2497">
        <w:rPr>
          <w:rFonts w:ascii="Times New Roman" w:eastAsia="Arial Unicode MS" w:hAnsi="Times New Roman" w:cs="Times New Roman"/>
          <w:sz w:val="24"/>
          <w:szCs w:val="24"/>
          <w:lang w:val="es-PE" w:eastAsia="ar-SA"/>
        </w:rPr>
        <w:t>Sin embargo, considerando que las Resoluciones emitidas por la DEFASEG no son vinculantes para los asegurados, estos quedan en libertad de acudir a otras instancias que considere convenientes.</w:t>
      </w:r>
    </w:p>
    <w:p w14:paraId="51EDAB4B" w14:textId="257A2010" w:rsidR="00B32E8A" w:rsidRPr="000B2CB1" w:rsidRDefault="0091528B" w:rsidP="007F2000">
      <w:pPr>
        <w:spacing w:line="240" w:lineRule="auto"/>
        <w:jc w:val="right"/>
        <w:rPr>
          <w:rFonts w:ascii="Times New Roman" w:hAnsi="Times New Roman" w:cs="Times New Roman"/>
          <w:sz w:val="24"/>
          <w:szCs w:val="24"/>
          <w:lang w:val="es-PE"/>
        </w:rPr>
      </w:pPr>
      <w:r w:rsidRPr="000B2CB1">
        <w:rPr>
          <w:rFonts w:ascii="Times New Roman" w:eastAsia="Arial Unicode MS" w:hAnsi="Times New Roman" w:cs="Times New Roman"/>
          <w:sz w:val="24"/>
          <w:szCs w:val="24"/>
          <w:lang w:val="es-PE" w:eastAsia="ar-SA"/>
        </w:rPr>
        <w:t>Lima,</w:t>
      </w:r>
      <w:r w:rsidR="00774D05" w:rsidRPr="000B2CB1">
        <w:rPr>
          <w:rFonts w:ascii="Times New Roman" w:eastAsia="Arial Unicode MS" w:hAnsi="Times New Roman" w:cs="Times New Roman"/>
          <w:sz w:val="24"/>
          <w:szCs w:val="24"/>
          <w:lang w:val="es-PE" w:eastAsia="ar-SA"/>
        </w:rPr>
        <w:t xml:space="preserve"> </w:t>
      </w:r>
      <w:r w:rsidR="00AD5481" w:rsidRPr="000B2CB1">
        <w:rPr>
          <w:rFonts w:ascii="Times New Roman" w:eastAsia="Arial Unicode MS" w:hAnsi="Times New Roman" w:cs="Times New Roman"/>
          <w:sz w:val="24"/>
          <w:szCs w:val="24"/>
          <w:lang w:val="es-PE" w:eastAsia="ar-SA"/>
        </w:rPr>
        <w:t>0</w:t>
      </w:r>
      <w:r w:rsidR="00E41161">
        <w:rPr>
          <w:rFonts w:ascii="Times New Roman" w:eastAsia="Arial Unicode MS" w:hAnsi="Times New Roman" w:cs="Times New Roman"/>
          <w:sz w:val="24"/>
          <w:szCs w:val="24"/>
          <w:lang w:val="es-PE" w:eastAsia="ar-SA"/>
        </w:rPr>
        <w:t>9</w:t>
      </w:r>
      <w:r w:rsidR="00AD5481" w:rsidRPr="000B2CB1">
        <w:rPr>
          <w:rFonts w:ascii="Times New Roman" w:eastAsia="Arial Unicode MS" w:hAnsi="Times New Roman" w:cs="Times New Roman"/>
          <w:sz w:val="24"/>
          <w:szCs w:val="24"/>
          <w:lang w:val="es-PE" w:eastAsia="ar-SA"/>
        </w:rPr>
        <w:t xml:space="preserve"> </w:t>
      </w:r>
      <w:r w:rsidR="00707C99" w:rsidRPr="000B2CB1">
        <w:rPr>
          <w:rFonts w:ascii="Times New Roman" w:eastAsia="Arial Unicode MS" w:hAnsi="Times New Roman" w:cs="Times New Roman"/>
          <w:sz w:val="24"/>
          <w:szCs w:val="24"/>
          <w:lang w:val="es-PE" w:eastAsia="ar-SA"/>
        </w:rPr>
        <w:t xml:space="preserve">de </w:t>
      </w:r>
      <w:r w:rsidR="00AD5481" w:rsidRPr="000B2CB1">
        <w:rPr>
          <w:rFonts w:ascii="Times New Roman" w:eastAsia="Arial Unicode MS" w:hAnsi="Times New Roman" w:cs="Times New Roman"/>
          <w:sz w:val="24"/>
          <w:szCs w:val="24"/>
          <w:lang w:val="es-PE" w:eastAsia="ar-SA"/>
        </w:rPr>
        <w:t>abril</w:t>
      </w:r>
      <w:r w:rsidR="002F478E" w:rsidRPr="000B2CB1">
        <w:rPr>
          <w:rFonts w:ascii="Times New Roman" w:eastAsia="Arial Unicode MS" w:hAnsi="Times New Roman" w:cs="Times New Roman"/>
          <w:sz w:val="24"/>
          <w:szCs w:val="24"/>
          <w:lang w:val="es-PE" w:eastAsia="ar-SA"/>
        </w:rPr>
        <w:t xml:space="preserve"> </w:t>
      </w:r>
      <w:r w:rsidR="00F06498" w:rsidRPr="000B2CB1">
        <w:rPr>
          <w:rFonts w:ascii="Times New Roman" w:eastAsia="Arial Unicode MS" w:hAnsi="Times New Roman" w:cs="Times New Roman"/>
          <w:sz w:val="24"/>
          <w:szCs w:val="24"/>
          <w:lang w:val="es-PE" w:eastAsia="ar-SA"/>
        </w:rPr>
        <w:t>de 202</w:t>
      </w:r>
      <w:r w:rsidR="00AE4D37" w:rsidRPr="000B2CB1">
        <w:rPr>
          <w:rFonts w:ascii="Times New Roman" w:eastAsia="Arial Unicode MS" w:hAnsi="Times New Roman" w:cs="Times New Roman"/>
          <w:sz w:val="24"/>
          <w:szCs w:val="24"/>
          <w:lang w:val="es-PE" w:eastAsia="ar-SA"/>
        </w:rPr>
        <w:t>5</w:t>
      </w:r>
      <w:r w:rsidR="00707C99" w:rsidRPr="000B2CB1">
        <w:rPr>
          <w:rFonts w:ascii="Times New Roman" w:eastAsia="Times New Roman" w:hAnsi="Times New Roman" w:cs="Times New Roman"/>
          <w:sz w:val="24"/>
          <w:szCs w:val="24"/>
          <w:lang w:val="es-PE" w:eastAsia="ar-SA"/>
        </w:rPr>
        <w:t xml:space="preserve"> </w:t>
      </w:r>
    </w:p>
    <w:p w14:paraId="1B6988F6" w14:textId="77777777" w:rsidR="00A323F4" w:rsidRPr="000B2CB1" w:rsidRDefault="00A323F4" w:rsidP="00A323F4">
      <w:pPr>
        <w:spacing w:after="0" w:line="240" w:lineRule="auto"/>
        <w:jc w:val="both"/>
        <w:rPr>
          <w:rFonts w:ascii="Times New Roman" w:hAnsi="Times New Roman" w:cs="Times New Roman"/>
          <w:b/>
          <w:bCs/>
          <w:i/>
          <w:iCs/>
          <w:sz w:val="24"/>
          <w:szCs w:val="24"/>
          <w:lang w:val="es-PE"/>
        </w:rPr>
      </w:pPr>
      <w:r w:rsidRPr="000B2CB1">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AB80116" w14:textId="77777777" w:rsidR="00A323F4" w:rsidRPr="000B2CB1" w:rsidRDefault="00A323F4" w:rsidP="00A323F4">
      <w:pPr>
        <w:spacing w:after="0" w:line="360" w:lineRule="auto"/>
        <w:jc w:val="both"/>
        <w:rPr>
          <w:rFonts w:ascii="Times New Roman" w:hAnsi="Times New Roman" w:cs="Times New Roman"/>
          <w:b/>
          <w:bCs/>
          <w:i/>
          <w:iCs/>
          <w:sz w:val="24"/>
          <w:szCs w:val="24"/>
          <w:lang w:val="es-PE"/>
        </w:rPr>
      </w:pPr>
    </w:p>
    <w:p w14:paraId="220AA7AD" w14:textId="133296B2" w:rsidR="007543CD" w:rsidRPr="000B2CB1" w:rsidRDefault="00543015" w:rsidP="007543CD">
      <w:pPr>
        <w:spacing w:after="0" w:line="360" w:lineRule="auto"/>
        <w:jc w:val="center"/>
        <w:rPr>
          <w:rFonts w:ascii="Times New Roman" w:hAnsi="Times New Roman" w:cs="Times New Roman"/>
          <w:b/>
          <w:bCs/>
          <w:sz w:val="24"/>
          <w:szCs w:val="24"/>
          <w:lang w:val="es-PE"/>
        </w:rPr>
      </w:pPr>
      <w:r w:rsidRPr="000B2CB1">
        <w:rPr>
          <w:rFonts w:ascii="Times New Roman" w:hAnsi="Times New Roman" w:cs="Times New Roman"/>
          <w:b/>
          <w:bCs/>
          <w:sz w:val="24"/>
          <w:szCs w:val="24"/>
          <w:lang w:val="es-PE"/>
        </w:rPr>
        <w:t xml:space="preserve">María Eugenia Valdez Fernández Baca </w:t>
      </w:r>
      <w:r w:rsidR="007543CD" w:rsidRPr="000B2CB1">
        <w:rPr>
          <w:rFonts w:ascii="Times New Roman" w:hAnsi="Times New Roman" w:cs="Times New Roman"/>
          <w:b/>
          <w:bCs/>
          <w:sz w:val="24"/>
          <w:szCs w:val="24"/>
          <w:lang w:val="es-PE"/>
        </w:rPr>
        <w:t xml:space="preserve">– </w:t>
      </w:r>
      <w:proofErr w:type="gramStart"/>
      <w:r w:rsidR="007543CD" w:rsidRPr="000B2CB1">
        <w:rPr>
          <w:rFonts w:ascii="Times New Roman" w:hAnsi="Times New Roman" w:cs="Times New Roman"/>
          <w:b/>
          <w:bCs/>
          <w:sz w:val="24"/>
          <w:szCs w:val="24"/>
          <w:lang w:val="es-PE"/>
        </w:rPr>
        <w:t>Presidente</w:t>
      </w:r>
      <w:proofErr w:type="gramEnd"/>
    </w:p>
    <w:p w14:paraId="0DCF6E18" w14:textId="56F1BED3" w:rsidR="007543CD" w:rsidRPr="000B2CB1" w:rsidRDefault="00543015" w:rsidP="007543CD">
      <w:pPr>
        <w:spacing w:after="0" w:line="360" w:lineRule="auto"/>
        <w:jc w:val="center"/>
        <w:rPr>
          <w:rFonts w:ascii="Times New Roman" w:hAnsi="Times New Roman" w:cs="Times New Roman"/>
          <w:b/>
          <w:bCs/>
          <w:sz w:val="24"/>
          <w:szCs w:val="24"/>
          <w:lang w:val="es-PE"/>
        </w:rPr>
      </w:pPr>
      <w:r w:rsidRPr="000B2CB1">
        <w:rPr>
          <w:rFonts w:ascii="Times New Roman" w:hAnsi="Times New Roman" w:cs="Times New Roman"/>
          <w:b/>
          <w:bCs/>
          <w:sz w:val="24"/>
          <w:szCs w:val="24"/>
          <w:lang w:val="es-PE"/>
        </w:rPr>
        <w:t xml:space="preserve">Rolando Eyzaguirre </w:t>
      </w:r>
      <w:proofErr w:type="spellStart"/>
      <w:r w:rsidRPr="000B2CB1">
        <w:rPr>
          <w:rFonts w:ascii="Times New Roman" w:hAnsi="Times New Roman" w:cs="Times New Roman"/>
          <w:b/>
          <w:bCs/>
          <w:sz w:val="24"/>
          <w:szCs w:val="24"/>
          <w:lang w:val="es-PE"/>
        </w:rPr>
        <w:t>Maccan</w:t>
      </w:r>
      <w:proofErr w:type="spellEnd"/>
      <w:r w:rsidRPr="000B2CB1">
        <w:rPr>
          <w:rFonts w:ascii="Times New Roman" w:hAnsi="Times New Roman" w:cs="Times New Roman"/>
          <w:b/>
          <w:bCs/>
          <w:sz w:val="24"/>
          <w:szCs w:val="24"/>
          <w:lang w:val="es-PE"/>
        </w:rPr>
        <w:t xml:space="preserve"> </w:t>
      </w:r>
      <w:r w:rsidR="007543CD" w:rsidRPr="000B2CB1">
        <w:rPr>
          <w:rFonts w:ascii="Times New Roman" w:hAnsi="Times New Roman" w:cs="Times New Roman"/>
          <w:b/>
          <w:bCs/>
          <w:sz w:val="24"/>
          <w:szCs w:val="24"/>
          <w:lang w:val="es-PE"/>
        </w:rPr>
        <w:t>– Vocal</w:t>
      </w:r>
    </w:p>
    <w:p w14:paraId="69BFE54F" w14:textId="77777777" w:rsidR="007543CD" w:rsidRPr="000B2CB1" w:rsidRDefault="007543CD" w:rsidP="007543CD">
      <w:pPr>
        <w:spacing w:after="0" w:line="360" w:lineRule="auto"/>
        <w:jc w:val="center"/>
        <w:rPr>
          <w:rFonts w:ascii="Times New Roman" w:hAnsi="Times New Roman" w:cs="Times New Roman"/>
          <w:sz w:val="24"/>
          <w:szCs w:val="24"/>
          <w:lang w:val="es-PE"/>
        </w:rPr>
      </w:pPr>
      <w:r w:rsidRPr="000B2CB1">
        <w:rPr>
          <w:rFonts w:ascii="Times New Roman" w:hAnsi="Times New Roman" w:cs="Times New Roman"/>
          <w:b/>
          <w:bCs/>
          <w:sz w:val="24"/>
          <w:szCs w:val="24"/>
          <w:lang w:val="es-PE"/>
        </w:rPr>
        <w:t>Gonzalo Abad del Busto – Vocal</w:t>
      </w:r>
    </w:p>
    <w:p w14:paraId="412CCBAA" w14:textId="77777777" w:rsidR="00986F0C" w:rsidRPr="000B2CB1"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0B2CB1"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0B2CB1"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0B2CB1"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9"/>
      <w:footerReference w:type="default" r:id="rId10"/>
      <w:headerReference w:type="first" r:id="rId13"/>
      <w:footerReference w:type="first" r:id="rId14"/>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4D606" w14:textId="77777777" w:rsidR="0077599F" w:rsidRDefault="0077599F" w:rsidP="00784355">
      <w:pPr>
        <w:spacing w:after="0" w:line="240" w:lineRule="auto"/>
      </w:pPr>
      <w:r>
        <w:separator/>
      </w:r>
    </w:p>
  </w:endnote>
  <w:endnote w:type="continuationSeparator" w:id="0">
    <w:p w14:paraId="05DCEAA2" w14:textId="77777777" w:rsidR="0077599F" w:rsidRDefault="0077599F"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C74A8" w14:textId="77777777" w:rsidR="0077599F" w:rsidRDefault="0077599F" w:rsidP="00784355">
      <w:pPr>
        <w:spacing w:after="0" w:line="240" w:lineRule="auto"/>
      </w:pPr>
      <w:r>
        <w:separator/>
      </w:r>
    </w:p>
  </w:footnote>
  <w:footnote w:type="continuationSeparator" w:id="0">
    <w:p w14:paraId="25A2EBBC" w14:textId="77777777" w:rsidR="0077599F" w:rsidRDefault="0077599F"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9"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2"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0"/>
  </w:num>
  <w:num w:numId="3" w16cid:durableId="333261791">
    <w:abstractNumId w:val="27"/>
  </w:num>
  <w:num w:numId="4" w16cid:durableId="1770345525">
    <w:abstractNumId w:val="26"/>
  </w:num>
  <w:num w:numId="5" w16cid:durableId="1816144979">
    <w:abstractNumId w:val="29"/>
  </w:num>
  <w:num w:numId="6" w16cid:durableId="1304313350">
    <w:abstractNumId w:val="1"/>
  </w:num>
  <w:num w:numId="7" w16cid:durableId="166828809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8"/>
  </w:num>
  <w:num w:numId="17" w16cid:durableId="17998823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lvlOverride w:ilvl="0"/>
    <w:lvlOverride w:ilvl="1"/>
    <w:lvlOverride w:ilvl="2"/>
    <w:lvlOverride w:ilvl="3"/>
    <w:lvlOverride w:ilvl="4"/>
    <w:lvlOverride w:ilvl="5"/>
    <w:lvlOverride w:ilvl="6"/>
    <w:lvlOverride w:ilvl="7"/>
    <w:lvlOverride w:ilvl="8"/>
  </w:num>
  <w:num w:numId="36" w16cid:durableId="45942401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6153B"/>
    <w:rsid w:val="000619A2"/>
    <w:rsid w:val="00062301"/>
    <w:rsid w:val="00063183"/>
    <w:rsid w:val="0006548C"/>
    <w:rsid w:val="00065584"/>
    <w:rsid w:val="00070DB6"/>
    <w:rsid w:val="00071A25"/>
    <w:rsid w:val="0007301A"/>
    <w:rsid w:val="00073EC5"/>
    <w:rsid w:val="00076E73"/>
    <w:rsid w:val="00077B6F"/>
    <w:rsid w:val="00080A9A"/>
    <w:rsid w:val="000835CB"/>
    <w:rsid w:val="00083D69"/>
    <w:rsid w:val="00083F50"/>
    <w:rsid w:val="00084148"/>
    <w:rsid w:val="0008486A"/>
    <w:rsid w:val="00091C09"/>
    <w:rsid w:val="00092684"/>
    <w:rsid w:val="0009404A"/>
    <w:rsid w:val="00095105"/>
    <w:rsid w:val="000969D2"/>
    <w:rsid w:val="00096CCA"/>
    <w:rsid w:val="000A1DAF"/>
    <w:rsid w:val="000A53CB"/>
    <w:rsid w:val="000A55BA"/>
    <w:rsid w:val="000A5666"/>
    <w:rsid w:val="000A5CAA"/>
    <w:rsid w:val="000B19A0"/>
    <w:rsid w:val="000B2CB1"/>
    <w:rsid w:val="000B58D8"/>
    <w:rsid w:val="000C0734"/>
    <w:rsid w:val="000C1AAB"/>
    <w:rsid w:val="000D5F00"/>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5E11"/>
    <w:rsid w:val="00187BFD"/>
    <w:rsid w:val="0019385F"/>
    <w:rsid w:val="00196365"/>
    <w:rsid w:val="001965DE"/>
    <w:rsid w:val="001A008A"/>
    <w:rsid w:val="001A3395"/>
    <w:rsid w:val="001A43EC"/>
    <w:rsid w:val="001A44E1"/>
    <w:rsid w:val="001A5178"/>
    <w:rsid w:val="001A555F"/>
    <w:rsid w:val="001A57AC"/>
    <w:rsid w:val="001B1E59"/>
    <w:rsid w:val="001B3EE9"/>
    <w:rsid w:val="001B58A3"/>
    <w:rsid w:val="001B75E0"/>
    <w:rsid w:val="001C052B"/>
    <w:rsid w:val="001C3A70"/>
    <w:rsid w:val="001D0EED"/>
    <w:rsid w:val="001D59D9"/>
    <w:rsid w:val="001D6136"/>
    <w:rsid w:val="001E119C"/>
    <w:rsid w:val="001E1C8C"/>
    <w:rsid w:val="001E6657"/>
    <w:rsid w:val="00201C0D"/>
    <w:rsid w:val="00204407"/>
    <w:rsid w:val="00205C9E"/>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2CEC"/>
    <w:rsid w:val="002C6367"/>
    <w:rsid w:val="002D0DB0"/>
    <w:rsid w:val="002D3B01"/>
    <w:rsid w:val="002D4134"/>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581F"/>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65DD"/>
    <w:rsid w:val="004F0319"/>
    <w:rsid w:val="004F1255"/>
    <w:rsid w:val="004F549E"/>
    <w:rsid w:val="00504C79"/>
    <w:rsid w:val="005112A3"/>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2497"/>
    <w:rsid w:val="005A40A4"/>
    <w:rsid w:val="005A5D81"/>
    <w:rsid w:val="005A6FD4"/>
    <w:rsid w:val="005A782D"/>
    <w:rsid w:val="005B2924"/>
    <w:rsid w:val="005C3266"/>
    <w:rsid w:val="005C524E"/>
    <w:rsid w:val="005C5AB9"/>
    <w:rsid w:val="005C6AB8"/>
    <w:rsid w:val="005D3E68"/>
    <w:rsid w:val="005D5F88"/>
    <w:rsid w:val="005E0EC2"/>
    <w:rsid w:val="005E17C2"/>
    <w:rsid w:val="005E2CBE"/>
    <w:rsid w:val="005E4870"/>
    <w:rsid w:val="005F220A"/>
    <w:rsid w:val="005F3495"/>
    <w:rsid w:val="005F4C97"/>
    <w:rsid w:val="006043E9"/>
    <w:rsid w:val="00605902"/>
    <w:rsid w:val="00606105"/>
    <w:rsid w:val="00613A39"/>
    <w:rsid w:val="00622ABC"/>
    <w:rsid w:val="00623204"/>
    <w:rsid w:val="00624034"/>
    <w:rsid w:val="00627505"/>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583E"/>
    <w:rsid w:val="00697D6C"/>
    <w:rsid w:val="006A2ADE"/>
    <w:rsid w:val="006A551F"/>
    <w:rsid w:val="006A5E39"/>
    <w:rsid w:val="006B5CAE"/>
    <w:rsid w:val="006B7A62"/>
    <w:rsid w:val="006C1704"/>
    <w:rsid w:val="006C1A65"/>
    <w:rsid w:val="006C29A7"/>
    <w:rsid w:val="006C2E60"/>
    <w:rsid w:val="006C6261"/>
    <w:rsid w:val="006D2BA9"/>
    <w:rsid w:val="006D397E"/>
    <w:rsid w:val="006E2366"/>
    <w:rsid w:val="006E4547"/>
    <w:rsid w:val="006E5BE6"/>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A7"/>
    <w:rsid w:val="00744447"/>
    <w:rsid w:val="00744789"/>
    <w:rsid w:val="007543CD"/>
    <w:rsid w:val="00761F1D"/>
    <w:rsid w:val="007703E9"/>
    <w:rsid w:val="007708AB"/>
    <w:rsid w:val="00771625"/>
    <w:rsid w:val="00772376"/>
    <w:rsid w:val="00774D05"/>
    <w:rsid w:val="00775711"/>
    <w:rsid w:val="0077599F"/>
    <w:rsid w:val="00781235"/>
    <w:rsid w:val="00784355"/>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518"/>
    <w:rsid w:val="007B3958"/>
    <w:rsid w:val="007C14D0"/>
    <w:rsid w:val="007C213D"/>
    <w:rsid w:val="007C4D67"/>
    <w:rsid w:val="007C4E10"/>
    <w:rsid w:val="007C69FE"/>
    <w:rsid w:val="007D13E3"/>
    <w:rsid w:val="007D13F3"/>
    <w:rsid w:val="007D2A4B"/>
    <w:rsid w:val="007D39D3"/>
    <w:rsid w:val="007D5BB1"/>
    <w:rsid w:val="007D7213"/>
    <w:rsid w:val="007E47CA"/>
    <w:rsid w:val="007E5917"/>
    <w:rsid w:val="007E7310"/>
    <w:rsid w:val="007F2000"/>
    <w:rsid w:val="007F38DF"/>
    <w:rsid w:val="007F74F1"/>
    <w:rsid w:val="008010D0"/>
    <w:rsid w:val="008020A1"/>
    <w:rsid w:val="00816B3F"/>
    <w:rsid w:val="0081754D"/>
    <w:rsid w:val="008177B9"/>
    <w:rsid w:val="00817F65"/>
    <w:rsid w:val="00821801"/>
    <w:rsid w:val="00827313"/>
    <w:rsid w:val="00836831"/>
    <w:rsid w:val="00837DDE"/>
    <w:rsid w:val="00845093"/>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5049"/>
    <w:rsid w:val="008D6DDF"/>
    <w:rsid w:val="008D721C"/>
    <w:rsid w:val="008E33FD"/>
    <w:rsid w:val="008F1161"/>
    <w:rsid w:val="008F479E"/>
    <w:rsid w:val="009011F1"/>
    <w:rsid w:val="00901835"/>
    <w:rsid w:val="009024E8"/>
    <w:rsid w:val="00902B75"/>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E3EA8"/>
    <w:rsid w:val="00AE4125"/>
    <w:rsid w:val="00AE4D37"/>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E077A6"/>
    <w:rsid w:val="00E107CA"/>
    <w:rsid w:val="00E109E4"/>
    <w:rsid w:val="00E1216B"/>
    <w:rsid w:val="00E1477F"/>
    <w:rsid w:val="00E16C63"/>
    <w:rsid w:val="00E25D54"/>
    <w:rsid w:val="00E30E76"/>
    <w:rsid w:val="00E3322A"/>
    <w:rsid w:val="00E341F5"/>
    <w:rsid w:val="00E41161"/>
    <w:rsid w:val="00E43D94"/>
    <w:rsid w:val="00E45B51"/>
    <w:rsid w:val="00E531B9"/>
    <w:rsid w:val="00E53BC5"/>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0531"/>
    <w:rsid w:val="00F42F97"/>
    <w:rsid w:val="00F439B5"/>
    <w:rsid w:val="00F52E75"/>
    <w:rsid w:val="00F54C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D2326"/>
    <w:rsid w:val="00FD7793"/>
    <w:rsid w:val="00FE38F0"/>
    <w:rsid w:val="00FE43A9"/>
    <w:rsid w:val="00FE6588"/>
    <w:rsid w:val="00FE69B1"/>
    <w:rsid w:val="00FE73F3"/>
    <w:rsid w:val="00FF11AC"/>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7EAA5F08-A761-4E4E-B887-DE5C9AFEDCC2}"/>
</file>

<file path=customXml/itemProps3.xml><?xml version="1.0" encoding="utf-8"?>
<ds:datastoreItem xmlns:ds="http://schemas.openxmlformats.org/officeDocument/2006/customXml" ds:itemID="{A8AAEB51-0F1F-4533-99A6-F4315D22AD7D}"/>
</file>

<file path=customXml/itemProps4.xml><?xml version="1.0" encoding="utf-8"?>
<ds:datastoreItem xmlns:ds="http://schemas.openxmlformats.org/officeDocument/2006/customXml" ds:itemID="{73F4C473-91B2-4ED2-9C47-266DAB094D91}"/>
</file>

<file path=docProps/app.xml><?xml version="1.0" encoding="utf-8"?>
<Properties xmlns="http://schemas.openxmlformats.org/officeDocument/2006/extended-properties" xmlns:vt="http://schemas.openxmlformats.org/officeDocument/2006/docPropsVTypes">
  <Template>Normal</Template>
  <TotalTime>241</TotalTime>
  <Pages>3</Pages>
  <Words>890</Words>
  <Characters>4900</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310</cp:revision>
  <cp:lastPrinted>2025-04-15T17:25:00Z</cp:lastPrinted>
  <dcterms:created xsi:type="dcterms:W3CDTF">2023-02-14T22:37:00Z</dcterms:created>
  <dcterms:modified xsi:type="dcterms:W3CDTF">2025-04-15T17:25:00Z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