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1.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48DF6A46" w:rsidR="005A2497" w:rsidRDefault="00201C0D" w:rsidP="005A2497">
      <w:pPr>
        <w:spacing w:after="0" w:line="240" w:lineRule="auto"/>
        <w:jc w:val="center"/>
        <w:rPr>
          <w:rFonts w:ascii="Times New Roman" w:hAnsi="Times New Roman" w:cs="Times New Roman"/>
          <w:b/>
          <w:sz w:val="24"/>
          <w:szCs w:val="24"/>
          <w:lang w:val="es-PE" w:eastAsia="ar-SA"/>
        </w:rPr>
      </w:pPr>
      <w:r w:rsidRPr="000B2CB1">
        <w:rPr>
          <w:rFonts w:ascii="Times New Roman" w:hAnsi="Times New Roman" w:cs="Times New Roman"/>
          <w:b/>
          <w:sz w:val="24"/>
          <w:szCs w:val="24"/>
          <w:lang w:val="es-PE" w:eastAsia="ar-SA"/>
        </w:rPr>
        <w:t xml:space="preserve">RESOLUCIÓN DE RECURSO IMPUGNATIVO </w:t>
      </w:r>
      <w:r w:rsidR="00707C99" w:rsidRPr="000B2CB1">
        <w:rPr>
          <w:rFonts w:ascii="Times New Roman" w:hAnsi="Times New Roman" w:cs="Times New Roman"/>
          <w:b/>
          <w:sz w:val="24"/>
          <w:szCs w:val="24"/>
          <w:lang w:val="es-PE" w:eastAsia="ar-SA"/>
        </w:rPr>
        <w:t xml:space="preserve">N° </w:t>
      </w:r>
      <w:r w:rsidR="00516293" w:rsidRPr="000B2CB1">
        <w:rPr>
          <w:rFonts w:ascii="Times New Roman" w:hAnsi="Times New Roman" w:cs="Times New Roman"/>
          <w:b/>
          <w:sz w:val="24"/>
          <w:szCs w:val="24"/>
          <w:lang w:val="es-PE" w:eastAsia="ar-SA"/>
        </w:rPr>
        <w:t>0</w:t>
      </w:r>
      <w:r w:rsidR="00D6267A" w:rsidRPr="000B2CB1">
        <w:rPr>
          <w:rFonts w:ascii="Times New Roman" w:hAnsi="Times New Roman" w:cs="Times New Roman"/>
          <w:b/>
          <w:sz w:val="24"/>
          <w:szCs w:val="24"/>
          <w:lang w:val="es-PE" w:eastAsia="ar-SA"/>
        </w:rPr>
        <w:t>1</w:t>
      </w:r>
      <w:r w:rsidR="00057D0A">
        <w:rPr>
          <w:rFonts w:ascii="Times New Roman" w:hAnsi="Times New Roman" w:cs="Times New Roman"/>
          <w:b/>
          <w:sz w:val="24"/>
          <w:szCs w:val="24"/>
          <w:lang w:val="es-PE" w:eastAsia="ar-SA"/>
        </w:rPr>
        <w:t>7</w:t>
      </w:r>
      <w:r w:rsidR="00C671F5" w:rsidRPr="000B2CB1">
        <w:rPr>
          <w:rFonts w:ascii="Times New Roman" w:hAnsi="Times New Roman" w:cs="Times New Roman"/>
          <w:b/>
          <w:sz w:val="24"/>
          <w:szCs w:val="24"/>
          <w:lang w:val="es-PE" w:eastAsia="ar-SA"/>
        </w:rPr>
        <w:t>/2</w:t>
      </w:r>
      <w:r w:rsidR="00A74F96" w:rsidRPr="000B2CB1">
        <w:rPr>
          <w:rFonts w:ascii="Times New Roman" w:hAnsi="Times New Roman" w:cs="Times New Roman"/>
          <w:b/>
          <w:sz w:val="24"/>
          <w:szCs w:val="24"/>
          <w:lang w:val="es-PE" w:eastAsia="ar-SA"/>
        </w:rPr>
        <w:t>5</w:t>
      </w:r>
    </w:p>
    <w:p w14:paraId="56DB191C" w14:textId="77777777" w:rsidR="005A2497" w:rsidRPr="005A2497" w:rsidRDefault="005A2497" w:rsidP="005A2497">
      <w:pPr>
        <w:spacing w:after="0" w:line="240" w:lineRule="auto"/>
        <w:jc w:val="center"/>
        <w:rPr>
          <w:rFonts w:ascii="Times New Roman" w:hAnsi="Times New Roman" w:cs="Times New Roman"/>
          <w:b/>
          <w:sz w:val="24"/>
          <w:szCs w:val="24"/>
          <w:lang w:val="es-PE" w:eastAsia="ar-SA"/>
        </w:rPr>
      </w:pPr>
    </w:p>
    <w:p w14:paraId="658BEDCA" w14:textId="77777777" w:rsidR="0080698B" w:rsidRDefault="0080698B" w:rsidP="0080698B">
      <w:pPr>
        <w:spacing w:line="240" w:lineRule="auto"/>
        <w:jc w:val="both"/>
        <w:rPr>
          <w:rFonts w:ascii="Times New Roman" w:eastAsia="Arial Unicode MS" w:hAnsi="Times New Roman" w:cs="Times New Roman"/>
          <w:b/>
          <w:bCs/>
          <w:sz w:val="24"/>
          <w:szCs w:val="24"/>
          <w:lang w:val="es-MX" w:eastAsia="ar-SA"/>
        </w:rPr>
      </w:pPr>
      <w:r w:rsidRPr="0080698B">
        <w:rPr>
          <w:rFonts w:ascii="Times New Roman" w:eastAsia="Arial Unicode MS" w:hAnsi="Times New Roman" w:cs="Times New Roman"/>
          <w:b/>
          <w:bCs/>
          <w:sz w:val="24"/>
          <w:szCs w:val="24"/>
          <w:lang w:val="es-MX" w:eastAsia="ar-SA"/>
        </w:rPr>
        <w:t>Vistos:</w:t>
      </w:r>
    </w:p>
    <w:p w14:paraId="6666E8F1" w14:textId="309880A4" w:rsidR="0080698B" w:rsidRPr="0080698B" w:rsidRDefault="0080698B" w:rsidP="0080698B">
      <w:pPr>
        <w:spacing w:line="240" w:lineRule="auto"/>
        <w:jc w:val="both"/>
        <w:rPr>
          <w:rFonts w:ascii="Times New Roman" w:eastAsia="Arial Unicode MS" w:hAnsi="Times New Roman" w:cs="Times New Roman"/>
          <w:b/>
          <w:bCs/>
          <w:sz w:val="24"/>
          <w:szCs w:val="24"/>
          <w:lang w:val="es-MX" w:eastAsia="ar-SA"/>
        </w:rPr>
      </w:pPr>
      <w:r>
        <w:rPr>
          <w:rFonts w:ascii="Times New Roman" w:hAnsi="Times New Roman"/>
          <w:sz w:val="24"/>
        </w:rPr>
        <w:t xml:space="preserve">El Recurso de Impugnación presentado por doña ………………… respecto de la Resolución Nº 010-2025 de fecha 29 de enero de 2025, que declaró INFUNDADA la reclamación interpuesta contra ………………… (…………………) respecto a la Póliza Seguro Vehicular N° ………………… (en adelante, la póliza).</w:t>
      </w:r>
    </w:p>
    <w:bookmarkEnd w:id="0"/>
    <w:p w14:paraId="3C9D4338" w14:textId="77777777" w:rsidR="0080698B" w:rsidRPr="0080698B" w:rsidRDefault="0080698B" w:rsidP="0080698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a través del señalado recurso la reclamante manifiesta su disconformidad con lo resuelto señalando resumidamente lo siguiente a) la DEFASEG adopta una interpretación restrictiva de uso particular, sin considera la finalidad del seguro, la póliza N° ………………… que constituye un uso distinto, y no puede utilizarse una definición de SUNAT, no se observado un principio pro aseguradora, descartándose que el alquiler fue temporal, se confunde el arrendamiento con un uso comercial; b) la DEFASEG considera que el reporte extemporáneo impidió una verificación de la aseguradora; no obstante no se indica cuál es ese perjuicio;  c) se menciona que el movilizar el vehículo contraviene cláusulas generales, pero ello se debió a razones de seguridad y se acreditado que ello haya impedido las investigaciones; d) la resolución no considera el bajo nivel de alcoholemia, que no fue causa del siniestro, ello fue debido a condiciones climatológicas; e) la DEFASEG considera que existieron declaraciones inconsistentes, pero ellas son menores y atribuibles a errores humanos, confusión y nerviosismo; f) deben tenerse en cuenta las normas legales que menciona como interpretación favorable al asegurado, entre otras; g) existen inconsistencias en el razonamiento de la Defensoría, como razonamiento forzado, ausencia de análisis causal, valoración fragmentada de la evidencia, conflicto con la finalidad del seguro que es proteger al asegurado, la interpretación restrictiva desnaturaliza esta finalidad.</w:t>
      </w:r>
    </w:p>
    <w:p w14:paraId="47B68055" w14:textId="77777777" w:rsidR="0080698B" w:rsidRPr="0080698B" w:rsidRDefault="0080698B" w:rsidP="0080698B">
      <w:pPr>
        <w:spacing w:line="240" w:lineRule="auto"/>
        <w:jc w:val="both"/>
        <w:rPr>
          <w:rFonts w:ascii="Times New Roman" w:eastAsia="Arial Unicode MS" w:hAnsi="Times New Roman" w:cs="Times New Roman"/>
          <w:bCs/>
          <w:sz w:val="24"/>
          <w:szCs w:val="24"/>
          <w:lang w:val="es-PE" w:eastAsia="ar-SA"/>
        </w:rPr>
      </w:pPr>
      <w:r w:rsidRPr="0080698B">
        <w:rPr>
          <w:rFonts w:ascii="Times New Roman" w:eastAsia="Arial Unicode MS" w:hAnsi="Times New Roman" w:cs="Times New Roman"/>
          <w:bCs/>
          <w:sz w:val="24"/>
          <w:szCs w:val="24"/>
          <w:lang w:val="es-MX" w:eastAsia="ar-SA"/>
        </w:rPr>
        <w:t xml:space="preserve">Que, habiéndose corrido traslado de la impugnación a la aseguradora, esta absuelve el traslado señalando resumidamente lo siguiente: a) </w:t>
      </w:r>
      <w:r w:rsidRPr="0080698B">
        <w:rPr>
          <w:rFonts w:ascii="Times New Roman" w:eastAsia="Arial Unicode MS" w:hAnsi="Times New Roman" w:cs="Times New Roman"/>
          <w:bCs/>
          <w:sz w:val="24"/>
          <w:szCs w:val="24"/>
          <w:lang w:val="es-PE" w:eastAsia="ar-SA"/>
        </w:rPr>
        <w:t>de las declaraciones del conductor, así como de los documentos relevantes, que se encuentran en el file del siniestro, se advierte que el asegurado ha incurrido en incumplimiento de una serie de sus obligaciones legales y contractuales: (i) De comunicar en el más breve plazo la ocurrencia del siniestro; (</w:t>
      </w:r>
      <w:proofErr w:type="spellStart"/>
      <w:r w:rsidRPr="0080698B">
        <w:rPr>
          <w:rFonts w:ascii="Times New Roman" w:eastAsia="Arial Unicode MS" w:hAnsi="Times New Roman" w:cs="Times New Roman"/>
          <w:bCs/>
          <w:sz w:val="24"/>
          <w:szCs w:val="24"/>
          <w:lang w:val="es-PE" w:eastAsia="ar-SA"/>
        </w:rPr>
        <w:t>ii</w:t>
      </w:r>
      <w:proofErr w:type="spellEnd"/>
      <w:r w:rsidRPr="0080698B">
        <w:rPr>
          <w:rFonts w:ascii="Times New Roman" w:eastAsia="Arial Unicode MS" w:hAnsi="Times New Roman" w:cs="Times New Roman"/>
          <w:bCs/>
          <w:sz w:val="24"/>
          <w:szCs w:val="24"/>
          <w:lang w:val="es-PE" w:eastAsia="ar-SA"/>
        </w:rPr>
        <w:t>) De usar su vehículo con un fin no cubierto (uso particular); (</w:t>
      </w:r>
      <w:proofErr w:type="spellStart"/>
      <w:r w:rsidRPr="0080698B">
        <w:rPr>
          <w:rFonts w:ascii="Times New Roman" w:eastAsia="Arial Unicode MS" w:hAnsi="Times New Roman" w:cs="Times New Roman"/>
          <w:bCs/>
          <w:sz w:val="24"/>
          <w:szCs w:val="24"/>
          <w:lang w:val="es-PE" w:eastAsia="ar-SA"/>
        </w:rPr>
        <w:t>iii</w:t>
      </w:r>
      <w:proofErr w:type="spellEnd"/>
      <w:r w:rsidRPr="0080698B">
        <w:rPr>
          <w:rFonts w:ascii="Times New Roman" w:eastAsia="Arial Unicode MS" w:hAnsi="Times New Roman" w:cs="Times New Roman"/>
          <w:bCs/>
          <w:sz w:val="24"/>
          <w:szCs w:val="24"/>
          <w:lang w:val="es-PE" w:eastAsia="ar-SA"/>
        </w:rPr>
        <w:t>) De mover el vehículo sin la autorización de la Compañía Aseguradora; (</w:t>
      </w:r>
      <w:proofErr w:type="spellStart"/>
      <w:r w:rsidRPr="0080698B">
        <w:rPr>
          <w:rFonts w:ascii="Times New Roman" w:eastAsia="Arial Unicode MS" w:hAnsi="Times New Roman" w:cs="Times New Roman"/>
          <w:bCs/>
          <w:sz w:val="24"/>
          <w:szCs w:val="24"/>
          <w:lang w:val="es-PE" w:eastAsia="ar-SA"/>
        </w:rPr>
        <w:t>iv</w:t>
      </w:r>
      <w:proofErr w:type="spellEnd"/>
      <w:r w:rsidRPr="0080698B">
        <w:rPr>
          <w:rFonts w:ascii="Times New Roman" w:eastAsia="Arial Unicode MS" w:hAnsi="Times New Roman" w:cs="Times New Roman"/>
          <w:bCs/>
          <w:sz w:val="24"/>
          <w:szCs w:val="24"/>
          <w:lang w:val="es-PE" w:eastAsia="ar-SA"/>
        </w:rPr>
        <w:t>) De abstenerse de realizar compromisos o transacciones; (v) De haber conducido en estado de ebriedad; y (vi) De haber conducido en estado de ebriedad; b) la resolución apelada hace referencia a una de las causales de rechazo, respecto del uso del vehículo, el cual se encuentra como una exclusión de la póliza; por ende, carece de sustento pretender que la aseguradora deba otorgar cobertura a riesgos que no han sido aceptados y se encuentran excluidos; c) el reclamante indica que existe una confusión entre arrendamiento y uso comercial, en tanto, la finalidad del arrendamiento era el uso personal del arrendatario, no su explotación comercial; lo relevante no es el uso que el arrendatario dio al vehículo, sino el hecho que la asegurada obtuvo un lucro, ese acto configura un uso comercial por lo que el rechazo resulta legítimo; d) no existe ambigüedad en la cláusula, por lo que el recurso debe ser desestimado.</w:t>
      </w:r>
    </w:p>
    <w:p w14:paraId="3F661C1D" w14:textId="77777777" w:rsidR="0080698B" w:rsidRPr="0080698B" w:rsidRDefault="0080698B" w:rsidP="0080698B">
      <w:pPr>
        <w:spacing w:line="240" w:lineRule="auto"/>
        <w:jc w:val="both"/>
        <w:rPr>
          <w:rFonts w:ascii="Times New Roman" w:eastAsia="Arial Unicode MS" w:hAnsi="Times New Roman" w:cs="Times New Roman"/>
          <w:bCs/>
          <w:sz w:val="24"/>
          <w:szCs w:val="24"/>
          <w:lang w:val="es-PE" w:eastAsia="ar-SA"/>
        </w:rPr>
      </w:pPr>
    </w:p>
    <w:p w14:paraId="4B515934" w14:textId="77777777" w:rsidR="0080698B" w:rsidRPr="0080698B" w:rsidRDefault="0080698B" w:rsidP="0080698B">
      <w:pPr>
        <w:spacing w:line="240" w:lineRule="auto"/>
        <w:jc w:val="both"/>
        <w:rPr>
          <w:rFonts w:ascii="Times New Roman" w:eastAsia="Arial Unicode MS" w:hAnsi="Times New Roman" w:cs="Times New Roman"/>
          <w:bCs/>
          <w:sz w:val="24"/>
          <w:szCs w:val="24"/>
          <w:lang w:val="es-MX" w:eastAsia="ar-SA"/>
        </w:rPr>
      </w:pPr>
    </w:p>
    <w:p w14:paraId="0AD80379" w14:textId="77777777" w:rsidR="0080698B" w:rsidRPr="0080698B" w:rsidRDefault="0080698B" w:rsidP="0080698B">
      <w:pPr>
        <w:spacing w:line="240" w:lineRule="auto"/>
        <w:jc w:val="both"/>
        <w:rPr>
          <w:rFonts w:ascii="Times New Roman" w:eastAsia="Arial Unicode MS" w:hAnsi="Times New Roman" w:cs="Times New Roman"/>
          <w:bCs/>
          <w:sz w:val="24"/>
          <w:szCs w:val="24"/>
          <w:lang w:val="es-MX" w:eastAsia="ar-SA"/>
        </w:rPr>
      </w:pPr>
      <w:r w:rsidRPr="0080698B">
        <w:rPr>
          <w:rFonts w:ascii="Times New Roman" w:eastAsia="Arial Unicode MS" w:hAnsi="Times New Roman" w:cs="Times New Roman"/>
          <w:b/>
          <w:bCs/>
          <w:sz w:val="24"/>
          <w:szCs w:val="24"/>
          <w:lang w:val="es-MX" w:eastAsia="ar-SA"/>
        </w:rPr>
        <w:t>Considerando:</w:t>
      </w:r>
    </w:p>
    <w:p w14:paraId="460D757C" w14:textId="77777777" w:rsidR="0080698B" w:rsidRPr="0080698B" w:rsidRDefault="0080698B" w:rsidP="0080698B">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14:paraId="0DECF9C2" w14:textId="27E55A94" w:rsidR="0080698B" w:rsidRDefault="0080698B" w:rsidP="0080698B">
      <w:pPr>
        <w:spacing w:line="240" w:lineRule="auto"/>
        <w:jc w:val="both"/>
        <w:rPr>
          <w:rFonts w:ascii="Times New Roman" w:eastAsia="Arial Unicode MS" w:hAnsi="Times New Roman" w:cs="Times New Roman"/>
          <w:sz w:val="24"/>
          <w:szCs w:val="24"/>
          <w:lang w:val="es-PE" w:eastAsia="ar-SA"/>
        </w:rPr>
      </w:pPr>
      <w:r w:rsidRPr="0080698B">
        <w:rPr>
          <w:rFonts w:ascii="Times New Roman" w:eastAsia="Arial Unicode MS" w:hAnsi="Times New Roman" w:cs="Times New Roman"/>
          <w:b/>
          <w:sz w:val="24"/>
          <w:szCs w:val="24"/>
          <w:u w:val="single"/>
          <w:lang w:val="es-PE" w:eastAsia="ar-SA"/>
        </w:rPr>
        <w:t>Segundo</w:t>
      </w:r>
      <w:r w:rsidRPr="0080698B">
        <w:rPr>
          <w:rFonts w:ascii="Times New Roman" w:eastAsia="Arial Unicode MS" w:hAnsi="Times New Roman" w:cs="Times New Roman"/>
          <w:b/>
          <w:sz w:val="24"/>
          <w:szCs w:val="24"/>
          <w:lang w:val="es-PE" w:eastAsia="ar-SA"/>
        </w:rPr>
        <w:t>:</w:t>
      </w:r>
      <w:r w:rsidRPr="0080698B">
        <w:rPr>
          <w:rFonts w:ascii="Times New Roman" w:eastAsia="Arial Unicode MS" w:hAnsi="Times New Roman" w:cs="Times New Roman"/>
          <w:sz w:val="24"/>
          <w:szCs w:val="24"/>
          <w:lang w:val="es-PE" w:eastAsia="ar-SA"/>
        </w:rPr>
        <w:t xml:space="preserve"> Atendiendo a los fundamentos de la impugnación interpuesta, se advierte que la reclamante insiste en sus argumentos ya expresados con ocasión de presentar su escrito de reclamación. En consecuencia, el Recurso Impugnativo interpuesto puede ser categorizado, por su contenido mismo, como una solicitud de revisión general, sustentado en el muy respetable criterio de la reclamante que este colegiado no comparte, pero sin aportar argumento o medio probatorio alguno que permita objetivamente a este colegiado apreciar que habría incurrido efectivamente en un error o vicio al momento de resolver.</w:t>
      </w:r>
    </w:p>
    <w:p w14:paraId="7882EF95" w14:textId="2EA175CC" w:rsidR="0080698B" w:rsidRPr="0080698B" w:rsidRDefault="0080698B" w:rsidP="0080698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Asimismo, es preciso indicar, que la Resolución Impugnada señaló que la Carta de Rechazo se basaba en una serie de incumplimientos que “…………………”  determinarían la pérdida del derecho indemnizatorio; debido a ello identificó la primera causal y la analizó ampliamente, concluyendo lo siguiente:</w:t>
      </w:r>
    </w:p>
    <w:p w14:paraId="50C72CB1" w14:textId="26194A57" w:rsidR="0080698B" w:rsidRPr="0080698B" w:rsidRDefault="0080698B" w:rsidP="0080698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1EF3266E" w14:textId="568DA5D8" w:rsidR="0080698B" w:rsidRPr="0080698B" w:rsidRDefault="0080698B" w:rsidP="0080698B">
      <w:pPr>
        <w:spacing w:line="240" w:lineRule="auto"/>
        <w:jc w:val="both"/>
        <w:rPr>
          <w:rFonts w:ascii="Times New Roman" w:eastAsia="Arial Unicode MS" w:hAnsi="Times New Roman" w:cs="Times New Roman"/>
          <w:sz w:val="24"/>
          <w:szCs w:val="24"/>
          <w:lang w:val="es-PE" w:eastAsia="ar-SA"/>
        </w:rPr>
      </w:pPr>
      <w:proofErr w:type="gramStart"/>
      <w:r w:rsidRPr="0080698B">
        <w:rPr>
          <w:rFonts w:ascii="Times New Roman" w:eastAsia="Arial Unicode MS" w:hAnsi="Times New Roman" w:cs="Times New Roman"/>
          <w:sz w:val="24"/>
          <w:szCs w:val="24"/>
          <w:lang w:val="es-PE" w:eastAsia="ar-SA"/>
        </w:rPr>
        <w:t>De acuerdo a</w:t>
      </w:r>
      <w:proofErr w:type="gramEnd"/>
      <w:r w:rsidRPr="0080698B">
        <w:rPr>
          <w:rFonts w:ascii="Times New Roman" w:eastAsia="Arial Unicode MS" w:hAnsi="Times New Roman" w:cs="Times New Roman"/>
          <w:sz w:val="24"/>
          <w:szCs w:val="24"/>
          <w:lang w:val="es-PE" w:eastAsia="ar-SA"/>
        </w:rPr>
        <w:t xml:space="preserve"> ello, no son ciertas las afirmaciones formuladas por la parte reclamante y atribuidas a la DEFASEG sobre las demás causales de rechazo.</w:t>
      </w:r>
    </w:p>
    <w:p w14:paraId="71160F31" w14:textId="77777777" w:rsidR="0080698B" w:rsidRPr="0080698B" w:rsidRDefault="0080698B" w:rsidP="0080698B">
      <w:pPr>
        <w:spacing w:line="240" w:lineRule="auto"/>
        <w:jc w:val="both"/>
        <w:rPr>
          <w:rFonts w:ascii="Times New Roman" w:eastAsia="Arial Unicode MS" w:hAnsi="Times New Roman" w:cs="Times New Roman"/>
          <w:sz w:val="24"/>
          <w:szCs w:val="24"/>
          <w:lang w:val="es-PE" w:eastAsia="ar-SA"/>
        </w:rPr>
      </w:pPr>
      <w:r w:rsidRPr="0080698B">
        <w:rPr>
          <w:rFonts w:ascii="Times New Roman" w:eastAsia="Arial Unicode MS" w:hAnsi="Times New Roman" w:cs="Times New Roman"/>
          <w:sz w:val="24"/>
          <w:szCs w:val="24"/>
          <w:lang w:val="es-PE" w:eastAsia="ar-SA"/>
        </w:rPr>
        <w:t>En lo que respecta a la primera causal de rechazo, este colegiado se tiene a bien transcribir parte pertinente de lo expuesto en dicha resolución:</w:t>
      </w:r>
    </w:p>
    <w:p w14:paraId="7651C4B5" w14:textId="7B8518A1" w:rsidR="0080698B" w:rsidRPr="0080698B" w:rsidRDefault="0080698B" w:rsidP="0080698B">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4370F359" w14:textId="75FB876E" w:rsidR="0080698B" w:rsidRPr="0080698B" w:rsidRDefault="0080698B" w:rsidP="0080698B">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7C36D45C" w14:textId="3A1B27B8" w:rsidR="0080698B" w:rsidRPr="0080698B" w:rsidRDefault="0080698B" w:rsidP="0080698B">
      <w:pPr>
        <w:spacing w:line="240" w:lineRule="auto"/>
        <w:jc w:val="both"/>
        <w:rPr>
          <w:rFonts w:ascii="Times New Roman" w:eastAsia="Arial Unicode MS" w:hAnsi="Times New Roman" w:cs="Times New Roman"/>
          <w:sz w:val="24"/>
          <w:szCs w:val="24"/>
          <w:lang w:val="es-ES" w:eastAsia="ar-SA"/>
        </w:rPr>
      </w:pPr>
      <w:r w:rsidRPr="0080698B">
        <w:rPr>
          <w:rFonts w:ascii="Times New Roman" w:eastAsia="Arial Unicode MS" w:hAnsi="Times New Roman" w:cs="Times New Roman"/>
          <w:sz w:val="24"/>
          <w:szCs w:val="24"/>
          <w:lang w:val="es-ES" w:eastAsia="ar-SA"/>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r w:rsidR="00CF7839">
        <w:rPr>
          <w:rFonts w:ascii="Times New Roman" w:eastAsia="Arial Unicode MS" w:hAnsi="Times New Roman" w:cs="Times New Roman"/>
          <w:sz w:val="24"/>
          <w:szCs w:val="24"/>
          <w:lang w:val="es-ES" w:eastAsia="ar-SA"/>
        </w:rPr>
        <w:t>.</w:t>
      </w:r>
    </w:p>
    <w:p w14:paraId="5E7DB8A5" w14:textId="77777777" w:rsidR="0080698B" w:rsidRPr="0080698B" w:rsidRDefault="0080698B" w:rsidP="0080698B">
      <w:pPr>
        <w:spacing w:line="240" w:lineRule="auto"/>
        <w:jc w:val="both"/>
        <w:rPr>
          <w:rFonts w:ascii="Times New Roman" w:eastAsia="Arial Unicode MS" w:hAnsi="Times New Roman" w:cs="Times New Roman"/>
          <w:sz w:val="24"/>
          <w:szCs w:val="24"/>
          <w:lang w:val="es-ES" w:eastAsia="ar-SA"/>
        </w:rPr>
      </w:pPr>
      <w:r w:rsidRPr="0080698B">
        <w:rPr>
          <w:rFonts w:ascii="Times New Roman" w:eastAsia="Arial Unicode MS" w:hAnsi="Times New Roman" w:cs="Times New Roman"/>
          <w:b/>
          <w:bCs/>
          <w:sz w:val="24"/>
          <w:szCs w:val="24"/>
          <w:u w:val="single"/>
          <w:lang w:val="es-PE" w:eastAsia="ar-SA"/>
        </w:rPr>
        <w:t>Tercero:</w:t>
      </w:r>
      <w:r w:rsidRPr="0080698B">
        <w:rPr>
          <w:rFonts w:ascii="Times New Roman" w:eastAsia="Arial Unicode MS" w:hAnsi="Times New Roman" w:cs="Times New Roman"/>
          <w:sz w:val="24"/>
          <w:szCs w:val="24"/>
          <w:lang w:val="es-PE" w:eastAsia="ar-SA"/>
        </w:rPr>
        <w:t xml:space="preserve">  </w:t>
      </w:r>
      <w:bookmarkStart w:id="1" w:name="_Hlk114153333"/>
      <w:r w:rsidRPr="0080698B">
        <w:rPr>
          <w:rFonts w:ascii="Times New Roman" w:eastAsia="Arial Unicode MS" w:hAnsi="Times New Roman" w:cs="Times New Roman"/>
          <w:sz w:val="24"/>
          <w:szCs w:val="24"/>
          <w:lang w:val="es-PE" w:eastAsia="ar-SA"/>
        </w:rPr>
        <w:t xml:space="preserve">Finalmente, </w:t>
      </w:r>
      <w:r w:rsidRPr="0080698B">
        <w:rPr>
          <w:rFonts w:ascii="Times New Roman" w:eastAsia="Arial Unicode MS" w:hAnsi="Times New Roman" w:cs="Times New Roman"/>
          <w:sz w:val="24"/>
          <w:szCs w:val="24"/>
          <w:lang w:val="es-ES" w:eastAsia="ar-SA"/>
        </w:rPr>
        <w:t xml:space="preserve">este colegiado tiene a bien precisar que </w:t>
      </w:r>
      <w:r w:rsidRPr="0080698B">
        <w:rPr>
          <w:rFonts w:ascii="Times New Roman" w:eastAsia="Arial Unicode MS" w:hAnsi="Times New Roman" w:cs="Times New Roman"/>
          <w:sz w:val="24"/>
          <w:szCs w:val="24"/>
          <w:lang w:val="es-419" w:eastAsia="ar-SA"/>
        </w:rPr>
        <w:t xml:space="preserve">la Defensoría del Asegurado es una entidad privada y por ende no constituye una instancia administrativa regida por la ley del procedimiento administrativo general, siendo que se rige por su propio reglamento, conforme al cual </w:t>
      </w:r>
      <w:r w:rsidRPr="0080698B">
        <w:rPr>
          <w:rFonts w:ascii="Times New Roman" w:eastAsia="Arial Unicode MS" w:hAnsi="Times New Roman" w:cs="Times New Roman"/>
          <w:sz w:val="24"/>
          <w:szCs w:val="24"/>
          <w:lang w:val="es-ES" w:eastAsia="ar-SA"/>
        </w:rPr>
        <w:t xml:space="preserve">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Ello debido a que las resoluciones que expide esta Defensoría no son vinculantes para el asegurado o reclamante cuando éstas les son desfavorables, sin perjuicio de lo cual, cuando el fallo es favorable para el asegurado sí son vinculantes para las aseguradoras.  </w:t>
      </w:r>
    </w:p>
    <w:bookmarkEnd w:id="1"/>
    <w:p w14:paraId="18216916" w14:textId="77777777" w:rsidR="0080698B" w:rsidRPr="0080698B" w:rsidRDefault="0080698B" w:rsidP="0080698B">
      <w:pPr>
        <w:spacing w:line="240" w:lineRule="auto"/>
        <w:jc w:val="both"/>
        <w:rPr>
          <w:rFonts w:ascii="Times New Roman" w:eastAsia="Arial Unicode MS" w:hAnsi="Times New Roman" w:cs="Times New Roman"/>
          <w:sz w:val="24"/>
          <w:szCs w:val="24"/>
          <w:lang w:val="es-PE" w:eastAsia="ar-SA"/>
        </w:rPr>
      </w:pPr>
    </w:p>
    <w:p w14:paraId="2A254F35" w14:textId="373785B2" w:rsidR="0080698B" w:rsidRPr="0080698B" w:rsidRDefault="0080698B" w:rsidP="0080698B">
      <w:pPr>
        <w:spacing w:line="240" w:lineRule="auto"/>
        <w:jc w:val="both"/>
        <w:rPr>
          <w:rFonts w:ascii="Times New Roman" w:eastAsia="Arial Unicode MS" w:hAnsi="Times New Roman" w:cs="Times New Roman"/>
          <w:sz w:val="24"/>
          <w:szCs w:val="24"/>
          <w:lang w:val="es-ES" w:eastAsia="ar-SA"/>
        </w:rPr>
      </w:pPr>
      <w:r w:rsidRPr="0080698B">
        <w:rPr>
          <w:rFonts w:ascii="Times New Roman" w:eastAsia="Arial Unicode MS" w:hAnsi="Times New Roman" w:cs="Times New Roman"/>
          <w:sz w:val="24"/>
          <w:szCs w:val="24"/>
          <w:lang w:val="es-ES" w:eastAsia="ar-SA"/>
        </w:rPr>
        <w:t>En atención a las consideraciones precedentes, ratificando la conclusión contenida en la resolución recurrida, este colegiado aprecia que no existe mérito, argumento ni prueba que justifique revocar la resolución recurrida; por lo tanto, conforme a su reglamente este colegiado</w:t>
      </w:r>
      <w:r w:rsidR="00CF7839">
        <w:rPr>
          <w:rFonts w:ascii="Times New Roman" w:eastAsia="Arial Unicode MS" w:hAnsi="Times New Roman" w:cs="Times New Roman"/>
          <w:sz w:val="24"/>
          <w:szCs w:val="24"/>
          <w:lang w:val="es-ES" w:eastAsia="ar-SA"/>
        </w:rPr>
        <w:t>.</w:t>
      </w:r>
    </w:p>
    <w:p w14:paraId="1B023488" w14:textId="07546F06" w:rsidR="0080698B" w:rsidRPr="0080698B" w:rsidRDefault="0080698B" w:rsidP="0080698B">
      <w:pPr>
        <w:spacing w:line="240" w:lineRule="auto"/>
        <w:jc w:val="both"/>
        <w:rPr>
          <w:rFonts w:ascii="Times New Roman" w:eastAsia="Arial Unicode MS" w:hAnsi="Times New Roman" w:cs="Times New Roman"/>
          <w:b/>
          <w:bCs/>
          <w:sz w:val="24"/>
          <w:szCs w:val="24"/>
          <w:lang w:val="es-PE" w:eastAsia="ar-SA"/>
        </w:rPr>
      </w:pPr>
      <w:r w:rsidRPr="0080698B">
        <w:rPr>
          <w:rFonts w:ascii="Times New Roman" w:eastAsia="Arial Unicode MS" w:hAnsi="Times New Roman" w:cs="Times New Roman"/>
          <w:b/>
          <w:bCs/>
          <w:sz w:val="24"/>
          <w:szCs w:val="24"/>
          <w:lang w:val="es-ES" w:eastAsia="ar-SA"/>
        </w:rPr>
        <w:t xml:space="preserve">RESUELVE: </w:t>
      </w:r>
    </w:p>
    <w:p w14:paraId="3EA6095E" w14:textId="77777777" w:rsidR="0080698B" w:rsidRPr="0080698B" w:rsidRDefault="0080698B" w:rsidP="0080698B">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impugnativo interpuesto y, por consiguiente, ratificar la Resolución Nº 010-2025 de fecha 29 de enero de 2025 declaró INFUNDADA la reclamación interpuesta por doña ………………… contra …………………, dejando a salvo el derecho de la reclamante de acudir ante las instancias que estime pertinente.</w:t>
      </w:r>
    </w:p>
    <w:p w14:paraId="51EDAB4B" w14:textId="7BCB95F0" w:rsidR="00B32E8A" w:rsidRPr="000B2CB1" w:rsidRDefault="0091528B" w:rsidP="007F2000">
      <w:pPr>
        <w:spacing w:line="240" w:lineRule="auto"/>
        <w:jc w:val="right"/>
        <w:rPr>
          <w:rFonts w:ascii="Times New Roman" w:hAnsi="Times New Roman" w:cs="Times New Roman"/>
          <w:sz w:val="24"/>
          <w:szCs w:val="24"/>
          <w:lang w:val="es-PE"/>
        </w:rPr>
      </w:pPr>
      <w:r w:rsidRPr="000B2CB1">
        <w:rPr>
          <w:rFonts w:ascii="Times New Roman" w:eastAsia="Arial Unicode MS" w:hAnsi="Times New Roman" w:cs="Times New Roman"/>
          <w:sz w:val="24"/>
          <w:szCs w:val="24"/>
          <w:lang w:val="es-PE" w:eastAsia="ar-SA"/>
        </w:rPr>
        <w:t>Lima,</w:t>
      </w:r>
      <w:r w:rsidR="00774D05" w:rsidRPr="000B2CB1">
        <w:rPr>
          <w:rFonts w:ascii="Times New Roman" w:eastAsia="Arial Unicode MS" w:hAnsi="Times New Roman" w:cs="Times New Roman"/>
          <w:sz w:val="24"/>
          <w:szCs w:val="24"/>
          <w:lang w:val="es-PE" w:eastAsia="ar-SA"/>
        </w:rPr>
        <w:t xml:space="preserve"> </w:t>
      </w:r>
      <w:r w:rsidR="00BF6C46">
        <w:rPr>
          <w:rFonts w:ascii="Times New Roman" w:eastAsia="Arial Unicode MS" w:hAnsi="Times New Roman" w:cs="Times New Roman"/>
          <w:sz w:val="24"/>
          <w:szCs w:val="24"/>
          <w:lang w:val="es-PE" w:eastAsia="ar-SA"/>
        </w:rPr>
        <w:t>10</w:t>
      </w:r>
      <w:r w:rsidR="00AD5481" w:rsidRPr="000B2CB1">
        <w:rPr>
          <w:rFonts w:ascii="Times New Roman" w:eastAsia="Arial Unicode MS" w:hAnsi="Times New Roman" w:cs="Times New Roman"/>
          <w:sz w:val="24"/>
          <w:szCs w:val="24"/>
          <w:lang w:val="es-PE" w:eastAsia="ar-SA"/>
        </w:rPr>
        <w:t xml:space="preserve"> </w:t>
      </w:r>
      <w:r w:rsidR="00707C99" w:rsidRPr="000B2CB1">
        <w:rPr>
          <w:rFonts w:ascii="Times New Roman" w:eastAsia="Arial Unicode MS" w:hAnsi="Times New Roman" w:cs="Times New Roman"/>
          <w:sz w:val="24"/>
          <w:szCs w:val="24"/>
          <w:lang w:val="es-PE" w:eastAsia="ar-SA"/>
        </w:rPr>
        <w:t xml:space="preserve">de </w:t>
      </w:r>
      <w:r w:rsidR="00AD5481" w:rsidRPr="000B2CB1">
        <w:rPr>
          <w:rFonts w:ascii="Times New Roman" w:eastAsia="Arial Unicode MS" w:hAnsi="Times New Roman" w:cs="Times New Roman"/>
          <w:sz w:val="24"/>
          <w:szCs w:val="24"/>
          <w:lang w:val="es-PE" w:eastAsia="ar-SA"/>
        </w:rPr>
        <w:t>abril</w:t>
      </w:r>
      <w:r w:rsidR="002F478E" w:rsidRPr="000B2CB1">
        <w:rPr>
          <w:rFonts w:ascii="Times New Roman" w:eastAsia="Arial Unicode MS" w:hAnsi="Times New Roman" w:cs="Times New Roman"/>
          <w:sz w:val="24"/>
          <w:szCs w:val="24"/>
          <w:lang w:val="es-PE" w:eastAsia="ar-SA"/>
        </w:rPr>
        <w:t xml:space="preserve"> </w:t>
      </w:r>
      <w:r w:rsidR="00F06498" w:rsidRPr="000B2CB1">
        <w:rPr>
          <w:rFonts w:ascii="Times New Roman" w:eastAsia="Arial Unicode MS" w:hAnsi="Times New Roman" w:cs="Times New Roman"/>
          <w:sz w:val="24"/>
          <w:szCs w:val="24"/>
          <w:lang w:val="es-PE" w:eastAsia="ar-SA"/>
        </w:rPr>
        <w:t>de 202</w:t>
      </w:r>
      <w:r w:rsidR="00AE4D37" w:rsidRPr="000B2CB1">
        <w:rPr>
          <w:rFonts w:ascii="Times New Roman" w:eastAsia="Arial Unicode MS" w:hAnsi="Times New Roman" w:cs="Times New Roman"/>
          <w:sz w:val="24"/>
          <w:szCs w:val="24"/>
          <w:lang w:val="es-PE" w:eastAsia="ar-SA"/>
        </w:rPr>
        <w:t>5</w:t>
      </w:r>
      <w:r w:rsidR="00707C99" w:rsidRPr="000B2CB1">
        <w:rPr>
          <w:rFonts w:ascii="Times New Roman" w:eastAsia="Times New Roman" w:hAnsi="Times New Roman" w:cs="Times New Roman"/>
          <w:sz w:val="24"/>
          <w:szCs w:val="24"/>
          <w:lang w:val="es-PE" w:eastAsia="ar-SA"/>
        </w:rPr>
        <w:t xml:space="preserve"> </w:t>
      </w:r>
    </w:p>
    <w:p w14:paraId="1B6988F6" w14:textId="77777777" w:rsidR="00A323F4" w:rsidRPr="000B2CB1" w:rsidRDefault="00A323F4" w:rsidP="00A323F4">
      <w:pPr>
        <w:spacing w:after="0" w:line="240" w:lineRule="auto"/>
        <w:jc w:val="both"/>
        <w:rPr>
          <w:rFonts w:ascii="Times New Roman" w:hAnsi="Times New Roman" w:cs="Times New Roman"/>
          <w:b/>
          <w:bCs/>
          <w:i/>
          <w:iCs/>
          <w:sz w:val="24"/>
          <w:szCs w:val="24"/>
          <w:lang w:val="es-PE"/>
        </w:rPr>
      </w:pPr>
      <w:r w:rsidRPr="000B2CB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0B2CB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0B2CB1" w:rsidRDefault="00543015" w:rsidP="007543CD">
      <w:pPr>
        <w:spacing w:after="0" w:line="360" w:lineRule="auto"/>
        <w:jc w:val="center"/>
        <w:rPr>
          <w:rFonts w:ascii="Times New Roman" w:hAnsi="Times New Roman" w:cs="Times New Roman"/>
          <w:b/>
          <w:bCs/>
          <w:sz w:val="24"/>
          <w:szCs w:val="24"/>
          <w:lang w:val="es-PE"/>
        </w:rPr>
      </w:pPr>
      <w:r w:rsidRPr="000B2CB1">
        <w:rPr>
          <w:rFonts w:ascii="Times New Roman" w:hAnsi="Times New Roman" w:cs="Times New Roman"/>
          <w:b/>
          <w:bCs/>
          <w:sz w:val="24"/>
          <w:szCs w:val="24"/>
          <w:lang w:val="es-PE"/>
        </w:rPr>
        <w:t xml:space="preserve">María Eugenia Valdez Fernández Baca </w:t>
      </w:r>
      <w:r w:rsidR="007543CD" w:rsidRPr="000B2CB1">
        <w:rPr>
          <w:rFonts w:ascii="Times New Roman" w:hAnsi="Times New Roman" w:cs="Times New Roman"/>
          <w:b/>
          <w:bCs/>
          <w:sz w:val="24"/>
          <w:szCs w:val="24"/>
          <w:lang w:val="es-PE"/>
        </w:rPr>
        <w:t xml:space="preserve">– </w:t>
      </w:r>
      <w:proofErr w:type="gramStart"/>
      <w:r w:rsidR="007543CD" w:rsidRPr="000B2CB1">
        <w:rPr>
          <w:rFonts w:ascii="Times New Roman" w:hAnsi="Times New Roman" w:cs="Times New Roman"/>
          <w:b/>
          <w:bCs/>
          <w:sz w:val="24"/>
          <w:szCs w:val="24"/>
          <w:lang w:val="es-PE"/>
        </w:rPr>
        <w:t>Presidente</w:t>
      </w:r>
      <w:proofErr w:type="gramEnd"/>
    </w:p>
    <w:p w14:paraId="0DCF6E18" w14:textId="56F1BED3" w:rsidR="007543CD" w:rsidRPr="000B2CB1" w:rsidRDefault="00543015" w:rsidP="007543CD">
      <w:pPr>
        <w:spacing w:after="0" w:line="360" w:lineRule="auto"/>
        <w:jc w:val="center"/>
        <w:rPr>
          <w:rFonts w:ascii="Times New Roman" w:hAnsi="Times New Roman" w:cs="Times New Roman"/>
          <w:b/>
          <w:bCs/>
          <w:sz w:val="24"/>
          <w:szCs w:val="24"/>
          <w:lang w:val="es-PE"/>
        </w:rPr>
      </w:pPr>
      <w:r w:rsidRPr="000B2CB1">
        <w:rPr>
          <w:rFonts w:ascii="Times New Roman" w:hAnsi="Times New Roman" w:cs="Times New Roman"/>
          <w:b/>
          <w:bCs/>
          <w:sz w:val="24"/>
          <w:szCs w:val="24"/>
          <w:lang w:val="es-PE"/>
        </w:rPr>
        <w:t xml:space="preserve">Rolando Eyzaguirre </w:t>
      </w:r>
      <w:proofErr w:type="spellStart"/>
      <w:r w:rsidRPr="000B2CB1">
        <w:rPr>
          <w:rFonts w:ascii="Times New Roman" w:hAnsi="Times New Roman" w:cs="Times New Roman"/>
          <w:b/>
          <w:bCs/>
          <w:sz w:val="24"/>
          <w:szCs w:val="24"/>
          <w:lang w:val="es-PE"/>
        </w:rPr>
        <w:t>Maccan</w:t>
      </w:r>
      <w:proofErr w:type="spellEnd"/>
      <w:r w:rsidRPr="000B2CB1">
        <w:rPr>
          <w:rFonts w:ascii="Times New Roman" w:hAnsi="Times New Roman" w:cs="Times New Roman"/>
          <w:b/>
          <w:bCs/>
          <w:sz w:val="24"/>
          <w:szCs w:val="24"/>
          <w:lang w:val="es-PE"/>
        </w:rPr>
        <w:t xml:space="preserve"> </w:t>
      </w:r>
      <w:r w:rsidR="007543CD" w:rsidRPr="000B2CB1">
        <w:rPr>
          <w:rFonts w:ascii="Times New Roman" w:hAnsi="Times New Roman" w:cs="Times New Roman"/>
          <w:b/>
          <w:bCs/>
          <w:sz w:val="24"/>
          <w:szCs w:val="24"/>
          <w:lang w:val="es-PE"/>
        </w:rPr>
        <w:t>– Vocal</w:t>
      </w:r>
    </w:p>
    <w:p w14:paraId="69BFE54F" w14:textId="77777777" w:rsidR="007543CD" w:rsidRPr="000B2CB1" w:rsidRDefault="007543CD" w:rsidP="007543CD">
      <w:pPr>
        <w:spacing w:after="0" w:line="360" w:lineRule="auto"/>
        <w:jc w:val="center"/>
        <w:rPr>
          <w:rFonts w:ascii="Times New Roman" w:hAnsi="Times New Roman" w:cs="Times New Roman"/>
          <w:sz w:val="24"/>
          <w:szCs w:val="24"/>
          <w:lang w:val="es-PE"/>
        </w:rPr>
      </w:pPr>
      <w:r w:rsidRPr="000B2CB1">
        <w:rPr>
          <w:rFonts w:ascii="Times New Roman" w:hAnsi="Times New Roman" w:cs="Times New Roman"/>
          <w:b/>
          <w:bCs/>
          <w:sz w:val="24"/>
          <w:szCs w:val="24"/>
          <w:lang w:val="es-PE"/>
        </w:rPr>
        <w:t>Gonzalo Abad del Busto – Vocal</w:t>
      </w:r>
    </w:p>
    <w:p w14:paraId="412CCBAA" w14:textId="77777777" w:rsidR="00986F0C" w:rsidRPr="000B2CB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0B2CB1"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2"/>
      <w:footerReference w:type="default" r:id="rId13"/>
      <w:headerReference w:type="first" r:id="rId16"/>
      <w:footerReference w:type="first" r:id="rId17"/>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AA91A" w14:textId="77777777" w:rsidR="005C5FAC" w:rsidRDefault="005C5FAC" w:rsidP="00784355">
      <w:pPr>
        <w:spacing w:after="0" w:line="240" w:lineRule="auto"/>
      </w:pPr>
      <w:r>
        <w:separator/>
      </w:r>
    </w:p>
  </w:endnote>
  <w:endnote w:type="continuationSeparator" w:id="0">
    <w:p w14:paraId="43FDD2EB" w14:textId="77777777" w:rsidR="005C5FAC" w:rsidRDefault="005C5FA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D3096" w14:textId="77777777" w:rsidR="005C5FAC" w:rsidRDefault="005C5FAC" w:rsidP="00784355">
      <w:pPr>
        <w:spacing w:after="0" w:line="240" w:lineRule="auto"/>
      </w:pPr>
      <w:r>
        <w:separator/>
      </w:r>
    </w:p>
  </w:footnote>
  <w:footnote w:type="continuationSeparator" w:id="0">
    <w:p w14:paraId="7BFC5FFA" w14:textId="77777777" w:rsidR="005C5FAC" w:rsidRDefault="005C5FA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9"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0"/>
  </w:num>
  <w:num w:numId="3" w16cid:durableId="333261791">
    <w:abstractNumId w:val="27"/>
  </w:num>
  <w:num w:numId="4" w16cid:durableId="1770345525">
    <w:abstractNumId w:val="26"/>
  </w:num>
  <w:num w:numId="5" w16cid:durableId="1816144979">
    <w:abstractNumId w:val="29"/>
  </w:num>
  <w:num w:numId="6" w16cid:durableId="1304313350">
    <w:abstractNumId w:val="1"/>
  </w:num>
  <w:num w:numId="7" w16cid:durableId="16682880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8"/>
  </w:num>
  <w:num w:numId="17" w16cid:durableId="17998823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2CEC"/>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BD0"/>
    <w:rsid w:val="00F54C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495199F-C001-4F7D-BEAF-1928502F8B15}"/>
</file>

<file path=customXml/itemProps3.xml><?xml version="1.0" encoding="utf-8"?>
<ds:datastoreItem xmlns:ds="http://schemas.openxmlformats.org/officeDocument/2006/customXml" ds:itemID="{DF89C885-828A-477A-B0AB-4EEB3382474D}"/>
</file>

<file path=customXml/itemProps4.xml><?xml version="1.0" encoding="utf-8"?>
<ds:datastoreItem xmlns:ds="http://schemas.openxmlformats.org/officeDocument/2006/customXml" ds:itemID="{A9A5A79C-005A-487B-B59B-064ED9563099}"/>
</file>

<file path=docProps/app.xml><?xml version="1.0" encoding="utf-8"?>
<Properties xmlns="http://schemas.openxmlformats.org/officeDocument/2006/extended-properties" xmlns:vt="http://schemas.openxmlformats.org/officeDocument/2006/docPropsVTypes">
  <Template>Normal</Template>
  <TotalTime>247</TotalTime>
  <Pages>4</Pages>
  <Words>1107</Words>
  <Characters>6089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317</cp:revision>
  <cp:lastPrinted>2025-04-15T17:32:00Z</cp:lastPrinted>
  <dcterms:created xsi:type="dcterms:W3CDTF">2023-02-14T22:37:00Z</dcterms:created>
  <dcterms:modified xsi:type="dcterms:W3CDTF">2025-04-15T17:32:00Z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