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088AEEF8" w:rsidR="005A2497" w:rsidRPr="00E30B3A" w:rsidRDefault="00201C0D" w:rsidP="005A2497">
      <w:pPr>
        <w:spacing w:after="0" w:line="240" w:lineRule="auto"/>
        <w:jc w:val="center"/>
        <w:rPr>
          <w:rFonts w:ascii="Times New Roman" w:hAnsi="Times New Roman" w:cs="Times New Roman"/>
          <w:b/>
          <w:sz w:val="24"/>
          <w:szCs w:val="24"/>
          <w:lang w:val="es-PE" w:eastAsia="ar-SA"/>
        </w:rPr>
      </w:pPr>
      <w:r w:rsidRPr="00E30B3A">
        <w:rPr>
          <w:rFonts w:ascii="Times New Roman" w:hAnsi="Times New Roman" w:cs="Times New Roman"/>
          <w:b/>
          <w:sz w:val="24"/>
          <w:szCs w:val="24"/>
          <w:lang w:val="es-PE" w:eastAsia="ar-SA"/>
        </w:rPr>
        <w:t xml:space="preserve">RESOLUCIÓN DE RECURSO IMPUGNATIVO </w:t>
      </w:r>
      <w:r w:rsidR="00707C99" w:rsidRPr="00E30B3A">
        <w:rPr>
          <w:rFonts w:ascii="Times New Roman" w:hAnsi="Times New Roman" w:cs="Times New Roman"/>
          <w:b/>
          <w:sz w:val="24"/>
          <w:szCs w:val="24"/>
          <w:lang w:val="es-PE" w:eastAsia="ar-SA"/>
        </w:rPr>
        <w:t xml:space="preserve">N° </w:t>
      </w:r>
      <w:r w:rsidR="00516293" w:rsidRPr="00E30B3A">
        <w:rPr>
          <w:rFonts w:ascii="Times New Roman" w:hAnsi="Times New Roman" w:cs="Times New Roman"/>
          <w:b/>
          <w:sz w:val="24"/>
          <w:szCs w:val="24"/>
          <w:lang w:val="es-PE" w:eastAsia="ar-SA"/>
        </w:rPr>
        <w:t>0</w:t>
      </w:r>
      <w:r w:rsidR="00D6267A" w:rsidRPr="00E30B3A">
        <w:rPr>
          <w:rFonts w:ascii="Times New Roman" w:hAnsi="Times New Roman" w:cs="Times New Roman"/>
          <w:b/>
          <w:sz w:val="24"/>
          <w:szCs w:val="24"/>
          <w:lang w:val="es-PE" w:eastAsia="ar-SA"/>
        </w:rPr>
        <w:t>1</w:t>
      </w:r>
      <w:r w:rsidR="00B8209E">
        <w:rPr>
          <w:rFonts w:ascii="Times New Roman" w:hAnsi="Times New Roman" w:cs="Times New Roman"/>
          <w:b/>
          <w:sz w:val="24"/>
          <w:szCs w:val="24"/>
          <w:lang w:val="es-PE" w:eastAsia="ar-SA"/>
        </w:rPr>
        <w:t>9</w:t>
      </w:r>
      <w:r w:rsidR="00C671F5" w:rsidRPr="00E30B3A">
        <w:rPr>
          <w:rFonts w:ascii="Times New Roman" w:hAnsi="Times New Roman" w:cs="Times New Roman"/>
          <w:b/>
          <w:sz w:val="24"/>
          <w:szCs w:val="24"/>
          <w:lang w:val="es-PE" w:eastAsia="ar-SA"/>
        </w:rPr>
        <w:t>/2</w:t>
      </w:r>
      <w:r w:rsidR="00A74F96" w:rsidRPr="00E30B3A">
        <w:rPr>
          <w:rFonts w:ascii="Times New Roman" w:hAnsi="Times New Roman" w:cs="Times New Roman"/>
          <w:b/>
          <w:sz w:val="24"/>
          <w:szCs w:val="24"/>
          <w:lang w:val="es-PE" w:eastAsia="ar-SA"/>
        </w:rPr>
        <w:t>5</w:t>
      </w:r>
    </w:p>
    <w:p w14:paraId="56DB191C" w14:textId="77777777" w:rsidR="005A2497" w:rsidRPr="00E30B3A" w:rsidRDefault="005A2497" w:rsidP="005A2497">
      <w:pPr>
        <w:spacing w:after="0" w:line="240" w:lineRule="auto"/>
        <w:jc w:val="center"/>
        <w:rPr>
          <w:rFonts w:ascii="Times New Roman" w:hAnsi="Times New Roman" w:cs="Times New Roman"/>
          <w:b/>
          <w:sz w:val="24"/>
          <w:szCs w:val="24"/>
          <w:lang w:val="es-PE" w:eastAsia="ar-SA"/>
        </w:rPr>
      </w:pPr>
    </w:p>
    <w:p w14:paraId="59041AEC" w14:textId="21D451A8"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b/>
          <w:sz w:val="24"/>
          <w:szCs w:val="24"/>
          <w:lang w:val="es-PE" w:eastAsia="ar-SA"/>
        </w:rPr>
        <w:t xml:space="preserve">Vistos: </w:t>
      </w:r>
    </w:p>
    <w:p w14:paraId="0D89C706"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Impugnativo presentado por …………………, respecto de la Resolución N° 017/25 emitida por esta Defensoría del Asegurado que declaró INFUNDADA la reclamación interpuesta, sobre otorgamiento de cobertura al siniestro ocurrido al vehículo asegurado. </w:t>
      </w:r>
    </w:p>
    <w:p w14:paraId="79A4EB3F"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 xml:space="preserve">Que el señalado Recurso Impugnativo se fundamenta resumidamente en lo siguiente: </w:t>
      </w:r>
    </w:p>
    <w:p w14:paraId="46E1C753" w14:textId="77777777" w:rsidR="00867EB6" w:rsidRPr="00867EB6" w:rsidRDefault="00867EB6" w:rsidP="00867EB6">
      <w:pPr>
        <w:numPr>
          <w:ilvl w:val="0"/>
          <w:numId w:val="37"/>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con fecha 15/07/2024 a horas 7:00 aproximadamente, sucede el incidente entre placa ………………… (asegurado) y ………………….</w:t>
      </w:r>
    </w:p>
    <w:p w14:paraId="5EA8834F" w14:textId="77777777" w:rsidR="00867EB6" w:rsidRPr="00867EB6" w:rsidRDefault="00867EB6" w:rsidP="00867EB6">
      <w:pPr>
        <w:numPr>
          <w:ilvl w:val="0"/>
          <w:numId w:val="37"/>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según la evidencia de los hechos el responsable claramente es la placa ………………….</w:t>
      </w:r>
    </w:p>
    <w:p w14:paraId="01C24478" w14:textId="77777777" w:rsidR="00867EB6" w:rsidRPr="00867EB6" w:rsidRDefault="00867EB6" w:rsidP="00867EB6">
      <w:pPr>
        <w:numPr>
          <w:ilvl w:val="0"/>
          <w:numId w:val="37"/>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El asegurado se comunica con Positiva y espera casi una hora a que llegara el procurador.</w:t>
      </w:r>
    </w:p>
    <w:p w14:paraId="14C9701C" w14:textId="77777777" w:rsidR="00867EB6" w:rsidRPr="00867EB6" w:rsidRDefault="00867EB6" w:rsidP="00867EB6">
      <w:pPr>
        <w:numPr>
          <w:ilvl w:val="0"/>
          <w:numId w:val="37"/>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 xml:space="preserve">Que, el procurador SUGIERE realizar la Denuncia Policial sin indicar que era de carácter obligatorio al plantearlo como sugerencia, </w:t>
      </w:r>
      <w:proofErr w:type="spellStart"/>
      <w:r w:rsidRPr="00867EB6">
        <w:rPr>
          <w:rFonts w:ascii="Times New Roman" w:eastAsia="Arial Unicode MS" w:hAnsi="Times New Roman" w:cs="Times New Roman"/>
          <w:sz w:val="24"/>
          <w:szCs w:val="24"/>
          <w:lang w:val="es-PE" w:eastAsia="ar-SA"/>
        </w:rPr>
        <w:t>esta</w:t>
      </w:r>
      <w:proofErr w:type="spellEnd"/>
      <w:r w:rsidRPr="00867EB6">
        <w:rPr>
          <w:rFonts w:ascii="Times New Roman" w:eastAsia="Arial Unicode MS" w:hAnsi="Times New Roman" w:cs="Times New Roman"/>
          <w:sz w:val="24"/>
          <w:szCs w:val="24"/>
          <w:lang w:val="es-PE" w:eastAsia="ar-SA"/>
        </w:rPr>
        <w:t xml:space="preserve"> la opción de no realizarla y así lo tomo la asegurada; si la información hubiese sido clara y puntual indicando la OBLIGATORIEDAD de realizarla como condición de cobertura definitivamente se hubiese llevado a cabo la diligencia.</w:t>
      </w:r>
    </w:p>
    <w:p w14:paraId="0EDEA4B7" w14:textId="77777777" w:rsidR="00867EB6" w:rsidRPr="00867EB6" w:rsidRDefault="00867EB6" w:rsidP="00867EB6">
      <w:pPr>
        <w:numPr>
          <w:ilvl w:val="0"/>
          <w:numId w:val="37"/>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la asegurada se encontraba conmocionada por lo sucedido y bastante nerviosa por la ubicación y tráfico originado, por eso su esposo se quedó acompañándola.</w:t>
      </w:r>
    </w:p>
    <w:p w14:paraId="0E61AFFD" w14:textId="77777777" w:rsidR="00867EB6" w:rsidRPr="00867EB6" w:rsidRDefault="00867EB6" w:rsidP="00867EB6">
      <w:pPr>
        <w:numPr>
          <w:ilvl w:val="0"/>
          <w:numId w:val="37"/>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hubo una conversación entre las partes en presencia de la policía y la asegurada decide recuperar el costo del supuesto deducible al tener que activar su póliza y cubrir sus daños, aceptando el reconocimiento monetario del equivalente en moneda nacional del deducible, es que acepta, pero nunca fue como compensación por los daños ocasionados ni evitarle la responsabilidad de los hechos que esto si hubiera sido un incumplimiento del capítulo 9 Ítem 9.3.</w:t>
      </w:r>
    </w:p>
    <w:p w14:paraId="54A93687" w14:textId="77777777" w:rsidR="00867EB6" w:rsidRPr="00867EB6" w:rsidRDefault="00867EB6" w:rsidP="00867EB6">
      <w:pPr>
        <w:numPr>
          <w:ilvl w:val="0"/>
          <w:numId w:val="37"/>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 xml:space="preserve">Que, se debe tener presente que en todo momento la asegurada y su  de las indicaciones recibidas esposo actuaron muy confiados en la buena fe de las indicaciones del procurador, cumpliendo y tomando opción planteada y advirtiendo que no deseaba tener problemas con la aseguradora, a lo que el procurador indica que su informe sería según lo sucedido y se investigara el caso con las fotos y cámaras de la zona; como se puede ver en ningún momento se indica la obligatoriedad de la denuncia y peor aún que no es necesario del dosaje etílico.   </w:t>
      </w:r>
    </w:p>
    <w:p w14:paraId="7A9DCD07"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 xml:space="preserve">Que, habiéndose corrido traslado a la aseguradora del referido Recurso impugnatorio, la misma en respuesta ha expresado lo siguiente: </w:t>
      </w:r>
    </w:p>
    <w:p w14:paraId="12CF8CA4" w14:textId="77777777" w:rsidR="00867EB6" w:rsidRPr="00867EB6" w:rsidRDefault="00867EB6" w:rsidP="00867EB6">
      <w:pPr>
        <w:numPr>
          <w:ilvl w:val="0"/>
          <w:numId w:val="38"/>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 xml:space="preserve">Que, se debe señalar que, contrariamente a lo manifestado por la reclamante, si obra en el expediente la información que rebate los argumentos de la asegurada, es decir, el audio de procuración, así como se evidencia en su Recurso Impugnatorio, que aceptó haber llegado a un acuerdo con el tercero, contrariamente a lo inicialmente dicho en </w:t>
      </w:r>
      <w:r w:rsidRPr="00867EB6">
        <w:rPr>
          <w:rFonts w:ascii="Times New Roman" w:eastAsia="Arial Unicode MS" w:hAnsi="Times New Roman" w:cs="Times New Roman"/>
          <w:sz w:val="24"/>
          <w:szCs w:val="24"/>
          <w:lang w:val="es-PE" w:eastAsia="ar-SA"/>
        </w:rPr>
        <w:lastRenderedPageBreak/>
        <w:t>audiencia, mostrando versiones contradictorias, siendo que queda demostrado que la parte reclamante no ha demostrado cada uno de sus simples dichos.</w:t>
      </w:r>
    </w:p>
    <w:p w14:paraId="3F53363C" w14:textId="77777777" w:rsidR="00867EB6" w:rsidRPr="00867EB6" w:rsidRDefault="00867EB6" w:rsidP="00867EB6">
      <w:pPr>
        <w:numPr>
          <w:ilvl w:val="0"/>
          <w:numId w:val="38"/>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como puede ver la DEFASEG, en el escrito de descargos que obra en autos, ………………… si ha cumplido con pronunciarse sobre cada argumento de la parte reclamante, determinando que no existe cobertura.</w:t>
      </w:r>
    </w:p>
    <w:p w14:paraId="765480A6" w14:textId="77777777" w:rsidR="00867EB6" w:rsidRPr="00867EB6" w:rsidRDefault="00867EB6" w:rsidP="00867EB6">
      <w:pPr>
        <w:numPr>
          <w:ilvl w:val="0"/>
          <w:numId w:val="38"/>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 xml:space="preserve">Que, la parte reclamante ha reconocido en audiencia haber recibido la póliza y conocer las condiciones generales, particulares y exclusiones de </w:t>
      </w:r>
      <w:proofErr w:type="gramStart"/>
      <w:r w:rsidRPr="00867EB6">
        <w:rPr>
          <w:rFonts w:ascii="Times New Roman" w:eastAsia="Arial Unicode MS" w:hAnsi="Times New Roman" w:cs="Times New Roman"/>
          <w:sz w:val="24"/>
          <w:szCs w:val="24"/>
          <w:lang w:val="es-PE" w:eastAsia="ar-SA"/>
        </w:rPr>
        <w:t>la misma</w:t>
      </w:r>
      <w:proofErr w:type="gramEnd"/>
      <w:r w:rsidRPr="00867EB6">
        <w:rPr>
          <w:rFonts w:ascii="Times New Roman" w:eastAsia="Arial Unicode MS" w:hAnsi="Times New Roman" w:cs="Times New Roman"/>
          <w:sz w:val="24"/>
          <w:szCs w:val="24"/>
          <w:lang w:val="es-PE" w:eastAsia="ar-SA"/>
        </w:rPr>
        <w:t>, obrando en el expediente el cargo de entrega de la póliza.</w:t>
      </w:r>
    </w:p>
    <w:p w14:paraId="22D84CE1" w14:textId="77777777" w:rsidR="00867EB6" w:rsidRPr="00867EB6" w:rsidRDefault="00867EB6" w:rsidP="00867EB6">
      <w:pPr>
        <w:numPr>
          <w:ilvl w:val="0"/>
          <w:numId w:val="38"/>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el asesor le indicó realizar los trámites policiales por ser acorde con la póliza de seguros, debido a la magnitud de los daños y que se tenía la placa del tercero, empero la parte reclamante indicó que no quería involucrar al tercero a pesar y que podría hacer una denuncia por choque y fuga, siendo importante recalcar que el procurador le mencionó que de no realizar la denuncia el siniestro quedaría en evaluación por el ejecutivo a cargo.</w:t>
      </w:r>
    </w:p>
    <w:p w14:paraId="5F0A0EDB" w14:textId="77777777" w:rsidR="00867EB6" w:rsidRPr="00867EB6" w:rsidRDefault="00867EB6" w:rsidP="00867EB6">
      <w:pPr>
        <w:numPr>
          <w:ilvl w:val="0"/>
          <w:numId w:val="38"/>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en razón a dichos fundamentos, queda demostrado que la reclamante no ha dicho la verdad en su reclamación, hecho que finalmente no cumplió con la denuncia policial, pese a ser informada mediante la póliza de dicho requisito importante en caso de siniestro y también se ser informada reiteradamente por el procurador.</w:t>
      </w:r>
    </w:p>
    <w:p w14:paraId="1FE8CD77"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atendiendo a lo expuesto, esta Defensoría resuelve finalmente lo siguiente:</w:t>
      </w:r>
    </w:p>
    <w:p w14:paraId="411F02E8"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Que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Impugnativo. Conforme a ello, en el caso concreto …………………,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14:paraId="5DBF4C5B"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b/>
          <w:sz w:val="24"/>
          <w:szCs w:val="24"/>
          <w:lang w:val="es-PE" w:eastAsia="ar-SA"/>
        </w:rPr>
        <w:t>SEGUNDO:</w:t>
      </w:r>
      <w:r w:rsidRPr="00867EB6">
        <w:rPr>
          <w:rFonts w:ascii="Times New Roman" w:eastAsia="Arial Unicode MS" w:hAnsi="Times New Roman" w:cs="Times New Roman"/>
          <w:sz w:val="24"/>
          <w:szCs w:val="24"/>
          <w:lang w:val="es-PE" w:eastAsia="ar-SA"/>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14:paraId="0EE1233E"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b/>
          <w:bCs/>
          <w:sz w:val="24"/>
          <w:szCs w:val="24"/>
          <w:lang w:val="es-PE" w:eastAsia="ar-SA"/>
        </w:rPr>
        <w:t>TERCERO:</w:t>
      </w:r>
    </w:p>
    <w:p w14:paraId="6E11AF61"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la DEFASEG considera oportuno mencionar nuevamente lo siguiente:</w:t>
      </w:r>
    </w:p>
    <w:p w14:paraId="3781FC5F" w14:textId="77777777" w:rsidR="00867EB6" w:rsidRPr="00867EB6" w:rsidRDefault="00867EB6" w:rsidP="00867EB6">
      <w:pPr>
        <w:numPr>
          <w:ilvl w:val="0"/>
          <w:numId w:val="39"/>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lastRenderedPageBreak/>
        <w:t>Que, el conductor de la unidad asegurada no realizó los trámites policiales de ley, a pesar de la indicación del asesor de la compañía que lo asistió.</w:t>
      </w:r>
    </w:p>
    <w:p w14:paraId="10BBA427" w14:textId="77777777" w:rsidR="00867EB6" w:rsidRPr="00867EB6" w:rsidRDefault="00867EB6" w:rsidP="00867EB6">
      <w:pPr>
        <w:numPr>
          <w:ilvl w:val="0"/>
          <w:numId w:val="39"/>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del mismo modo, llegó a un acuerdo con el tercero incumpliendo con el procedimiento señalado al respecto.</w:t>
      </w:r>
    </w:p>
    <w:p w14:paraId="09952544" w14:textId="77777777" w:rsidR="00867EB6" w:rsidRPr="00867EB6" w:rsidRDefault="00867EB6" w:rsidP="00867EB6">
      <w:pPr>
        <w:numPr>
          <w:ilvl w:val="0"/>
          <w:numId w:val="39"/>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 xml:space="preserve">Que, la reclamante indicó al procurador que no quería involucrar al tercero a pesar de tener la placa </w:t>
      </w:r>
      <w:proofErr w:type="gramStart"/>
      <w:r w:rsidRPr="00867EB6">
        <w:rPr>
          <w:rFonts w:ascii="Times New Roman" w:eastAsia="Arial Unicode MS" w:hAnsi="Times New Roman" w:cs="Times New Roman"/>
          <w:sz w:val="24"/>
          <w:szCs w:val="24"/>
          <w:lang w:val="es-PE" w:eastAsia="ar-SA"/>
        </w:rPr>
        <w:t>del mismo</w:t>
      </w:r>
      <w:proofErr w:type="gramEnd"/>
      <w:r w:rsidRPr="00867EB6">
        <w:rPr>
          <w:rFonts w:ascii="Times New Roman" w:eastAsia="Arial Unicode MS" w:hAnsi="Times New Roman" w:cs="Times New Roman"/>
          <w:sz w:val="24"/>
          <w:szCs w:val="24"/>
          <w:lang w:val="es-PE" w:eastAsia="ar-SA"/>
        </w:rPr>
        <w:t xml:space="preserve"> y que podría hacer una denuncia por choque y fuga, siendo importante mencionar que el procurador le indicó que de no realizar la denuncia el siniestro quedaría en evaluación por el ejecutivo a cargo.</w:t>
      </w:r>
    </w:p>
    <w:p w14:paraId="39C364EA" w14:textId="77777777" w:rsidR="00867EB6" w:rsidRPr="00867EB6" w:rsidRDefault="00867EB6" w:rsidP="00867EB6">
      <w:pPr>
        <w:numPr>
          <w:ilvl w:val="0"/>
          <w:numId w:val="39"/>
        </w:num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se debe enfatizar que, el procurador si informó sobre la necesidad de la denuncia policial; sin embargo, existió una negativa de la parte reclamante de querer realizar dicho trámite, pese a que como asegurada conocía a detalle el procedimiento desde el momento que recibió su póliza.</w:t>
      </w:r>
    </w:p>
    <w:p w14:paraId="18033C3A"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Que, en atención a las consideraciones precedentes, este colegiado no aprecia mérito ni razón objetiva para revocar la resolución recurrida y, por lo tanto</w:t>
      </w:r>
    </w:p>
    <w:p w14:paraId="4F2A4108" w14:textId="77777777" w:rsidR="00867EB6" w:rsidRPr="00867EB6" w:rsidRDefault="00867EB6" w:rsidP="00867EB6">
      <w:pPr>
        <w:spacing w:line="240" w:lineRule="auto"/>
        <w:jc w:val="both"/>
        <w:rPr>
          <w:rFonts w:ascii="Times New Roman" w:eastAsia="Arial Unicode MS" w:hAnsi="Times New Roman" w:cs="Times New Roman"/>
          <w:b/>
          <w:sz w:val="24"/>
          <w:szCs w:val="24"/>
          <w:lang w:val="es-PE" w:eastAsia="ar-SA"/>
        </w:rPr>
      </w:pPr>
      <w:r w:rsidRPr="00867EB6">
        <w:rPr>
          <w:rFonts w:ascii="Times New Roman" w:eastAsia="Arial Unicode MS" w:hAnsi="Times New Roman" w:cs="Times New Roman"/>
          <w:b/>
          <w:sz w:val="24"/>
          <w:szCs w:val="24"/>
          <w:lang w:val="es-PE" w:eastAsia="ar-SA"/>
        </w:rPr>
        <w:t xml:space="preserve">RESUELVE: </w:t>
      </w:r>
    </w:p>
    <w:p w14:paraId="230DA015" w14:textId="77777777" w:rsidR="00867EB6" w:rsidRPr="00867EB6" w:rsidRDefault="00867EB6" w:rsidP="00867EB6">
      <w:pPr>
        <w:spacing w:line="240" w:lineRule="auto"/>
        <w:jc w:val="both"/>
        <w:rPr>
          <w:rFonts w:ascii="Times New Roman" w:eastAsia="Arial Unicode MS" w:hAnsi="Times New Roman" w:cs="Times New Roman"/>
          <w:sz w:val="24"/>
          <w:szCs w:val="24"/>
          <w:lang w:val="es-PE" w:eastAsia="ar-SA"/>
        </w:rPr>
      </w:pPr>
      <w:r w:rsidRPr="00867EB6">
        <w:rPr>
          <w:rFonts w:ascii="Times New Roman" w:eastAsia="Arial Unicode MS" w:hAnsi="Times New Roman" w:cs="Times New Roman"/>
          <w:sz w:val="24"/>
          <w:szCs w:val="24"/>
          <w:lang w:val="es-PE" w:eastAsia="ar-SA"/>
        </w:rPr>
        <w:t xml:space="preserve">Declarar </w:t>
      </w:r>
      <w:r w:rsidRPr="00867EB6">
        <w:rPr>
          <w:rFonts w:ascii="Times New Roman" w:eastAsia="Arial Unicode MS" w:hAnsi="Times New Roman" w:cs="Times New Roman"/>
          <w:b/>
          <w:sz w:val="24"/>
          <w:szCs w:val="24"/>
          <w:lang w:val="es-PE" w:eastAsia="ar-SA"/>
        </w:rPr>
        <w:t>INFUNDADO</w:t>
      </w:r>
      <w:r w:rsidRPr="00867EB6">
        <w:rPr>
          <w:rFonts w:ascii="Times New Roman" w:eastAsia="Arial Unicode MS" w:hAnsi="Times New Roman" w:cs="Times New Roman"/>
          <w:sz w:val="24"/>
          <w:szCs w:val="24"/>
          <w:lang w:val="es-PE" w:eastAsia="ar-SA"/>
        </w:rPr>
        <w:t xml:space="preserve"> el Recurso Impugnativo interpuesto y, por consiguiente, ratificar la Resolución </w:t>
      </w:r>
      <w:r w:rsidRPr="00867EB6">
        <w:rPr>
          <w:rFonts w:ascii="Times New Roman" w:eastAsia="Arial Unicode MS" w:hAnsi="Times New Roman" w:cs="Times New Roman"/>
          <w:b/>
          <w:bCs/>
          <w:sz w:val="24"/>
          <w:szCs w:val="24"/>
          <w:lang w:val="es-PE" w:eastAsia="ar-SA"/>
        </w:rPr>
        <w:t>N° 017/25</w:t>
      </w:r>
      <w:r w:rsidRPr="00867EB6">
        <w:rPr>
          <w:rFonts w:ascii="Times New Roman" w:eastAsia="Arial Unicode MS" w:hAnsi="Times New Roman" w:cs="Times New Roman"/>
          <w:sz w:val="24"/>
          <w:szCs w:val="24"/>
          <w:lang w:val="es-PE" w:eastAsia="ar-SA"/>
        </w:rPr>
        <w:t xml:space="preserve"> que declaró</w:t>
      </w:r>
      <w:r w:rsidRPr="00867EB6">
        <w:rPr>
          <w:rFonts w:ascii="Times New Roman" w:eastAsia="Arial Unicode MS" w:hAnsi="Times New Roman" w:cs="Times New Roman"/>
          <w:b/>
          <w:bCs/>
          <w:sz w:val="24"/>
          <w:szCs w:val="24"/>
          <w:lang w:val="es-PE" w:eastAsia="ar-SA"/>
        </w:rPr>
        <w:t xml:space="preserve"> INFUNDADA </w:t>
      </w:r>
      <w:r w:rsidRPr="00867EB6">
        <w:rPr>
          <w:rFonts w:ascii="Times New Roman" w:eastAsia="Arial Unicode MS" w:hAnsi="Times New Roman" w:cs="Times New Roman"/>
          <w:sz w:val="24"/>
          <w:szCs w:val="24"/>
          <w:lang w:val="es-PE" w:eastAsia="ar-SA"/>
        </w:rPr>
        <w:t>la reclamación interpuesta.</w:t>
      </w:r>
      <w:r w:rsidRPr="00867EB6">
        <w:rPr>
          <w:rFonts w:ascii="Times New Roman" w:eastAsia="Arial Unicode MS" w:hAnsi="Times New Roman" w:cs="Times New Roman"/>
          <w:b/>
          <w:bCs/>
          <w:sz w:val="24"/>
          <w:szCs w:val="24"/>
          <w:lang w:val="es-PE" w:eastAsia="ar-SA"/>
        </w:rPr>
        <w:t xml:space="preserve"> </w:t>
      </w:r>
      <w:r w:rsidRPr="00867EB6">
        <w:rPr>
          <w:rFonts w:ascii="Times New Roman" w:eastAsia="Arial Unicode MS" w:hAnsi="Times New Roman" w:cs="Times New Roman"/>
          <w:sz w:val="24"/>
          <w:szCs w:val="24"/>
          <w:lang w:val="es-PE" w:eastAsia="ar-SA"/>
        </w:rPr>
        <w:t>Sin embargo, considerando que las Resoluciones emitidas por la DEFASEG no son vinculantes para los asegurados, estos quedan en libertad de acudir a otras instancias que considere convenientes.</w:t>
      </w:r>
    </w:p>
    <w:p w14:paraId="51EDAB4B" w14:textId="493ECAAB" w:rsidR="00B32E8A" w:rsidRPr="00E30B3A" w:rsidRDefault="0091528B" w:rsidP="007F2000">
      <w:pPr>
        <w:spacing w:line="240" w:lineRule="auto"/>
        <w:jc w:val="right"/>
        <w:rPr>
          <w:rFonts w:ascii="Times New Roman" w:hAnsi="Times New Roman" w:cs="Times New Roman"/>
          <w:sz w:val="24"/>
          <w:szCs w:val="24"/>
          <w:lang w:val="es-PE"/>
        </w:rPr>
      </w:pPr>
      <w:r w:rsidRPr="00E30B3A">
        <w:rPr>
          <w:rFonts w:ascii="Times New Roman" w:eastAsia="Arial Unicode MS" w:hAnsi="Times New Roman" w:cs="Times New Roman"/>
          <w:sz w:val="24"/>
          <w:szCs w:val="24"/>
          <w:lang w:val="es-PE" w:eastAsia="ar-SA"/>
        </w:rPr>
        <w:t>Lima,</w:t>
      </w:r>
      <w:r w:rsidR="00774D05" w:rsidRPr="00E30B3A">
        <w:rPr>
          <w:rFonts w:ascii="Times New Roman" w:eastAsia="Arial Unicode MS" w:hAnsi="Times New Roman" w:cs="Times New Roman"/>
          <w:sz w:val="24"/>
          <w:szCs w:val="24"/>
          <w:lang w:val="es-PE" w:eastAsia="ar-SA"/>
        </w:rPr>
        <w:t xml:space="preserve"> </w:t>
      </w:r>
      <w:r w:rsidR="00B8209E">
        <w:rPr>
          <w:rFonts w:ascii="Times New Roman" w:eastAsia="Arial Unicode MS" w:hAnsi="Times New Roman" w:cs="Times New Roman"/>
          <w:sz w:val="24"/>
          <w:szCs w:val="24"/>
          <w:lang w:val="es-PE" w:eastAsia="ar-SA"/>
        </w:rPr>
        <w:t xml:space="preserve">21 </w:t>
      </w:r>
      <w:r w:rsidR="00707C99" w:rsidRPr="00E30B3A">
        <w:rPr>
          <w:rFonts w:ascii="Times New Roman" w:eastAsia="Arial Unicode MS" w:hAnsi="Times New Roman" w:cs="Times New Roman"/>
          <w:sz w:val="24"/>
          <w:szCs w:val="24"/>
          <w:lang w:val="es-PE" w:eastAsia="ar-SA"/>
        </w:rPr>
        <w:t xml:space="preserve">de </w:t>
      </w:r>
      <w:r w:rsidR="00AD5481" w:rsidRPr="00E30B3A">
        <w:rPr>
          <w:rFonts w:ascii="Times New Roman" w:eastAsia="Arial Unicode MS" w:hAnsi="Times New Roman" w:cs="Times New Roman"/>
          <w:sz w:val="24"/>
          <w:szCs w:val="24"/>
          <w:lang w:val="es-PE" w:eastAsia="ar-SA"/>
        </w:rPr>
        <w:t>abril</w:t>
      </w:r>
      <w:r w:rsidR="002F478E" w:rsidRPr="00E30B3A">
        <w:rPr>
          <w:rFonts w:ascii="Times New Roman" w:eastAsia="Arial Unicode MS" w:hAnsi="Times New Roman" w:cs="Times New Roman"/>
          <w:sz w:val="24"/>
          <w:szCs w:val="24"/>
          <w:lang w:val="es-PE" w:eastAsia="ar-SA"/>
        </w:rPr>
        <w:t xml:space="preserve"> </w:t>
      </w:r>
      <w:r w:rsidR="00F06498" w:rsidRPr="00E30B3A">
        <w:rPr>
          <w:rFonts w:ascii="Times New Roman" w:eastAsia="Arial Unicode MS" w:hAnsi="Times New Roman" w:cs="Times New Roman"/>
          <w:sz w:val="24"/>
          <w:szCs w:val="24"/>
          <w:lang w:val="es-PE" w:eastAsia="ar-SA"/>
        </w:rPr>
        <w:t>de 202</w:t>
      </w:r>
      <w:r w:rsidR="00AE4D37" w:rsidRPr="00E30B3A">
        <w:rPr>
          <w:rFonts w:ascii="Times New Roman" w:eastAsia="Arial Unicode MS" w:hAnsi="Times New Roman" w:cs="Times New Roman"/>
          <w:sz w:val="24"/>
          <w:szCs w:val="24"/>
          <w:lang w:val="es-PE" w:eastAsia="ar-SA"/>
        </w:rPr>
        <w:t>5</w:t>
      </w:r>
      <w:r w:rsidR="00707C99" w:rsidRPr="00E30B3A">
        <w:rPr>
          <w:rFonts w:ascii="Times New Roman" w:eastAsia="Times New Roman" w:hAnsi="Times New Roman" w:cs="Times New Roman"/>
          <w:sz w:val="24"/>
          <w:szCs w:val="24"/>
          <w:lang w:val="es-PE" w:eastAsia="ar-SA"/>
        </w:rPr>
        <w:t xml:space="preserve"> </w:t>
      </w:r>
    </w:p>
    <w:p w14:paraId="1B6988F6" w14:textId="77777777" w:rsidR="00A323F4" w:rsidRPr="00E30B3A" w:rsidRDefault="00A323F4" w:rsidP="00A323F4">
      <w:pPr>
        <w:spacing w:after="0" w:line="240" w:lineRule="auto"/>
        <w:jc w:val="both"/>
        <w:rPr>
          <w:rFonts w:ascii="Times New Roman" w:hAnsi="Times New Roman" w:cs="Times New Roman"/>
          <w:b/>
          <w:bCs/>
          <w:i/>
          <w:iCs/>
          <w:sz w:val="24"/>
          <w:szCs w:val="24"/>
          <w:lang w:val="es-PE"/>
        </w:rPr>
      </w:pPr>
      <w:r w:rsidRPr="00E30B3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E30B3A"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E30B3A" w:rsidRDefault="00543015" w:rsidP="007543CD">
      <w:pPr>
        <w:spacing w:after="0" w:line="360" w:lineRule="auto"/>
        <w:jc w:val="center"/>
        <w:rPr>
          <w:rFonts w:ascii="Times New Roman" w:hAnsi="Times New Roman" w:cs="Times New Roman"/>
          <w:b/>
          <w:bCs/>
          <w:sz w:val="24"/>
          <w:szCs w:val="24"/>
          <w:lang w:val="es-PE"/>
        </w:rPr>
      </w:pPr>
      <w:r w:rsidRPr="00E30B3A">
        <w:rPr>
          <w:rFonts w:ascii="Times New Roman" w:hAnsi="Times New Roman" w:cs="Times New Roman"/>
          <w:b/>
          <w:bCs/>
          <w:sz w:val="24"/>
          <w:szCs w:val="24"/>
          <w:lang w:val="es-PE"/>
        </w:rPr>
        <w:t xml:space="preserve">María Eugenia Valdez Fernández Baca </w:t>
      </w:r>
      <w:r w:rsidR="007543CD" w:rsidRPr="00E30B3A">
        <w:rPr>
          <w:rFonts w:ascii="Times New Roman" w:hAnsi="Times New Roman" w:cs="Times New Roman"/>
          <w:b/>
          <w:bCs/>
          <w:sz w:val="24"/>
          <w:szCs w:val="24"/>
          <w:lang w:val="es-PE"/>
        </w:rPr>
        <w:t xml:space="preserve">– </w:t>
      </w:r>
      <w:proofErr w:type="gramStart"/>
      <w:r w:rsidR="007543CD" w:rsidRPr="00E30B3A">
        <w:rPr>
          <w:rFonts w:ascii="Times New Roman" w:hAnsi="Times New Roman" w:cs="Times New Roman"/>
          <w:b/>
          <w:bCs/>
          <w:sz w:val="24"/>
          <w:szCs w:val="24"/>
          <w:lang w:val="es-PE"/>
        </w:rPr>
        <w:t>Presidente</w:t>
      </w:r>
      <w:proofErr w:type="gramEnd"/>
    </w:p>
    <w:p w14:paraId="0DCF6E18" w14:textId="56F1BED3" w:rsidR="007543CD" w:rsidRPr="00E30B3A" w:rsidRDefault="00543015" w:rsidP="007543CD">
      <w:pPr>
        <w:spacing w:after="0" w:line="360" w:lineRule="auto"/>
        <w:jc w:val="center"/>
        <w:rPr>
          <w:rFonts w:ascii="Times New Roman" w:hAnsi="Times New Roman" w:cs="Times New Roman"/>
          <w:b/>
          <w:bCs/>
          <w:sz w:val="24"/>
          <w:szCs w:val="24"/>
          <w:lang w:val="es-PE"/>
        </w:rPr>
      </w:pPr>
      <w:r w:rsidRPr="00E30B3A">
        <w:rPr>
          <w:rFonts w:ascii="Times New Roman" w:hAnsi="Times New Roman" w:cs="Times New Roman"/>
          <w:b/>
          <w:bCs/>
          <w:sz w:val="24"/>
          <w:szCs w:val="24"/>
          <w:lang w:val="es-PE"/>
        </w:rPr>
        <w:t xml:space="preserve">Rolando Eyzaguirre </w:t>
      </w:r>
      <w:proofErr w:type="spellStart"/>
      <w:r w:rsidRPr="00E30B3A">
        <w:rPr>
          <w:rFonts w:ascii="Times New Roman" w:hAnsi="Times New Roman" w:cs="Times New Roman"/>
          <w:b/>
          <w:bCs/>
          <w:sz w:val="24"/>
          <w:szCs w:val="24"/>
          <w:lang w:val="es-PE"/>
        </w:rPr>
        <w:t>Maccan</w:t>
      </w:r>
      <w:proofErr w:type="spellEnd"/>
      <w:r w:rsidRPr="00E30B3A">
        <w:rPr>
          <w:rFonts w:ascii="Times New Roman" w:hAnsi="Times New Roman" w:cs="Times New Roman"/>
          <w:b/>
          <w:bCs/>
          <w:sz w:val="24"/>
          <w:szCs w:val="24"/>
          <w:lang w:val="es-PE"/>
        </w:rPr>
        <w:t xml:space="preserve"> </w:t>
      </w:r>
      <w:r w:rsidR="007543CD" w:rsidRPr="00E30B3A">
        <w:rPr>
          <w:rFonts w:ascii="Times New Roman" w:hAnsi="Times New Roman" w:cs="Times New Roman"/>
          <w:b/>
          <w:bCs/>
          <w:sz w:val="24"/>
          <w:szCs w:val="24"/>
          <w:lang w:val="es-PE"/>
        </w:rPr>
        <w:t>– Vocal</w:t>
      </w:r>
    </w:p>
    <w:p w14:paraId="69BFE54F" w14:textId="77777777" w:rsidR="007543CD" w:rsidRPr="00E30B3A" w:rsidRDefault="007543CD" w:rsidP="007543CD">
      <w:pPr>
        <w:spacing w:after="0" w:line="360" w:lineRule="auto"/>
        <w:jc w:val="center"/>
        <w:rPr>
          <w:rFonts w:ascii="Times New Roman" w:hAnsi="Times New Roman" w:cs="Times New Roman"/>
          <w:sz w:val="24"/>
          <w:szCs w:val="24"/>
          <w:lang w:val="es-PE"/>
        </w:rPr>
      </w:pPr>
      <w:r w:rsidRPr="00E30B3A">
        <w:rPr>
          <w:rFonts w:ascii="Times New Roman" w:hAnsi="Times New Roman" w:cs="Times New Roman"/>
          <w:b/>
          <w:bCs/>
          <w:sz w:val="24"/>
          <w:szCs w:val="24"/>
          <w:lang w:val="es-PE"/>
        </w:rPr>
        <w:t>Gonzalo Abad del Busto – Vocal</w:t>
      </w:r>
    </w:p>
    <w:p w14:paraId="412CCBAA" w14:textId="77777777" w:rsidR="00986F0C" w:rsidRPr="00E30B3A"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20304" w14:textId="77777777" w:rsidR="0049582C" w:rsidRDefault="0049582C" w:rsidP="00784355">
      <w:pPr>
        <w:spacing w:after="0" w:line="240" w:lineRule="auto"/>
      </w:pPr>
      <w:r>
        <w:separator/>
      </w:r>
    </w:p>
  </w:endnote>
  <w:endnote w:type="continuationSeparator" w:id="0">
    <w:p w14:paraId="420EF3D2" w14:textId="77777777" w:rsidR="0049582C" w:rsidRDefault="0049582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FCC85" w14:textId="77777777" w:rsidR="0049582C" w:rsidRDefault="0049582C" w:rsidP="00784355">
      <w:pPr>
        <w:spacing w:after="0" w:line="240" w:lineRule="auto"/>
      </w:pPr>
      <w:r>
        <w:separator/>
      </w:r>
    </w:p>
  </w:footnote>
  <w:footnote w:type="continuationSeparator" w:id="0">
    <w:p w14:paraId="0F840286" w14:textId="77777777" w:rsidR="0049582C" w:rsidRDefault="0049582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3"/>
  </w:num>
  <w:num w:numId="3" w16cid:durableId="333261791">
    <w:abstractNumId w:val="30"/>
  </w:num>
  <w:num w:numId="4" w16cid:durableId="1770345525">
    <w:abstractNumId w:val="29"/>
  </w:num>
  <w:num w:numId="5" w16cid:durableId="1816144979">
    <w:abstractNumId w:val="32"/>
  </w:num>
  <w:num w:numId="6" w16cid:durableId="1304313350">
    <w:abstractNumId w:val="1"/>
  </w:num>
  <w:num w:numId="7" w16cid:durableId="166828809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0"/>
  </w:num>
  <w:num w:numId="17" w16cid:durableId="17998823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7BFD"/>
    <w:rsid w:val="00190FBE"/>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BD0"/>
    <w:rsid w:val="00F54C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CDE4C57-DC6D-449A-A913-0632BF4B3299}"/>
</file>

<file path=customXml/itemProps3.xml><?xml version="1.0" encoding="utf-8"?>
<ds:datastoreItem xmlns:ds="http://schemas.openxmlformats.org/officeDocument/2006/customXml" ds:itemID="{80B74774-B402-4DE4-909A-05EBBE8EDCD5}"/>
</file>

<file path=customXml/itemProps4.xml><?xml version="1.0" encoding="utf-8"?>
<ds:datastoreItem xmlns:ds="http://schemas.openxmlformats.org/officeDocument/2006/customXml" ds:itemID="{4EDEF8D6-1DCE-4779-8AE4-730E8AF83F67}"/>
</file>

<file path=docProps/app.xml><?xml version="1.0" encoding="utf-8"?>
<Properties xmlns="http://schemas.openxmlformats.org/officeDocument/2006/extended-properties" xmlns:vt="http://schemas.openxmlformats.org/officeDocument/2006/docPropsVTypes">
  <Template>Normal</Template>
  <TotalTime>259</TotalTime>
  <Pages>3</Pages>
  <Words>1165</Words>
  <Characters>6408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325</cp:revision>
  <cp:lastPrinted>2025-04-21T15:36:00Z</cp:lastPrinted>
  <dcterms:created xsi:type="dcterms:W3CDTF">2023-02-14T22:37:00Z</dcterms:created>
  <dcterms:modified xsi:type="dcterms:W3CDTF">2025-04-21T15:36:00Z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