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1F3002DD" w:rsidR="005A2497" w:rsidRPr="000802ED" w:rsidRDefault="00201C0D" w:rsidP="005A2497">
      <w:pPr>
        <w:spacing w:after="0" w:line="240" w:lineRule="auto"/>
        <w:jc w:val="center"/>
        <w:rPr>
          <w:rFonts w:ascii="Times New Roman" w:hAnsi="Times New Roman" w:cs="Times New Roman"/>
          <w:b/>
          <w:sz w:val="23"/>
          <w:szCs w:val="23"/>
          <w:lang w:val="es-PE" w:eastAsia="ar-SA"/>
        </w:rPr>
      </w:pPr>
      <w:r w:rsidRPr="000802ED">
        <w:rPr>
          <w:rFonts w:ascii="Times New Roman" w:hAnsi="Times New Roman" w:cs="Times New Roman"/>
          <w:b/>
          <w:sz w:val="24"/>
          <w:szCs w:val="23"/>
          <w:lang w:val="es-PE" w:eastAsia="ar-SA"/>
        </w:rPr>
        <w:t xml:space="preserve">RESOLUCIÓN DE RECURSO IMPUGNATIVO </w:t>
      </w:r>
      <w:r w:rsidR="00707C99" w:rsidRPr="000802ED">
        <w:rPr>
          <w:rFonts w:ascii="Times New Roman" w:hAnsi="Times New Roman" w:cs="Times New Roman"/>
          <w:b/>
          <w:sz w:val="24"/>
          <w:szCs w:val="23"/>
          <w:lang w:val="es-PE" w:eastAsia="ar-SA"/>
        </w:rPr>
        <w:t xml:space="preserve">N° </w:t>
      </w:r>
      <w:r w:rsidR="00516293" w:rsidRPr="000802ED">
        <w:rPr>
          <w:rFonts w:ascii="Times New Roman" w:hAnsi="Times New Roman" w:cs="Times New Roman"/>
          <w:b/>
          <w:sz w:val="24"/>
          <w:szCs w:val="23"/>
          <w:lang w:val="es-PE" w:eastAsia="ar-SA"/>
        </w:rPr>
        <w:t>0</w:t>
      </w:r>
      <w:r w:rsidR="00D26530" w:rsidRPr="000802ED">
        <w:rPr>
          <w:rFonts w:ascii="Times New Roman" w:hAnsi="Times New Roman" w:cs="Times New Roman"/>
          <w:b/>
          <w:sz w:val="24"/>
          <w:szCs w:val="23"/>
          <w:lang w:val="es-PE" w:eastAsia="ar-SA"/>
        </w:rPr>
        <w:t>20</w:t>
      </w:r>
      <w:r w:rsidR="00C671F5" w:rsidRPr="000802ED">
        <w:rPr>
          <w:rFonts w:ascii="Times New Roman" w:hAnsi="Times New Roman" w:cs="Times New Roman"/>
          <w:b/>
          <w:sz w:val="24"/>
          <w:szCs w:val="23"/>
          <w:lang w:val="es-PE" w:eastAsia="ar-SA"/>
        </w:rPr>
        <w:t>/2</w:t>
      </w:r>
      <w:r w:rsidR="00A74F96" w:rsidRPr="000802ED">
        <w:rPr>
          <w:rFonts w:ascii="Times New Roman" w:hAnsi="Times New Roman" w:cs="Times New Roman"/>
          <w:b/>
          <w:sz w:val="24"/>
          <w:szCs w:val="23"/>
          <w:lang w:val="es-PE" w:eastAsia="ar-SA"/>
        </w:rPr>
        <w:t>5</w:t>
      </w:r>
    </w:p>
    <w:p w14:paraId="56DB191C" w14:textId="77777777" w:rsidR="005A2497" w:rsidRPr="000802ED" w:rsidRDefault="005A2497" w:rsidP="00AD59A0">
      <w:pPr>
        <w:spacing w:after="0" w:line="240" w:lineRule="auto"/>
        <w:jc w:val="both"/>
        <w:rPr>
          <w:rFonts w:ascii="Times New Roman" w:hAnsi="Times New Roman" w:cs="Times New Roman"/>
          <w:b/>
          <w:sz w:val="23"/>
          <w:szCs w:val="23"/>
          <w:lang w:val="es-PE" w:eastAsia="ar-SA"/>
        </w:rPr>
      </w:pPr>
    </w:p>
    <w:p w14:paraId="6D31A436" w14:textId="77777777" w:rsidR="00AD59A0" w:rsidRPr="00AD59A0" w:rsidRDefault="00AD59A0" w:rsidP="00AD59A0">
      <w:pPr>
        <w:spacing w:line="240" w:lineRule="auto"/>
        <w:jc w:val="both"/>
        <w:rPr>
          <w:rFonts w:ascii="Times New Roman" w:eastAsia="Arial Unicode MS" w:hAnsi="Times New Roman" w:cs="Times New Roman"/>
          <w:b/>
          <w:bCs/>
          <w:sz w:val="23"/>
          <w:szCs w:val="23"/>
          <w:lang w:val="es-MX" w:eastAsia="ar-SA"/>
        </w:rPr>
      </w:pPr>
      <w:r w:rsidRPr="00AD59A0">
        <w:rPr>
          <w:rFonts w:ascii="Times New Roman" w:eastAsia="Arial Unicode MS" w:hAnsi="Times New Roman" w:cs="Times New Roman"/>
          <w:b/>
          <w:bCs/>
          <w:sz w:val="24"/>
          <w:szCs w:val="23"/>
          <w:lang w:val="es-MX" w:eastAsia="ar-SA"/>
        </w:rPr>
        <w:t>VISTOS:</w:t>
      </w:r>
    </w:p>
    <w:p w14:paraId="4D59968F" w14:textId="77777777"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El Recurso de Impugnación presentado por ………………… respecto de la Resolución Nro. 245/24, expedida por esta Defensoría del Asegurado (DEFASEG), conforme a la cual se declaró INFUNDADA la reclamación interpuesta contra ………………… respecto al Seguro Vehicular – PÓLIZA N° …………………;</w:t>
      </w:r>
    </w:p>
    <w:p w14:paraId="5623C938" w14:textId="77777777" w:rsidR="00AD59A0" w:rsidRPr="00AD59A0" w:rsidRDefault="00AD59A0" w:rsidP="00AD59A0">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el indicado recurso se sustenta resumidamente en lo siguiente: (1) la Resolución Impugnada no se pronuncia sobre las consecuencias del incumplimiento de la aseguradora de asistir a la inspección del vehículo previamente acordada con el asegurado para el 2 de junio de 2023; (2) la aseguradora no realizó nuevos intentos validos de concretar una nueva fecha; (3) existe responsabilidad compartida en la coordinación de la inspección, la aseguradora no cumplió con su deber de realizar esfuerzos efectivos para reprogramar la inspección; (4) la Resolución Impugnada no valora las gestiones realizadas por el asegurado para obtener evidencia de los intentos de comunicación con la aseguradora; (5) la denegatoria de cobertura es una sanción desproporcionada ante la falta de inspección cuando la falta de esta es atribuible a la aseguradora; (6) se han presentado pruebas que certifican el buen estado del vehículo antes del siniestro  </w:t>
      </w:r>
    </w:p>
    <w:p w14:paraId="1D3B2230" w14:textId="77777777" w:rsidR="00AD59A0" w:rsidRPr="00AD59A0" w:rsidRDefault="00AD59A0" w:rsidP="00AD59A0">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la aseguradora absolvió el traslado del recurso interpuesto, indicando en resumen lo siguiente: (1) el vehículo asegurado de la parte reclamante no pasó la inspección vehicular hasta la fecha; (2) se realizaron diversas llamadas de gestión; sin embargo, el asegurado nunca contestó; máxime que, la obligación de comunicarse con la aseguradora era exclusivamente del asegurado; (3) la seguradora sí realizó diversas gestiones para lograr la inspección; sin embargo, la parte reclamante no cumplió con contestar o brindar respuesta de manera oportuna, pese a no ser obligación de la aseguradora comunicarse; (4) el Recurso de Impugnación no acompaña medio de prueba que acredite los supuestos intentos de comunicaciones del asegurado; (5) el reporte de llamadas presentado por el asegurado no tiene ninguna validez legal ya que no posee un reporte de llamada concreto; (6) el siniestro ocurrió once (11) meses después; (7) no existe evidencia probatoria que acredite que, en esos meses la parte reclamante haya solicitado pasar la inspección. </w:t>
      </w:r>
    </w:p>
    <w:p w14:paraId="60395820" w14:textId="77777777" w:rsidR="00AD59A0" w:rsidRPr="00AD59A0" w:rsidRDefault="00AD59A0" w:rsidP="00AD59A0">
      <w:pPr>
        <w:spacing w:line="240" w:lineRule="auto"/>
        <w:jc w:val="both"/>
        <w:rPr>
          <w:rFonts w:ascii="Times New Roman" w:eastAsia="Arial Unicode MS" w:hAnsi="Times New Roman" w:cs="Times New Roman"/>
          <w:bCs/>
          <w:sz w:val="23"/>
          <w:szCs w:val="23"/>
          <w:lang w:val="es-MX" w:eastAsia="ar-SA"/>
        </w:rPr>
      </w:pPr>
      <w:r w:rsidRPr="00AD59A0">
        <w:rPr>
          <w:rFonts w:ascii="Times New Roman" w:eastAsia="Arial Unicode MS" w:hAnsi="Times New Roman" w:cs="Times New Roman"/>
          <w:bCs/>
          <w:sz w:val="24"/>
          <w:szCs w:val="23"/>
          <w:lang w:val="es-MX" w:eastAsia="ar-SA"/>
        </w:rPr>
        <w:t>Que, atendiendo a lo expuesto, esta defensoría resuelve finalmente lo siguiente:</w:t>
      </w:r>
    </w:p>
    <w:p w14:paraId="1B626B97" w14:textId="77777777"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378BC8EF" w14:textId="77777777"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3C0DBA37" w14:textId="77777777" w:rsidR="00AD59A0" w:rsidRPr="00AD59A0" w:rsidRDefault="00AD59A0" w:rsidP="00AD59A0">
      <w:pPr>
        <w:spacing w:line="240" w:lineRule="auto"/>
        <w:jc w:val="both"/>
        <w:rPr>
          <w:rFonts w:ascii="Times New Roman" w:eastAsia="Arial Unicode MS" w:hAnsi="Times New Roman" w:cs="Times New Roman"/>
          <w:bCs/>
          <w:sz w:val="23"/>
          <w:szCs w:val="23"/>
          <w:lang w:val="es-PE" w:eastAsia="ar-SA"/>
        </w:rPr>
      </w:pPr>
      <w:r w:rsidRPr="00AD59A0">
        <w:rPr>
          <w:rFonts w:ascii="Times New Roman" w:eastAsia="Arial Unicode MS" w:hAnsi="Times New Roman" w:cs="Times New Roman"/>
          <w:b/>
          <w:bCs/>
          <w:sz w:val="24"/>
          <w:szCs w:val="23"/>
          <w:u w:val="single"/>
          <w:lang w:val="es-ES" w:eastAsia="ar-SA"/>
        </w:rPr>
        <w:t>SEGUNDO</w:t>
      </w:r>
      <w:r w:rsidRPr="00AD59A0">
        <w:rPr>
          <w:rFonts w:ascii="Times New Roman" w:eastAsia="Arial Unicode MS" w:hAnsi="Times New Roman" w:cs="Times New Roman"/>
          <w:b/>
          <w:bCs/>
          <w:sz w:val="24"/>
          <w:szCs w:val="23"/>
          <w:lang w:val="es-ES" w:eastAsia="ar-SA"/>
        </w:rPr>
        <w:t>:</w:t>
      </w:r>
      <w:r w:rsidRPr="00AD59A0">
        <w:rPr>
          <w:rFonts w:ascii="Times New Roman" w:eastAsia="Arial Unicode MS" w:hAnsi="Times New Roman" w:cs="Times New Roman"/>
          <w:bCs/>
          <w:sz w:val="24"/>
          <w:szCs w:val="23"/>
          <w:lang w:val="es-ES" w:eastAsia="ar-SA"/>
        </w:rPr>
        <w:t xml:space="preserve"> </w:t>
      </w:r>
      <w:r w:rsidRPr="00AD59A0">
        <w:rPr>
          <w:rFonts w:ascii="Times New Roman" w:eastAsia="Arial Unicode MS" w:hAnsi="Times New Roman" w:cs="Times New Roman"/>
          <w:bCs/>
          <w:sz w:val="24"/>
          <w:szCs w:val="23"/>
          <w:lang w:val="es-PE" w:eastAsia="ar-SA"/>
        </w:rPr>
        <w:t>Atendiendo a los fundamentos de la impugnación interpuesta, se advierte que la reclamante insiste en sus argumentos ya expresados con ocasión de presentar su escrito de reclamación. En consecuencia, el Recurso Impugnativo interpuesto puede ser categorizado, por su contenido mismo, como una solicitud de revisión general, sustentado en el muy respetable criterio de la reclamante que este colegiado no comparte, pero sin aportar argumento o medio probatorio alguno que permita objetivamente a este colegiado apreciar que habría incurrido efectivamente en un error o vicio al momento de resolver.</w:t>
      </w:r>
    </w:p>
    <w:p w14:paraId="2222116C" w14:textId="77777777"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Sin perjuicio de lo anterior, es preciso reiterar que conforme se desarrolla en el séptimo considerando de la Resolución Impugnada, si bien la inspección debe ser realizada por la aseguradora, por lo que ésta debía programarla, la responsabilidad de coordinar esa inspección vehicular es del asegurado, por lo que no puede pretenderse trasladar su omisión o imposibilidad de contactarlo a la aseguradora para la reprogramación respectiva, más aún cuando el siniestro ocurrió once meses después de frustrarse la primera fecha acordada para la inspección respectiva. </w:t>
      </w:r>
    </w:p>
    <w:p w14:paraId="60AC88B8" w14:textId="77777777"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sidRPr="00AD59A0">
        <w:rPr>
          <w:rFonts w:ascii="Times New Roman" w:eastAsia="Arial Unicode MS" w:hAnsi="Times New Roman" w:cs="Times New Roman"/>
          <w:sz w:val="24"/>
          <w:szCs w:val="23"/>
          <w:lang w:val="es-PE" w:eastAsia="ar-SA"/>
        </w:rPr>
        <w:t xml:space="preserve">Esta Defensoría ha advertido que, conforme al contrato de seguro pactado entre las partes, el asegurado era el obligado a coordinar que se realice la inspección, de manera que la responsabilidad de coordinar y someterse a la inspección está contractualmente en cabeza del asegurado, quien asume el riesgo derivado de la falta de cumplimiento de la condición de cobertura como es la realización de la respectiva inspección al vehículo asegurado. </w:t>
      </w:r>
    </w:p>
    <w:p w14:paraId="3A49BD66" w14:textId="77777777"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Cabe recalcar que conforme se analiza en la Resolución Impugnada, si bien se aprecia que se coordinó la inspección para el 2 de junio de 2023, pero por causa imputable a la aseguradora, esta no llegó a realizar en dicha fecha, empero se ha tomado en consideración que la necesidad de reprogramar la inspección para otra fecha no libera al asegurado de realizar la inspección antes del siniestro ocurrido el 8 de mayo de 2024. </w:t>
      </w:r>
    </w:p>
    <w:p w14:paraId="1BBD737E" w14:textId="1E13EB9E" w:rsidR="00AD59A0" w:rsidRPr="00AD59A0" w:rsidRDefault="00AD59A0" w:rsidP="00AD59A0">
      <w:pPr>
        <w:spacing w:line="240" w:lineRule="auto"/>
        <w:jc w:val="both"/>
        <w:rPr>
          <w:rFonts w:ascii="Times New Roman" w:eastAsia="Arial Unicode MS" w:hAnsi="Times New Roman" w:cs="Times New Roman"/>
          <w:sz w:val="23"/>
          <w:szCs w:val="23"/>
          <w:lang w:val="es-PE" w:eastAsia="ar-SA"/>
        </w:rPr>
      </w:pPr>
      <w:r w:rsidRPr="00AD59A0">
        <w:rPr>
          <w:rFonts w:ascii="Times New Roman" w:eastAsia="Arial Unicode MS" w:hAnsi="Times New Roman" w:cs="Times New Roman"/>
          <w:b/>
          <w:sz w:val="24"/>
          <w:szCs w:val="23"/>
          <w:u w:val="single"/>
          <w:lang w:val="es-ES" w:eastAsia="ar-SA"/>
        </w:rPr>
        <w:t>TERCERO</w:t>
      </w:r>
      <w:r w:rsidRPr="00AD59A0">
        <w:rPr>
          <w:rFonts w:ascii="Times New Roman" w:eastAsia="Arial Unicode MS" w:hAnsi="Times New Roman" w:cs="Times New Roman"/>
          <w:b/>
          <w:sz w:val="24"/>
          <w:szCs w:val="23"/>
          <w:lang w:val="es-ES" w:eastAsia="ar-SA"/>
        </w:rPr>
        <w:t>:</w:t>
      </w:r>
      <w:r w:rsidRPr="00AD59A0">
        <w:rPr>
          <w:rFonts w:ascii="Times New Roman" w:eastAsia="Arial Unicode MS" w:hAnsi="Times New Roman" w:cs="Times New Roman"/>
          <w:sz w:val="24"/>
          <w:szCs w:val="23"/>
          <w:lang w:val="es-ES" w:eastAsia="ar-SA"/>
        </w:rPr>
        <w:t xml:space="preserve"> En atención a las consideraciones precedentes, ratificando el análisis y conclusión contenidos en la resolución recurrida, este Colegiado aprecia finalmente que no existe mérito, argumento ni prueba suficiente y razón objetiva para revocar la resolución recurrida.</w:t>
      </w:r>
    </w:p>
    <w:p w14:paraId="1B4D92A7" w14:textId="26276B11" w:rsidR="00AD59A0" w:rsidRPr="00AD59A0" w:rsidRDefault="00AD59A0" w:rsidP="00AD59A0">
      <w:pPr>
        <w:spacing w:line="240" w:lineRule="auto"/>
        <w:jc w:val="both"/>
        <w:rPr>
          <w:rFonts w:ascii="Times New Roman" w:eastAsia="Arial Unicode MS" w:hAnsi="Times New Roman" w:cs="Times New Roman"/>
          <w:b/>
          <w:sz w:val="23"/>
          <w:szCs w:val="23"/>
          <w:lang w:val="es-PE" w:eastAsia="ar-SA"/>
        </w:rPr>
      </w:pPr>
      <w:r w:rsidRPr="00AD59A0">
        <w:rPr>
          <w:rFonts w:ascii="Times New Roman" w:eastAsia="Arial Unicode MS" w:hAnsi="Times New Roman" w:cs="Times New Roman"/>
          <w:b/>
          <w:sz w:val="24"/>
          <w:szCs w:val="23"/>
          <w:lang w:val="es-PE" w:eastAsia="ar-SA"/>
        </w:rPr>
        <w:t>ATENDIENDO A LO EXPRESADO, CONFORME A SU REGLAMENTO, ESTE COLEGIADO RESUELVE:</w:t>
      </w:r>
    </w:p>
    <w:p w14:paraId="09FFD827" w14:textId="77777777" w:rsidR="00AD59A0" w:rsidRPr="00AD59A0" w:rsidRDefault="00AD59A0" w:rsidP="00AD59A0">
      <w:pPr>
        <w:spacing w:line="240" w:lineRule="auto"/>
        <w:jc w:val="both"/>
        <w:rPr>
          <w:rFonts w:ascii="Times New Roman" w:eastAsia="Arial Unicode MS" w:hAnsi="Times New Roman" w:cs="Times New Roman"/>
          <w:sz w:val="23"/>
          <w:szCs w:val="23"/>
          <w:lang w:val="es-MX" w:eastAsia="ar-SA"/>
        </w:rPr>
      </w:pPr>
      <w:r>
        <w:rPr>
          <w:rFonts w:ascii="Times New Roman" w:hAnsi="Times New Roman"/>
          <w:sz w:val="24"/>
        </w:rPr>
        <w:t xml:space="preserve">DECLARAR INFUNDADO el Recurso de Impugnación interpuesto por SERVICIO DE CONSULTORES ANDINOS SA  y, por consiguiente, CONFIRMAR la Resolución N° 245/24.</w:t>
      </w:r>
    </w:p>
    <w:p w14:paraId="51EDAB4B" w14:textId="493ECAAB" w:rsidR="00B32E8A" w:rsidRPr="000802ED" w:rsidRDefault="0091528B" w:rsidP="007F2000">
      <w:pPr>
        <w:spacing w:line="240" w:lineRule="auto"/>
        <w:jc w:val="right"/>
        <w:rPr>
          <w:rFonts w:ascii="Times New Roman" w:hAnsi="Times New Roman" w:cs="Times New Roman"/>
          <w:sz w:val="23"/>
          <w:szCs w:val="23"/>
          <w:lang w:val="es-PE"/>
        </w:rPr>
      </w:pPr>
      <w:r w:rsidRPr="000802ED">
        <w:rPr>
          <w:rFonts w:ascii="Times New Roman" w:eastAsia="Arial Unicode MS" w:hAnsi="Times New Roman" w:cs="Times New Roman"/>
          <w:sz w:val="24"/>
          <w:szCs w:val="23"/>
          <w:lang w:val="es-PE" w:eastAsia="ar-SA"/>
        </w:rPr>
        <w:t>Lima,</w:t>
      </w:r>
      <w:r w:rsidR="00774D05" w:rsidRPr="000802ED">
        <w:rPr>
          <w:rFonts w:ascii="Times New Roman" w:eastAsia="Arial Unicode MS" w:hAnsi="Times New Roman" w:cs="Times New Roman"/>
          <w:sz w:val="24"/>
          <w:szCs w:val="23"/>
          <w:lang w:val="es-PE" w:eastAsia="ar-SA"/>
        </w:rPr>
        <w:t xml:space="preserve"> </w:t>
      </w:r>
      <w:r w:rsidR="00B8209E" w:rsidRPr="000802ED">
        <w:rPr>
          <w:rFonts w:ascii="Times New Roman" w:eastAsia="Arial Unicode MS" w:hAnsi="Times New Roman" w:cs="Times New Roman"/>
          <w:sz w:val="24"/>
          <w:szCs w:val="23"/>
          <w:lang w:val="es-PE" w:eastAsia="ar-SA"/>
        </w:rPr>
        <w:t xml:space="preserve">21 </w:t>
      </w:r>
      <w:r w:rsidR="00707C99" w:rsidRPr="000802ED">
        <w:rPr>
          <w:rFonts w:ascii="Times New Roman" w:eastAsia="Arial Unicode MS" w:hAnsi="Times New Roman" w:cs="Times New Roman"/>
          <w:sz w:val="24"/>
          <w:szCs w:val="23"/>
          <w:lang w:val="es-PE" w:eastAsia="ar-SA"/>
        </w:rPr>
        <w:t xml:space="preserve">de </w:t>
      </w:r>
      <w:r w:rsidR="00AD5481" w:rsidRPr="000802ED">
        <w:rPr>
          <w:rFonts w:ascii="Times New Roman" w:eastAsia="Arial Unicode MS" w:hAnsi="Times New Roman" w:cs="Times New Roman"/>
          <w:sz w:val="24"/>
          <w:szCs w:val="23"/>
          <w:lang w:val="es-PE" w:eastAsia="ar-SA"/>
        </w:rPr>
        <w:t>abril</w:t>
      </w:r>
      <w:r w:rsidR="002F478E" w:rsidRPr="000802ED">
        <w:rPr>
          <w:rFonts w:ascii="Times New Roman" w:eastAsia="Arial Unicode MS" w:hAnsi="Times New Roman" w:cs="Times New Roman"/>
          <w:sz w:val="24"/>
          <w:szCs w:val="23"/>
          <w:lang w:val="es-PE" w:eastAsia="ar-SA"/>
        </w:rPr>
        <w:t xml:space="preserve"> </w:t>
      </w:r>
      <w:r w:rsidR="00F06498" w:rsidRPr="000802ED">
        <w:rPr>
          <w:rFonts w:ascii="Times New Roman" w:eastAsia="Arial Unicode MS" w:hAnsi="Times New Roman" w:cs="Times New Roman"/>
          <w:sz w:val="24"/>
          <w:szCs w:val="23"/>
          <w:lang w:val="es-PE" w:eastAsia="ar-SA"/>
        </w:rPr>
        <w:t>de 202</w:t>
      </w:r>
      <w:r w:rsidR="00AE4D37" w:rsidRPr="000802ED">
        <w:rPr>
          <w:rFonts w:ascii="Times New Roman" w:eastAsia="Arial Unicode MS" w:hAnsi="Times New Roman" w:cs="Times New Roman"/>
          <w:sz w:val="24"/>
          <w:szCs w:val="23"/>
          <w:lang w:val="es-PE" w:eastAsia="ar-SA"/>
        </w:rPr>
        <w:t>5</w:t>
      </w:r>
      <w:r w:rsidR="00707C99" w:rsidRPr="000802ED">
        <w:rPr>
          <w:rFonts w:ascii="Times New Roman" w:eastAsia="Times New Roman" w:hAnsi="Times New Roman" w:cs="Times New Roman"/>
          <w:sz w:val="24"/>
          <w:szCs w:val="23"/>
          <w:lang w:val="es-PE" w:eastAsia="ar-SA"/>
        </w:rPr>
        <w:t xml:space="preserve"> </w:t>
      </w:r>
    </w:p>
    <w:p w14:paraId="1B6988F6" w14:textId="77777777" w:rsidR="00A323F4" w:rsidRPr="000802ED" w:rsidRDefault="00A323F4" w:rsidP="00A323F4">
      <w:pPr>
        <w:spacing w:after="0" w:line="240" w:lineRule="auto"/>
        <w:jc w:val="both"/>
        <w:rPr>
          <w:rFonts w:ascii="Times New Roman" w:hAnsi="Times New Roman" w:cs="Times New Roman"/>
          <w:b/>
          <w:bCs/>
          <w:i/>
          <w:iCs/>
          <w:sz w:val="23"/>
          <w:szCs w:val="23"/>
          <w:lang w:val="es-PE"/>
        </w:rPr>
      </w:pPr>
      <w:r w:rsidRPr="000802ED">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3AB80116" w14:textId="77777777" w:rsidR="00A323F4" w:rsidRPr="000802ED" w:rsidRDefault="00A323F4" w:rsidP="00A323F4">
      <w:pPr>
        <w:spacing w:after="0" w:line="360" w:lineRule="auto"/>
        <w:jc w:val="both"/>
        <w:rPr>
          <w:rFonts w:ascii="Times New Roman" w:hAnsi="Times New Roman" w:cs="Times New Roman"/>
          <w:b/>
          <w:bCs/>
          <w:i/>
          <w:iCs/>
          <w:sz w:val="23"/>
          <w:szCs w:val="23"/>
          <w:lang w:val="es-PE"/>
        </w:rPr>
      </w:pPr>
    </w:p>
    <w:p w14:paraId="220AA7AD" w14:textId="133296B2" w:rsidR="007543CD" w:rsidRPr="000802ED" w:rsidRDefault="00543015" w:rsidP="007543CD">
      <w:pPr>
        <w:spacing w:after="0" w:line="360" w:lineRule="auto"/>
        <w:jc w:val="center"/>
        <w:rPr>
          <w:rFonts w:ascii="Times New Roman" w:hAnsi="Times New Roman" w:cs="Times New Roman"/>
          <w:b/>
          <w:bCs/>
          <w:sz w:val="23"/>
          <w:szCs w:val="23"/>
          <w:lang w:val="es-PE"/>
        </w:rPr>
      </w:pPr>
      <w:r w:rsidRPr="000802ED">
        <w:rPr>
          <w:rFonts w:ascii="Times New Roman" w:hAnsi="Times New Roman" w:cs="Times New Roman"/>
          <w:b/>
          <w:bCs/>
          <w:sz w:val="24"/>
          <w:szCs w:val="23"/>
          <w:lang w:val="es-PE"/>
        </w:rPr>
        <w:t xml:space="preserve">María Eugenia Valdez Fernández Baca </w:t>
      </w:r>
      <w:r w:rsidR="007543CD" w:rsidRPr="000802ED">
        <w:rPr>
          <w:rFonts w:ascii="Times New Roman" w:hAnsi="Times New Roman" w:cs="Times New Roman"/>
          <w:b/>
          <w:bCs/>
          <w:sz w:val="24"/>
          <w:szCs w:val="23"/>
          <w:lang w:val="es-PE"/>
        </w:rPr>
        <w:t xml:space="preserve">– </w:t>
      </w:r>
      <w:proofErr w:type="gramStart"/>
      <w:r w:rsidR="007543CD" w:rsidRPr="000802ED">
        <w:rPr>
          <w:rFonts w:ascii="Times New Roman" w:hAnsi="Times New Roman" w:cs="Times New Roman"/>
          <w:b/>
          <w:bCs/>
          <w:sz w:val="24"/>
          <w:szCs w:val="23"/>
          <w:lang w:val="es-PE"/>
        </w:rPr>
        <w:t>Presidente</w:t>
      </w:r>
      <w:proofErr w:type="gramEnd"/>
    </w:p>
    <w:p w14:paraId="0DCF6E18" w14:textId="56F1BED3" w:rsidR="007543CD" w:rsidRPr="000802ED" w:rsidRDefault="00543015" w:rsidP="007543CD">
      <w:pPr>
        <w:spacing w:after="0" w:line="360" w:lineRule="auto"/>
        <w:jc w:val="center"/>
        <w:rPr>
          <w:rFonts w:ascii="Times New Roman" w:hAnsi="Times New Roman" w:cs="Times New Roman"/>
          <w:b/>
          <w:bCs/>
          <w:sz w:val="23"/>
          <w:szCs w:val="23"/>
          <w:lang w:val="es-PE"/>
        </w:rPr>
      </w:pPr>
      <w:r w:rsidRPr="000802ED">
        <w:rPr>
          <w:rFonts w:ascii="Times New Roman" w:hAnsi="Times New Roman" w:cs="Times New Roman"/>
          <w:b/>
          <w:bCs/>
          <w:sz w:val="24"/>
          <w:szCs w:val="23"/>
          <w:lang w:val="es-PE"/>
        </w:rPr>
        <w:t xml:space="preserve">Rolando Eyzaguirre Maccan </w:t>
      </w:r>
      <w:r w:rsidR="007543CD" w:rsidRPr="000802ED">
        <w:rPr>
          <w:rFonts w:ascii="Times New Roman" w:hAnsi="Times New Roman" w:cs="Times New Roman"/>
          <w:b/>
          <w:bCs/>
          <w:sz w:val="24"/>
          <w:szCs w:val="23"/>
          <w:lang w:val="es-PE"/>
        </w:rPr>
        <w:t>– Vocal</w:t>
      </w:r>
    </w:p>
    <w:p w14:paraId="69BFE54F" w14:textId="77777777" w:rsidR="007543CD" w:rsidRPr="000802ED" w:rsidRDefault="007543CD" w:rsidP="007543CD">
      <w:pPr>
        <w:spacing w:after="0" w:line="360" w:lineRule="auto"/>
        <w:jc w:val="center"/>
        <w:rPr>
          <w:rFonts w:ascii="Times New Roman" w:hAnsi="Times New Roman" w:cs="Times New Roman"/>
          <w:sz w:val="23"/>
          <w:szCs w:val="23"/>
          <w:lang w:val="es-PE"/>
        </w:rPr>
      </w:pPr>
      <w:r w:rsidRPr="000802ED">
        <w:rPr>
          <w:rFonts w:ascii="Times New Roman" w:hAnsi="Times New Roman" w:cs="Times New Roman"/>
          <w:b/>
          <w:bCs/>
          <w:sz w:val="24"/>
          <w:szCs w:val="23"/>
          <w:lang w:val="es-PE"/>
        </w:rPr>
        <w:t>Gonzalo Abad del Busto – Vocal</w:t>
      </w:r>
    </w:p>
    <w:p w14:paraId="412CCBAA" w14:textId="77777777" w:rsidR="00986F0C" w:rsidRPr="00E30B3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E51F5" w14:textId="77777777" w:rsidR="001E3FBC" w:rsidRDefault="001E3FBC" w:rsidP="00784355">
      <w:pPr>
        <w:spacing w:after="0" w:line="240" w:lineRule="auto"/>
      </w:pPr>
      <w:r>
        <w:separator/>
      </w:r>
    </w:p>
  </w:endnote>
  <w:endnote w:type="continuationSeparator" w:id="0">
    <w:p w14:paraId="2AD0EFD5" w14:textId="77777777" w:rsidR="001E3FBC" w:rsidRDefault="001E3FB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4B9C0" w14:textId="77777777" w:rsidR="001E3FBC" w:rsidRDefault="001E3FBC" w:rsidP="00784355">
      <w:pPr>
        <w:spacing w:after="0" w:line="240" w:lineRule="auto"/>
      </w:pPr>
      <w:r>
        <w:separator/>
      </w:r>
    </w:p>
  </w:footnote>
  <w:footnote w:type="continuationSeparator" w:id="0">
    <w:p w14:paraId="6076FD4F" w14:textId="77777777" w:rsidR="001E3FBC" w:rsidRDefault="001E3FB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3"/>
  </w:num>
  <w:num w:numId="3" w16cid:durableId="333261791">
    <w:abstractNumId w:val="30"/>
  </w:num>
  <w:num w:numId="4" w16cid:durableId="1770345525">
    <w:abstractNumId w:val="29"/>
  </w:num>
  <w:num w:numId="5" w16cid:durableId="1816144979">
    <w:abstractNumId w:val="32"/>
  </w:num>
  <w:num w:numId="6" w16cid:durableId="1304313350">
    <w:abstractNumId w:val="1"/>
  </w:num>
  <w:num w:numId="7" w16cid:durableId="16682880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0"/>
  </w:num>
  <w:num w:numId="17" w16cid:durableId="17998823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0FBE"/>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3FB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B3A43"/>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6661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Fuerte">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4866B75-F10C-4149-81B8-2B6A3661E662}"/>
</file>

<file path=customXml/itemProps3.xml><?xml version="1.0" encoding="utf-8"?>
<ds:datastoreItem xmlns:ds="http://schemas.openxmlformats.org/officeDocument/2006/customXml" ds:itemID="{56E32307-9E33-4727-ADFF-0D3CFC738513}"/>
</file>

<file path=customXml/itemProps4.xml><?xml version="1.0" encoding="utf-8"?>
<ds:datastoreItem xmlns:ds="http://schemas.openxmlformats.org/officeDocument/2006/customXml" ds:itemID="{510D0D9A-FDC1-46B2-A95C-F1C4C22CE193}"/>
</file>

<file path=docProps/app.xml><?xml version="1.0" encoding="utf-8"?>
<Properties xmlns="http://schemas.openxmlformats.org/officeDocument/2006/extended-properties" xmlns:vt="http://schemas.openxmlformats.org/officeDocument/2006/docPropsVTypes">
  <Template>Normal</Template>
  <TotalTime>268</TotalTime>
  <Pages>2</Pages>
  <Words>866</Words>
  <Characters>4877</Characters>
  <Application>Microsoft Office Word</Application>
  <DocSecurity>0</DocSecurity>
  <Lines>76</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333</cp:revision>
  <cp:lastPrinted>2025-04-28T20:17:00Z</cp:lastPrinted>
  <dcterms:created xsi:type="dcterms:W3CDTF">2023-02-14T22:37:00Z</dcterms:created>
  <dcterms:modified xsi:type="dcterms:W3CDTF">2026-03-05T15:58:00Z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