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39E41481" w:rsidR="005A2497" w:rsidRPr="00655834" w:rsidRDefault="00201C0D" w:rsidP="005A2497">
      <w:pPr>
        <w:spacing w:after="0" w:line="240" w:lineRule="auto"/>
        <w:jc w:val="center"/>
        <w:rPr>
          <w:rFonts w:ascii="Times New Roman" w:hAnsi="Times New Roman" w:cs="Times New Roman"/>
          <w:b/>
          <w:sz w:val="24"/>
          <w:szCs w:val="24"/>
          <w:lang w:val="es-PE" w:eastAsia="ar-SA"/>
        </w:rPr>
      </w:pPr>
      <w:r w:rsidRPr="00655834">
        <w:rPr>
          <w:rFonts w:ascii="Times New Roman" w:hAnsi="Times New Roman" w:cs="Times New Roman"/>
          <w:b/>
          <w:sz w:val="24"/>
          <w:szCs w:val="24"/>
          <w:lang w:val="es-PE" w:eastAsia="ar-SA"/>
        </w:rPr>
        <w:t xml:space="preserve">RESOLUCIÓN DE RECURSO IMPUGNATIVO </w:t>
      </w:r>
      <w:r w:rsidR="00707C99" w:rsidRPr="00655834">
        <w:rPr>
          <w:rFonts w:ascii="Times New Roman" w:hAnsi="Times New Roman" w:cs="Times New Roman"/>
          <w:b/>
          <w:sz w:val="24"/>
          <w:szCs w:val="24"/>
          <w:lang w:val="es-PE" w:eastAsia="ar-SA"/>
        </w:rPr>
        <w:t xml:space="preserve">N° </w:t>
      </w:r>
      <w:r w:rsidR="00516293" w:rsidRPr="00655834">
        <w:rPr>
          <w:rFonts w:ascii="Times New Roman" w:hAnsi="Times New Roman" w:cs="Times New Roman"/>
          <w:b/>
          <w:sz w:val="24"/>
          <w:szCs w:val="24"/>
          <w:lang w:val="es-PE" w:eastAsia="ar-SA"/>
        </w:rPr>
        <w:t>0</w:t>
      </w:r>
      <w:r w:rsidR="00D26530" w:rsidRPr="00655834">
        <w:rPr>
          <w:rFonts w:ascii="Times New Roman" w:hAnsi="Times New Roman" w:cs="Times New Roman"/>
          <w:b/>
          <w:sz w:val="24"/>
          <w:szCs w:val="24"/>
          <w:lang w:val="es-PE" w:eastAsia="ar-SA"/>
        </w:rPr>
        <w:t>2</w:t>
      </w:r>
      <w:r w:rsidR="00655834">
        <w:rPr>
          <w:rFonts w:ascii="Times New Roman" w:hAnsi="Times New Roman" w:cs="Times New Roman"/>
          <w:b/>
          <w:sz w:val="24"/>
          <w:szCs w:val="24"/>
          <w:lang w:val="es-PE" w:eastAsia="ar-SA"/>
        </w:rPr>
        <w:t>1</w:t>
      </w:r>
      <w:r w:rsidR="00C671F5" w:rsidRPr="00655834">
        <w:rPr>
          <w:rFonts w:ascii="Times New Roman" w:hAnsi="Times New Roman" w:cs="Times New Roman"/>
          <w:b/>
          <w:sz w:val="24"/>
          <w:szCs w:val="24"/>
          <w:lang w:val="es-PE" w:eastAsia="ar-SA"/>
        </w:rPr>
        <w:t>/2</w:t>
      </w:r>
      <w:r w:rsidR="00A74F96" w:rsidRPr="00655834">
        <w:rPr>
          <w:rFonts w:ascii="Times New Roman" w:hAnsi="Times New Roman" w:cs="Times New Roman"/>
          <w:b/>
          <w:sz w:val="24"/>
          <w:szCs w:val="24"/>
          <w:lang w:val="es-PE" w:eastAsia="ar-SA"/>
        </w:rPr>
        <w:t>5</w:t>
      </w:r>
    </w:p>
    <w:p w14:paraId="56DB191C" w14:textId="77777777" w:rsidR="005A2497" w:rsidRPr="00655834" w:rsidRDefault="005A2497" w:rsidP="00AD59A0">
      <w:pPr>
        <w:spacing w:after="0" w:line="240" w:lineRule="auto"/>
        <w:jc w:val="both"/>
        <w:rPr>
          <w:rFonts w:ascii="Times New Roman" w:hAnsi="Times New Roman" w:cs="Times New Roman"/>
          <w:b/>
          <w:sz w:val="24"/>
          <w:szCs w:val="24"/>
          <w:lang w:val="es-PE" w:eastAsia="ar-SA"/>
        </w:rPr>
      </w:pPr>
    </w:p>
    <w:p w14:paraId="46AED661" w14:textId="7CC73ACD" w:rsidR="00186D49" w:rsidRPr="00186D49" w:rsidRDefault="00186D49" w:rsidP="00186D49">
      <w:pPr>
        <w:spacing w:line="240" w:lineRule="auto"/>
        <w:jc w:val="both"/>
        <w:rPr>
          <w:rFonts w:ascii="Times New Roman" w:eastAsia="Arial Unicode MS" w:hAnsi="Times New Roman" w:cs="Times New Roman"/>
          <w:b/>
          <w:bCs/>
          <w:sz w:val="24"/>
          <w:szCs w:val="24"/>
          <w:lang w:val="es-MX" w:eastAsia="ar-SA"/>
        </w:rPr>
      </w:pPr>
      <w:r w:rsidRPr="00186D49">
        <w:rPr>
          <w:rFonts w:ascii="Times New Roman" w:eastAsia="Arial Unicode MS" w:hAnsi="Times New Roman" w:cs="Times New Roman"/>
          <w:b/>
          <w:bCs/>
          <w:sz w:val="24"/>
          <w:szCs w:val="24"/>
          <w:lang w:val="es-MX" w:eastAsia="ar-SA"/>
        </w:rPr>
        <w:t>Vistos:</w:t>
      </w:r>
    </w:p>
    <w:p w14:paraId="3FD0E6C5" w14:textId="39606392" w:rsidR="00186D49" w:rsidRPr="00186D49" w:rsidRDefault="00186D49" w:rsidP="00186D4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por ………………… respecto de la Resolución Nº 052-2025 de fecha 03 de abril de 2025, que declaró INFUNDADA la reclamación interpuesta contra ………………… respecto a la póliza N° ………………… </w:t>
      </w:r>
    </w:p>
    <w:bookmarkEnd w:id="0"/>
    <w:p w14:paraId="30345A10" w14:textId="226E8EEC" w:rsidR="00186D49" w:rsidRPr="00186D49" w:rsidRDefault="00186D49" w:rsidP="00186D49">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a través del señalado recurso la reclamante manifiesta su disconformidad con lo resuelto señalando resumidamente lo siguiente: a) no se ha realizado una correcta interpretación y aplicación de las cláusulas de la póliza de seguro y la normativa de seguros peruana, en particular referente a la supuesta suspensión de la cobertura por falta de pago de prima; b) la resolución se sustenta en la afirmación de ………………… de haber suspendido la cobertura por falta de pago de primas; sin embargo no se verificado que la aseguradora incumplió con los requisitos sustanciales para que la suspensión sea válida y oponible; c) no existe comunicación cierta; d) la identificación del inmueble y la persona que recibió la comunicación sin corroborar el vínculo con la empresa …………………, siendo que la carga de la prueba recae en la aseguradora y la duda razonable debe resolverse a favor del asegurado; es por ello que solicitaron la nulidad de la declaración de suspensión de cobertura, la resolución apelada omite dar una respuesta fundamentada y concluyente a este punto central de la controversia; e)  el día 13/09/2024 fecha en que ocurrió el siniestro, realizaron un reporte de pago, lo que evidencia la intención de regularizar la situación y podría interpretarse como una falta de conocimiento efectivo sobre la supuesta suspensión de cobertura; f) no se ha evaluado adecuadamente el cumplimiento de ………………… sobre la obligación de realizar una comunicación cierta conforme lo exigen las normas legales, por lo que solicitan se reconsidere la decisión adoptada; como fundamentos adicionales señalan que la persona que figura como receptora de la carta N° ………………… encontraba en Lima en las fechas en mención, lo que no descarta que la notificación jamás se haya presentado; siendo que a través de herramientas como Google steet view se puede falsamente registrar una entrega; g) la segunda supuesta entrega no esta acreditada, pues la persona que se encarga de recibir las notificaciones ha presentado una declaración jurada donde afirma no haberla recibido; h) añaden que “en el supuesto de que  ………………… haya efectuado algún pago de prima a un comercializador de seguros”, se deben considerar tales pagos en la fecha que se realizaron, “si existieran  pruebas de tales pagos que ………………… no reconoce esto constituiría un incumplimiento por parte de la aseguradora”.</w:t>
      </w:r>
    </w:p>
    <w:p w14:paraId="5452167C" w14:textId="0604502F" w:rsidR="00186D49" w:rsidRPr="00186D49" w:rsidRDefault="00186D49" w:rsidP="00186D49">
      <w:pPr>
        <w:spacing w:line="240" w:lineRule="auto"/>
        <w:jc w:val="both"/>
        <w:rPr>
          <w:rFonts w:ascii="Times New Roman" w:eastAsia="Arial Unicode MS" w:hAnsi="Times New Roman" w:cs="Times New Roman"/>
          <w:bCs/>
          <w:sz w:val="24"/>
          <w:szCs w:val="24"/>
          <w:lang w:val="es-MX" w:eastAsia="ar-SA"/>
        </w:rPr>
      </w:pPr>
      <w:r w:rsidRPr="00186D49">
        <w:rPr>
          <w:rFonts w:ascii="Times New Roman" w:eastAsia="Arial Unicode MS" w:hAnsi="Times New Roman" w:cs="Times New Roman"/>
          <w:bCs/>
          <w:sz w:val="24"/>
          <w:szCs w:val="24"/>
          <w:lang w:val="es-MX" w:eastAsia="ar-SA"/>
        </w:rPr>
        <w:t xml:space="preserve">Que, habiéndose corrido traslado de la impugnación a la aseguradora, hasta la fecha esta no ha absuelto el traslado de </w:t>
      </w:r>
      <w:proofErr w:type="gramStart"/>
      <w:r w:rsidRPr="00186D49">
        <w:rPr>
          <w:rFonts w:ascii="Times New Roman" w:eastAsia="Arial Unicode MS" w:hAnsi="Times New Roman" w:cs="Times New Roman"/>
          <w:bCs/>
          <w:sz w:val="24"/>
          <w:szCs w:val="24"/>
          <w:lang w:val="es-MX" w:eastAsia="ar-SA"/>
        </w:rPr>
        <w:t>la misma</w:t>
      </w:r>
      <w:proofErr w:type="gramEnd"/>
      <w:r w:rsidRPr="00186D49">
        <w:rPr>
          <w:rFonts w:ascii="Times New Roman" w:eastAsia="Arial Unicode MS" w:hAnsi="Times New Roman" w:cs="Times New Roman"/>
          <w:bCs/>
          <w:sz w:val="24"/>
          <w:szCs w:val="24"/>
          <w:lang w:val="es-MX" w:eastAsia="ar-SA"/>
        </w:rPr>
        <w:t xml:space="preserve">, por lo </w:t>
      </w:r>
      <w:proofErr w:type="gramStart"/>
      <w:r w:rsidRPr="00186D49">
        <w:rPr>
          <w:rFonts w:ascii="Times New Roman" w:eastAsia="Arial Unicode MS" w:hAnsi="Times New Roman" w:cs="Times New Roman"/>
          <w:bCs/>
          <w:sz w:val="24"/>
          <w:szCs w:val="24"/>
          <w:lang w:val="es-MX" w:eastAsia="ar-SA"/>
        </w:rPr>
        <w:t>que</w:t>
      </w:r>
      <w:proofErr w:type="gramEnd"/>
      <w:r w:rsidRPr="00186D49">
        <w:rPr>
          <w:rFonts w:ascii="Times New Roman" w:eastAsia="Arial Unicode MS" w:hAnsi="Times New Roman" w:cs="Times New Roman"/>
          <w:bCs/>
          <w:sz w:val="24"/>
          <w:szCs w:val="24"/>
          <w:lang w:val="es-MX" w:eastAsia="ar-SA"/>
        </w:rPr>
        <w:t xml:space="preserve"> habiendo vencido el plazo para ello, este colegiado procede a expedir su pronunciamiento.</w:t>
      </w:r>
    </w:p>
    <w:p w14:paraId="57855ECF" w14:textId="21EEC127" w:rsidR="00186D49" w:rsidRPr="00186D49" w:rsidRDefault="00186D49" w:rsidP="00186D49">
      <w:pPr>
        <w:spacing w:line="240" w:lineRule="auto"/>
        <w:jc w:val="both"/>
        <w:rPr>
          <w:rFonts w:ascii="Times New Roman" w:eastAsia="Arial Unicode MS" w:hAnsi="Times New Roman" w:cs="Times New Roman"/>
          <w:bCs/>
          <w:sz w:val="24"/>
          <w:szCs w:val="24"/>
          <w:lang w:val="es-MX" w:eastAsia="ar-SA"/>
        </w:rPr>
      </w:pPr>
      <w:r w:rsidRPr="00186D49">
        <w:rPr>
          <w:rFonts w:ascii="Times New Roman" w:eastAsia="Arial Unicode MS" w:hAnsi="Times New Roman" w:cs="Times New Roman"/>
          <w:b/>
          <w:bCs/>
          <w:sz w:val="24"/>
          <w:szCs w:val="24"/>
          <w:lang w:val="es-MX" w:eastAsia="ar-SA"/>
        </w:rPr>
        <w:t>Considerando:</w:t>
      </w:r>
    </w:p>
    <w:p w14:paraId="329318D2" w14:textId="77777777" w:rsidR="00186D49" w:rsidRPr="00186D49" w:rsidRDefault="00186D49" w:rsidP="00186D49">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la reclamante ha ejercido formalmente su derecho a contradecir lo resuelto por la Defensoría.</w:t>
      </w:r>
    </w:p>
    <w:p w14:paraId="502C0029" w14:textId="77777777" w:rsidR="00186D49" w:rsidRPr="00186D49" w:rsidRDefault="00186D49" w:rsidP="00186D49">
      <w:pPr>
        <w:spacing w:line="240" w:lineRule="auto"/>
        <w:jc w:val="both"/>
        <w:rPr>
          <w:rFonts w:ascii="Times New Roman" w:eastAsia="Arial Unicode MS" w:hAnsi="Times New Roman" w:cs="Times New Roman"/>
          <w:sz w:val="24"/>
          <w:szCs w:val="24"/>
          <w:lang w:val="es-PE" w:eastAsia="ar-SA"/>
        </w:rPr>
      </w:pPr>
    </w:p>
    <w:p w14:paraId="34ECDA54" w14:textId="2649A485" w:rsidR="00186D49" w:rsidRPr="00186D49" w:rsidRDefault="00186D49" w:rsidP="00186D4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Segundo: Atendiendo a los fundamentos de la impugnación interpuesta, se advierte que la reclamante insiste en sus argumentos ya analizados, fundamente su recurso en que la Resolución Impugnada no ha verificado que la comunicación de suspensión de cobertura no es válida, en tanto no fue notificada conforme a ley y no se cumplieron los requisitos que la ley exige para la notificación de la suspensión. </w:t>
      </w:r>
    </w:p>
    <w:p w14:paraId="476BF690" w14:textId="195CA4C6" w:rsidR="00186D49" w:rsidRPr="00186D49" w:rsidRDefault="00186D49" w:rsidP="00186D4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Al respecto, este colegiado tiene a bien precisar que la Resolución Impugnada se sustenta en la “extinción” del seguro por falta de pago, aspecto previsto en las normas legales sobre el cual no se ha pronunciado el recurso impugnatorio presentado.</w:t>
      </w:r>
    </w:p>
    <w:p w14:paraId="65BDC0AA" w14:textId="10BC626C" w:rsidR="00186D49" w:rsidRPr="00186D49" w:rsidRDefault="00186D49" w:rsidP="00186D4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En efecto, a continuación copiamos parte pertinente de la Resolución Impugnada:</w:t>
      </w:r>
    </w:p>
    <w:p w14:paraId="65173878" w14:textId="47F6289C" w:rsidR="00186D49" w:rsidRPr="00186D49" w:rsidRDefault="00186D49" w:rsidP="00186D49">
      <w:pPr>
        <w:spacing w:line="240" w:lineRule="auto"/>
        <w:jc w:val="both"/>
        <w:rPr>
          <w:rFonts w:ascii="Times New Roman" w:eastAsia="Arial Unicode MS" w:hAnsi="Times New Roman" w:cs="Times New Roman"/>
          <w:i/>
          <w:iCs/>
          <w:sz w:val="24"/>
          <w:szCs w:val="24"/>
          <w:lang w:val="es-ES" w:eastAsia="ar-SA"/>
        </w:rPr>
      </w:pPr>
      <w:r w:rsidRPr="00186D49">
        <w:rPr>
          <w:rFonts w:ascii="Times New Roman" w:eastAsia="Arial Unicode MS" w:hAnsi="Times New Roman" w:cs="Times New Roman"/>
          <w:i/>
          <w:iCs/>
          <w:sz w:val="24"/>
          <w:szCs w:val="24"/>
          <w:lang w:val="es-ES" w:eastAsia="ar-SA"/>
        </w:rPr>
        <w:t>“Adicionalmente, enviada o no la comunicación de suspensión de cobertura, el contrato de seguro se habría extinguido a los 90 días siguientes al vencimiento del plazo en aplicación del último párrafo del artículo 21 de la Ley 29946 (texto resaltado línea arriba al transcribir dicho artículo). Si se cuenta dicho plazo desde la fecha de vencimiento original del plazo, establecida en el contrato (12/05/2024), la extinción habría operado el 10/08/2024. Si se cuenta dicho plazo, entendiéndose que se otorgó un plazo adicional para el pago hasta el 11/06/2024, el contrato se habría extinguido a los 90 días siguientes, esto es al, 09/12/2024; en ambos casos, la extinción ha operado antes de la ocurrencia del siniestro.</w:t>
      </w:r>
    </w:p>
    <w:p w14:paraId="5A080D5E" w14:textId="38AA83BA" w:rsidR="00186D49" w:rsidRPr="00186D49" w:rsidRDefault="00186D49" w:rsidP="00186D49">
      <w:pPr>
        <w:spacing w:line="240" w:lineRule="auto"/>
        <w:jc w:val="both"/>
        <w:rPr>
          <w:rFonts w:ascii="Times New Roman" w:eastAsia="Arial Unicode MS" w:hAnsi="Times New Roman" w:cs="Times New Roman"/>
          <w:i/>
          <w:iCs/>
          <w:sz w:val="24"/>
          <w:szCs w:val="24"/>
          <w:lang w:val="es-ES" w:eastAsia="ar-SA"/>
        </w:rPr>
      </w:pPr>
      <w:r w:rsidRPr="00186D49">
        <w:rPr>
          <w:rFonts w:ascii="Times New Roman" w:eastAsia="Arial Unicode MS" w:hAnsi="Times New Roman" w:cs="Times New Roman"/>
          <w:i/>
          <w:iCs/>
          <w:sz w:val="24"/>
          <w:szCs w:val="24"/>
          <w:lang w:val="es-ES" w:eastAsia="ar-SA"/>
        </w:rPr>
        <w:t>En otras palabras, aún cuando se concluyera que la carta de suspensión no surtió efectos por no haber sido válidamente notificadas, el contrato de seguro quedó extinguido ante de la ocurrencia del siniestro por falta de pago de la prima que debió cancelarse el 12 de mayo de 2025.</w:t>
      </w:r>
    </w:p>
    <w:p w14:paraId="6A7CF8DD" w14:textId="1E75678E" w:rsidR="00186D49" w:rsidRPr="00186D49" w:rsidRDefault="00186D49" w:rsidP="00186D49">
      <w:pPr>
        <w:spacing w:line="240" w:lineRule="auto"/>
        <w:jc w:val="both"/>
        <w:rPr>
          <w:rFonts w:ascii="Times New Roman" w:eastAsia="Arial Unicode MS" w:hAnsi="Times New Roman" w:cs="Times New Roman"/>
          <w:i/>
          <w:iCs/>
          <w:sz w:val="24"/>
          <w:szCs w:val="24"/>
          <w:lang w:val="es-PE" w:eastAsia="ar-SA"/>
        </w:rPr>
      </w:pPr>
      <w:r>
        <w:rPr>
          <w:rFonts w:ascii="Times New Roman" w:hAnsi="Times New Roman"/>
          <w:sz w:val="24"/>
        </w:rPr>
        <w:t xml:space="preserve">Es importante resaltar que las figuras de suspensión y extinción del contrato de seguro establecidas por el artículo 21 de la Ley del Contrato de Seguro, están reglamentadas por los artículos 7,8 y 9 del Reglamento de Pago de Primas, aprobado por Resolución …………………-2013,  siendo el artículo 7 y artículo 11 sustituidos por Resolución …………………-2024 vigente a partir del 05.07.2024; y cuyos textos establecen lo siguiente:</w:t>
      </w:r>
    </w:p>
    <w:p w14:paraId="576435BD" w14:textId="77777777" w:rsidR="00186D49" w:rsidRPr="00186D49" w:rsidRDefault="00186D49" w:rsidP="00186D49">
      <w:pPr>
        <w:spacing w:line="240" w:lineRule="auto"/>
        <w:jc w:val="both"/>
        <w:rPr>
          <w:rFonts w:ascii="Times New Roman" w:eastAsia="Arial Unicode MS" w:hAnsi="Times New Roman" w:cs="Times New Roman"/>
          <w:b/>
          <w:i/>
          <w:iCs/>
          <w:sz w:val="24"/>
          <w:szCs w:val="24"/>
          <w:lang w:val="es-ES" w:eastAsia="ar-SA"/>
        </w:rPr>
      </w:pPr>
      <w:r w:rsidRPr="00186D49">
        <w:rPr>
          <w:rFonts w:ascii="Times New Roman" w:eastAsia="Arial Unicode MS" w:hAnsi="Times New Roman" w:cs="Times New Roman"/>
          <w:b/>
          <w:i/>
          <w:iCs/>
          <w:sz w:val="24"/>
          <w:szCs w:val="24"/>
          <w:lang w:val="es-ES" w:eastAsia="ar-SA"/>
        </w:rPr>
        <w:t>“Artículo 7.- Suspensión de la cobertura por incumplimiento de pago</w:t>
      </w:r>
    </w:p>
    <w:p w14:paraId="3A6E6C60" w14:textId="77777777" w:rsidR="00186D49" w:rsidRPr="00186D49" w:rsidRDefault="00186D49" w:rsidP="00186D49">
      <w:pPr>
        <w:spacing w:line="240" w:lineRule="auto"/>
        <w:jc w:val="both"/>
        <w:rPr>
          <w:rFonts w:ascii="Times New Roman" w:eastAsia="Arial Unicode MS" w:hAnsi="Times New Roman" w:cs="Times New Roman"/>
          <w:i/>
          <w:iCs/>
          <w:sz w:val="24"/>
          <w:szCs w:val="24"/>
          <w:lang w:val="es-PE" w:eastAsia="ar-SA"/>
        </w:rPr>
      </w:pPr>
      <w:r w:rsidRPr="00186D49">
        <w:rPr>
          <w:rFonts w:ascii="Times New Roman" w:eastAsia="Arial Unicode MS" w:hAnsi="Times New Roman" w:cs="Times New Roman"/>
          <w:i/>
          <w:iCs/>
          <w:sz w:val="24"/>
          <w:szCs w:val="24"/>
          <w:lang w:val="es-PE" w:eastAsia="ar-SA"/>
        </w:rPr>
        <w:t xml:space="preserve">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 </w:t>
      </w:r>
    </w:p>
    <w:p w14:paraId="39407B1D" w14:textId="77777777" w:rsidR="00186D49" w:rsidRPr="00186D49" w:rsidRDefault="00186D49" w:rsidP="00186D49">
      <w:pPr>
        <w:spacing w:line="240" w:lineRule="auto"/>
        <w:jc w:val="both"/>
        <w:rPr>
          <w:rFonts w:ascii="Times New Roman" w:eastAsia="Arial Unicode MS" w:hAnsi="Times New Roman" w:cs="Times New Roman"/>
          <w:i/>
          <w:iCs/>
          <w:sz w:val="24"/>
          <w:szCs w:val="24"/>
          <w:lang w:val="es-PE" w:eastAsia="ar-SA"/>
        </w:rPr>
      </w:pPr>
      <w:r>
        <w:rPr>
          <w:rFonts w:ascii="Times New Roman" w:hAnsi="Times New Roman"/>
          <w:sz w:val="24"/>
        </w:rPr>
        <w:t xml:space="preserve">Para tal efecto, antes del vencimiento del plazo de treinta (30) días indicado en el párrafo precedente, la empresa ………………… como consecuencia del incumplimiento del pago de la prima. Asimismo, indicará el plazo que el contratante dispone para pagar la prima antes de la suspensión de la cobertura del seguro. </w:t>
      </w:r>
    </w:p>
    <w:p w14:paraId="79BFD203" w14:textId="77777777" w:rsidR="00186D49" w:rsidRPr="00186D49" w:rsidRDefault="00186D49" w:rsidP="00186D49">
      <w:pPr>
        <w:spacing w:line="240" w:lineRule="auto"/>
        <w:jc w:val="both"/>
        <w:rPr>
          <w:rFonts w:ascii="Times New Roman" w:eastAsia="Arial Unicode MS" w:hAnsi="Times New Roman" w:cs="Times New Roman"/>
          <w:i/>
          <w:iCs/>
          <w:sz w:val="24"/>
          <w:szCs w:val="24"/>
          <w:lang w:val="es-PE" w:eastAsia="ar-SA"/>
        </w:rPr>
      </w:pPr>
      <w:r w:rsidRPr="00186D49">
        <w:rPr>
          <w:rFonts w:ascii="Times New Roman" w:eastAsia="Arial Unicode MS" w:hAnsi="Times New Roman" w:cs="Times New Roman"/>
          <w:i/>
          <w:iCs/>
          <w:sz w:val="24"/>
          <w:szCs w:val="24"/>
          <w:lang w:val="es-PE" w:eastAsia="ar-SA"/>
        </w:rPr>
        <w:t xml:space="preserve">La comunicación debe realizarse conforme a lo dispuesto en los artículos 35° y 36° del Reglamento de Gestión de Conducta de Mercado del Sistema de Seguros y cumplir con el contenido señalado en el artículo 8° del presente Reglamento. </w:t>
      </w:r>
    </w:p>
    <w:p w14:paraId="4F1D95BD" w14:textId="2B1852F4" w:rsidR="00186D49" w:rsidRPr="00186D49" w:rsidRDefault="00186D49" w:rsidP="00186D49">
      <w:pPr>
        <w:spacing w:line="240" w:lineRule="auto"/>
        <w:jc w:val="both"/>
        <w:rPr>
          <w:rFonts w:ascii="Times New Roman" w:eastAsia="Arial Unicode MS" w:hAnsi="Times New Roman" w:cs="Times New Roman"/>
          <w:i/>
          <w:iCs/>
          <w:sz w:val="24"/>
          <w:szCs w:val="24"/>
          <w:lang w:val="es-PE" w:eastAsia="ar-SA"/>
        </w:rPr>
      </w:pPr>
      <w:r w:rsidRPr="00186D49">
        <w:rPr>
          <w:rFonts w:ascii="Times New Roman" w:eastAsia="Arial Unicode MS" w:hAnsi="Times New Roman" w:cs="Times New Roman"/>
          <w:i/>
          <w:iCs/>
          <w:sz w:val="24"/>
          <w:szCs w:val="24"/>
          <w:lang w:val="es-PE" w:eastAsia="ar-SA"/>
        </w:rPr>
        <w:lastRenderedPageBreak/>
        <w:t>La suspensión de cobertura no es aplicable en los casos en que el contratante ha pagado, proporcionalmente, una prima igual o mayor al período corrido del contrato; o cuando la comunicación para la suspensión no ha ocurrido dentro de los treinta (30) días contados desde la fecha de vencimiento de la obligación.”</w:t>
      </w:r>
    </w:p>
    <w:p w14:paraId="3D0648C7" w14:textId="77777777" w:rsidR="00186D49" w:rsidRPr="00186D49" w:rsidRDefault="00186D49" w:rsidP="00186D49">
      <w:pPr>
        <w:spacing w:line="240" w:lineRule="auto"/>
        <w:jc w:val="both"/>
        <w:rPr>
          <w:rFonts w:ascii="Times New Roman" w:eastAsia="Arial Unicode MS" w:hAnsi="Times New Roman" w:cs="Times New Roman"/>
          <w:b/>
          <w:i/>
          <w:iCs/>
          <w:sz w:val="24"/>
          <w:szCs w:val="24"/>
          <w:lang w:val="es-ES" w:eastAsia="ar-SA"/>
        </w:rPr>
      </w:pPr>
      <w:r w:rsidRPr="00186D49">
        <w:rPr>
          <w:rFonts w:ascii="Times New Roman" w:eastAsia="Arial Unicode MS" w:hAnsi="Times New Roman" w:cs="Times New Roman"/>
          <w:b/>
          <w:i/>
          <w:iCs/>
          <w:sz w:val="24"/>
          <w:szCs w:val="24"/>
          <w:lang w:val="es-ES" w:eastAsia="ar-SA"/>
        </w:rPr>
        <w:t>Artículo 8.- Requisitos de la comunicación de incumplimiento de pago</w:t>
      </w:r>
    </w:p>
    <w:p w14:paraId="3522E152" w14:textId="77777777" w:rsidR="00186D49" w:rsidRPr="00186D49" w:rsidRDefault="00186D49" w:rsidP="00186D49">
      <w:pPr>
        <w:spacing w:line="240" w:lineRule="auto"/>
        <w:jc w:val="both"/>
        <w:rPr>
          <w:rFonts w:ascii="Times New Roman" w:eastAsia="Arial Unicode MS" w:hAnsi="Times New Roman" w:cs="Times New Roman"/>
          <w:i/>
          <w:iCs/>
          <w:sz w:val="24"/>
          <w:szCs w:val="24"/>
          <w:lang w:val="es-PE" w:eastAsia="ar-SA"/>
        </w:rPr>
      </w:pPr>
      <w:r w:rsidRPr="00186D49">
        <w:rPr>
          <w:rFonts w:ascii="Times New Roman" w:eastAsia="Arial Unicode MS" w:hAnsi="Times New Roman" w:cs="Times New Roman"/>
          <w:i/>
          <w:iCs/>
          <w:sz w:val="24"/>
          <w:szCs w:val="24"/>
          <w:lang w:val="es-PE" w:eastAsia="ar-SA"/>
        </w:rPr>
        <w:t>La comunicación cierta deberá cumplir con informar al asegurado, como mínimo, lo siguiente:</w:t>
      </w:r>
    </w:p>
    <w:p w14:paraId="162AD744" w14:textId="77777777" w:rsidR="00186D49" w:rsidRPr="00186D49" w:rsidRDefault="00186D49" w:rsidP="00186D49">
      <w:pPr>
        <w:numPr>
          <w:ilvl w:val="0"/>
          <w:numId w:val="40"/>
        </w:numPr>
        <w:spacing w:line="240" w:lineRule="auto"/>
        <w:jc w:val="both"/>
        <w:rPr>
          <w:rFonts w:ascii="Times New Roman" w:eastAsia="Arial Unicode MS" w:hAnsi="Times New Roman" w:cs="Times New Roman"/>
          <w:i/>
          <w:iCs/>
          <w:sz w:val="24"/>
          <w:szCs w:val="24"/>
          <w:lang w:val="es-ES" w:eastAsia="ar-SA"/>
        </w:rPr>
      </w:pPr>
      <w:r w:rsidRPr="00186D49">
        <w:rPr>
          <w:rFonts w:ascii="Times New Roman" w:eastAsia="Arial Unicode MS" w:hAnsi="Times New Roman" w:cs="Times New Roman"/>
          <w:i/>
          <w:iCs/>
          <w:sz w:val="24"/>
          <w:szCs w:val="24"/>
          <w:lang w:val="es-ES" w:eastAsia="ar-SA"/>
        </w:rPr>
        <w:t>Fecha de vencimiento del pago de la prima.</w:t>
      </w:r>
    </w:p>
    <w:p w14:paraId="04910254" w14:textId="77777777" w:rsidR="00186D49" w:rsidRPr="00186D49" w:rsidRDefault="00186D49" w:rsidP="00186D49">
      <w:pPr>
        <w:numPr>
          <w:ilvl w:val="0"/>
          <w:numId w:val="40"/>
        </w:numPr>
        <w:spacing w:line="240" w:lineRule="auto"/>
        <w:jc w:val="both"/>
        <w:rPr>
          <w:rFonts w:ascii="Times New Roman" w:eastAsia="Arial Unicode MS" w:hAnsi="Times New Roman" w:cs="Times New Roman"/>
          <w:i/>
          <w:iCs/>
          <w:sz w:val="24"/>
          <w:szCs w:val="24"/>
          <w:lang w:val="es-ES" w:eastAsia="ar-SA"/>
        </w:rPr>
      </w:pPr>
      <w:r w:rsidRPr="00186D49">
        <w:rPr>
          <w:rFonts w:ascii="Times New Roman" w:eastAsia="Arial Unicode MS" w:hAnsi="Times New Roman" w:cs="Times New Roman"/>
          <w:i/>
          <w:iCs/>
          <w:sz w:val="24"/>
          <w:szCs w:val="24"/>
          <w:lang w:val="es-ES" w:eastAsia="ar-SA"/>
        </w:rPr>
        <w:t>Plazo máximo para el pago de la prima adeudada, antes de que se produzca la suspensión de la cobertura.</w:t>
      </w:r>
    </w:p>
    <w:p w14:paraId="58F13D66" w14:textId="53887859" w:rsidR="00186D49" w:rsidRPr="00186D49" w:rsidRDefault="00186D49" w:rsidP="00186D49">
      <w:pPr>
        <w:numPr>
          <w:ilvl w:val="0"/>
          <w:numId w:val="40"/>
        </w:numPr>
        <w:spacing w:line="240" w:lineRule="auto"/>
        <w:jc w:val="both"/>
        <w:rPr>
          <w:rFonts w:ascii="Times New Roman" w:eastAsia="Arial Unicode MS" w:hAnsi="Times New Roman" w:cs="Times New Roman"/>
          <w:i/>
          <w:iCs/>
          <w:sz w:val="24"/>
          <w:szCs w:val="24"/>
          <w:lang w:val="es-ES" w:eastAsia="ar-SA"/>
        </w:rPr>
      </w:pPr>
      <w:proofErr w:type="gramStart"/>
      <w:r w:rsidRPr="00186D49">
        <w:rPr>
          <w:rFonts w:ascii="Times New Roman" w:eastAsia="Arial Unicode MS" w:hAnsi="Times New Roman" w:cs="Times New Roman"/>
          <w:i/>
          <w:iCs/>
          <w:sz w:val="24"/>
          <w:szCs w:val="24"/>
          <w:lang w:val="es-ES" w:eastAsia="ar-SA"/>
        </w:rPr>
        <w:t>Indicar</w:t>
      </w:r>
      <w:proofErr w:type="gramEnd"/>
      <w:r w:rsidRPr="00186D49">
        <w:rPr>
          <w:rFonts w:ascii="Times New Roman" w:eastAsia="Arial Unicode MS" w:hAnsi="Times New Roman" w:cs="Times New Roman"/>
          <w:i/>
          <w:iCs/>
          <w:sz w:val="24"/>
          <w:szCs w:val="24"/>
          <w:lang w:val="es-ES" w:eastAsia="ar-SA"/>
        </w:rPr>
        <w:t xml:space="preserve"> que es consecuencia de mantener impaga la prima, la suspensión de la cobertura, lo cual implica que la aseguradora no estará obligada a cubrir los siniestros ocurridos mientras la cobertura se encuentre suspendida.”</w:t>
      </w:r>
    </w:p>
    <w:p w14:paraId="39CD5004" w14:textId="77777777" w:rsidR="00186D49" w:rsidRPr="00186D49" w:rsidRDefault="00186D49" w:rsidP="00186D49">
      <w:pPr>
        <w:spacing w:line="240" w:lineRule="auto"/>
        <w:jc w:val="both"/>
        <w:rPr>
          <w:rFonts w:ascii="Times New Roman" w:eastAsia="Arial Unicode MS" w:hAnsi="Times New Roman" w:cs="Times New Roman"/>
          <w:b/>
          <w:i/>
          <w:iCs/>
          <w:sz w:val="24"/>
          <w:szCs w:val="24"/>
          <w:lang w:val="es-ES" w:eastAsia="ar-SA"/>
        </w:rPr>
      </w:pPr>
      <w:r w:rsidRPr="00186D49">
        <w:rPr>
          <w:rFonts w:ascii="Times New Roman" w:eastAsia="Arial Unicode MS" w:hAnsi="Times New Roman" w:cs="Times New Roman"/>
          <w:b/>
          <w:i/>
          <w:iCs/>
          <w:sz w:val="24"/>
          <w:szCs w:val="24"/>
          <w:lang w:val="es-ES" w:eastAsia="ar-SA"/>
        </w:rPr>
        <w:t>“Articulo 11.- Extinción del contrato</w:t>
      </w:r>
    </w:p>
    <w:p w14:paraId="14837AC1" w14:textId="77777777" w:rsidR="00186D49" w:rsidRPr="00186D49" w:rsidRDefault="00186D49" w:rsidP="00186D49">
      <w:pPr>
        <w:spacing w:line="240" w:lineRule="auto"/>
        <w:jc w:val="both"/>
        <w:rPr>
          <w:rFonts w:ascii="Times New Roman" w:eastAsia="Arial Unicode MS" w:hAnsi="Times New Roman" w:cs="Times New Roman"/>
          <w:b/>
          <w:bCs/>
          <w:i/>
          <w:iCs/>
          <w:sz w:val="24"/>
          <w:szCs w:val="24"/>
          <w:u w:val="single"/>
          <w:lang w:val="es-PE" w:eastAsia="ar-SA"/>
        </w:rPr>
      </w:pPr>
      <w:r>
        <w:rPr>
          <w:rFonts w:ascii="Times New Roman" w:hAnsi="Times New Roman"/>
          <w:sz w:val="24"/>
        </w:rPr>
        <w:t xml:space="preserve">Cuando el asegurado no haya pagado la prima dentro de los noventa (90) días siguientes al vencimiento del plazo establecido en el contrato o convenio de pago, y la empresa …………………, el contrato de seguro queda extinguido sin requerir suspensión previa. </w:t>
      </w:r>
    </w:p>
    <w:p w14:paraId="1308F4AA" w14:textId="77777777" w:rsidR="00186D49" w:rsidRPr="00186D49" w:rsidRDefault="00186D49" w:rsidP="00186D49">
      <w:pPr>
        <w:spacing w:line="240" w:lineRule="auto"/>
        <w:jc w:val="both"/>
        <w:rPr>
          <w:rFonts w:ascii="Times New Roman" w:eastAsia="Arial Unicode MS" w:hAnsi="Times New Roman" w:cs="Times New Roman"/>
          <w:i/>
          <w:iCs/>
          <w:sz w:val="24"/>
          <w:szCs w:val="24"/>
          <w:lang w:val="es-PE" w:eastAsia="ar-SA"/>
        </w:rPr>
      </w:pPr>
      <w:r>
        <w:rPr>
          <w:rFonts w:ascii="Times New Roman" w:hAnsi="Times New Roman"/>
          <w:sz w:val="24"/>
        </w:rPr>
        <w:t xml:space="preserve">La extinción del contrato de seguro referida en el párrafo anterior es igualmente aplicable cuando la empresa …………………, de acuerdo con lo establecido en el artículo 7 del presente Reglamento y además no haya reclamado el pago de la prima.</w:t>
      </w:r>
    </w:p>
    <w:p w14:paraId="599EDA39" w14:textId="77777777" w:rsidR="00186D49" w:rsidRPr="00186D49" w:rsidRDefault="00186D49" w:rsidP="00186D49">
      <w:pPr>
        <w:spacing w:line="240" w:lineRule="auto"/>
        <w:jc w:val="both"/>
        <w:rPr>
          <w:rFonts w:ascii="Times New Roman" w:eastAsia="Arial Unicode MS" w:hAnsi="Times New Roman" w:cs="Times New Roman"/>
          <w:i/>
          <w:iCs/>
          <w:sz w:val="24"/>
          <w:szCs w:val="24"/>
          <w:lang w:val="es-PE" w:eastAsia="ar-SA"/>
        </w:rPr>
      </w:pPr>
      <w:r w:rsidRPr="00186D49">
        <w:rPr>
          <w:rFonts w:ascii="Times New Roman" w:eastAsia="Arial Unicode MS" w:hAnsi="Times New Roman" w:cs="Times New Roman"/>
          <w:b/>
          <w:bCs/>
          <w:i/>
          <w:iCs/>
          <w:sz w:val="24"/>
          <w:szCs w:val="24"/>
          <w:u w:val="single"/>
          <w:lang w:val="es-PE" w:eastAsia="ar-SA"/>
        </w:rPr>
        <w:t>La extinción no requiere comunicación por parte de la empresa</w:t>
      </w:r>
      <w:r w:rsidRPr="00186D49">
        <w:rPr>
          <w:rFonts w:ascii="Times New Roman" w:eastAsia="Arial Unicode MS" w:hAnsi="Times New Roman" w:cs="Times New Roman"/>
          <w:i/>
          <w:iCs/>
          <w:sz w:val="24"/>
          <w:szCs w:val="24"/>
          <w:lang w:val="es-PE" w:eastAsia="ar-SA"/>
        </w:rPr>
        <w:t xml:space="preserve">, manteniéndose el derecho al cobro de la prima devengada mediante el reclamo correspondiente. </w:t>
      </w:r>
    </w:p>
    <w:p w14:paraId="6CC5C3DC" w14:textId="58EA0E1E" w:rsidR="00186D49" w:rsidRPr="00186D49" w:rsidRDefault="00186D49" w:rsidP="00186D49">
      <w:pPr>
        <w:spacing w:line="240" w:lineRule="auto"/>
        <w:jc w:val="both"/>
        <w:rPr>
          <w:rFonts w:ascii="Times New Roman" w:eastAsia="Arial Unicode MS" w:hAnsi="Times New Roman" w:cs="Times New Roman"/>
          <w:sz w:val="24"/>
          <w:szCs w:val="24"/>
          <w:lang w:val="es-PE" w:eastAsia="ar-SA"/>
        </w:rPr>
      </w:pPr>
      <w:r w:rsidRPr="00186D49">
        <w:rPr>
          <w:rFonts w:ascii="Times New Roman" w:eastAsia="Arial Unicode MS" w:hAnsi="Times New Roman" w:cs="Times New Roman"/>
          <w:b/>
          <w:bCs/>
          <w:i/>
          <w:iCs/>
          <w:sz w:val="24"/>
          <w:szCs w:val="24"/>
          <w:lang w:val="es-PE" w:eastAsia="ar-SA"/>
        </w:rPr>
        <w:t>Se entiende por reclamo, el inicio de un proceso judicial o arbitral de cobranza de pago de primas, por parte de la empresa</w:t>
      </w:r>
      <w:r w:rsidRPr="00186D49">
        <w:rPr>
          <w:rFonts w:ascii="Times New Roman" w:eastAsia="Arial Unicode MS" w:hAnsi="Times New Roman" w:cs="Times New Roman"/>
          <w:i/>
          <w:iCs/>
          <w:sz w:val="24"/>
          <w:szCs w:val="24"/>
          <w:lang w:val="es-PE" w:eastAsia="ar-SA"/>
        </w:rPr>
        <w:t>.” (el resaltado y subrayado es nuestro)</w:t>
      </w:r>
    </w:p>
    <w:p w14:paraId="321138F6" w14:textId="46C4A0AA" w:rsidR="00186D49" w:rsidRPr="00186D49" w:rsidRDefault="00186D49" w:rsidP="00186D49">
      <w:pPr>
        <w:spacing w:line="240" w:lineRule="auto"/>
        <w:jc w:val="both"/>
        <w:rPr>
          <w:rFonts w:ascii="Times New Roman" w:eastAsia="Arial Unicode MS" w:hAnsi="Times New Roman" w:cs="Times New Roman"/>
          <w:i/>
          <w:iCs/>
          <w:sz w:val="24"/>
          <w:szCs w:val="24"/>
          <w:lang w:val="es-PE" w:eastAsia="ar-SA"/>
        </w:rPr>
      </w:pPr>
      <w:r w:rsidRPr="00186D49">
        <w:rPr>
          <w:rFonts w:ascii="Times New Roman" w:eastAsia="Arial Unicode MS" w:hAnsi="Times New Roman" w:cs="Times New Roman"/>
          <w:i/>
          <w:iCs/>
          <w:sz w:val="24"/>
          <w:szCs w:val="24"/>
          <w:lang w:val="es-PE" w:eastAsia="ar-SA"/>
        </w:rPr>
        <w:t>En consecuencia, conforme al régimen normativo citado, la extinción es una situación jurídica, distinta a la de la suspensión, que se genera cuando ambas partes (de allí la necesaria concurrencia de las inacciones del contratante y de la aseguradora) han perdido interés en el vínculo contractual, de allí que ni el contratante pague ni la aseguradora requiera el pago de la prima.</w:t>
      </w:r>
    </w:p>
    <w:p w14:paraId="2C3F2983" w14:textId="2D1E9E32" w:rsidR="00186D49" w:rsidRPr="00186D49" w:rsidRDefault="00186D49" w:rsidP="00186D49">
      <w:pPr>
        <w:spacing w:line="240" w:lineRule="auto"/>
        <w:jc w:val="both"/>
        <w:rPr>
          <w:rFonts w:ascii="Times New Roman" w:eastAsia="Arial Unicode MS" w:hAnsi="Times New Roman" w:cs="Times New Roman"/>
          <w:i/>
          <w:iCs/>
          <w:sz w:val="24"/>
          <w:szCs w:val="24"/>
          <w:lang w:val="es-PE" w:eastAsia="ar-SA"/>
        </w:rPr>
      </w:pPr>
      <w:r w:rsidRPr="00186D49">
        <w:rPr>
          <w:rFonts w:ascii="Times New Roman" w:eastAsia="Arial Unicode MS" w:hAnsi="Times New Roman" w:cs="Times New Roman"/>
          <w:i/>
          <w:iCs/>
          <w:sz w:val="24"/>
          <w:szCs w:val="24"/>
          <w:lang w:val="es-PE" w:eastAsia="ar-SA"/>
        </w:rPr>
        <w:t xml:space="preserve">En ese </w:t>
      </w:r>
      <w:proofErr w:type="gramStart"/>
      <w:r w:rsidRPr="00186D49">
        <w:rPr>
          <w:rFonts w:ascii="Times New Roman" w:eastAsia="Arial Unicode MS" w:hAnsi="Times New Roman" w:cs="Times New Roman"/>
          <w:i/>
          <w:iCs/>
          <w:sz w:val="24"/>
          <w:szCs w:val="24"/>
          <w:lang w:val="es-PE" w:eastAsia="ar-SA"/>
        </w:rPr>
        <w:t>lapso de tiempo</w:t>
      </w:r>
      <w:proofErr w:type="gramEnd"/>
      <w:r w:rsidRPr="00186D49">
        <w:rPr>
          <w:rFonts w:ascii="Times New Roman" w:eastAsia="Arial Unicode MS" w:hAnsi="Times New Roman" w:cs="Times New Roman"/>
          <w:i/>
          <w:iCs/>
          <w:sz w:val="24"/>
          <w:szCs w:val="24"/>
          <w:lang w:val="es-PE" w:eastAsia="ar-SA"/>
        </w:rPr>
        <w:t xml:space="preserve"> de falta de pago por 90 días, cualquiera de las partes pude demostrar interés en la continuación de la relación contractual, bien sea porque la aseguradora reclame judicial o arbitralmente (conforme lo prevé el reglamento) el pago de la prima o bien porque el asegurado cancela ésta.</w:t>
      </w:r>
    </w:p>
    <w:p w14:paraId="3C2B031A" w14:textId="18489BAD" w:rsidR="00186D49" w:rsidRPr="00186D49" w:rsidRDefault="00186D49" w:rsidP="00186D49">
      <w:pPr>
        <w:spacing w:line="240" w:lineRule="auto"/>
        <w:jc w:val="both"/>
        <w:rPr>
          <w:rFonts w:ascii="Times New Roman" w:eastAsia="Arial Unicode MS" w:hAnsi="Times New Roman" w:cs="Times New Roman"/>
          <w:i/>
          <w:iCs/>
          <w:sz w:val="24"/>
          <w:szCs w:val="24"/>
          <w:lang w:val="es-PE" w:eastAsia="ar-SA"/>
        </w:rPr>
      </w:pPr>
      <w:r w:rsidRPr="00186D49">
        <w:rPr>
          <w:rFonts w:ascii="Times New Roman" w:eastAsia="Arial Unicode MS" w:hAnsi="Times New Roman" w:cs="Times New Roman"/>
          <w:i/>
          <w:iCs/>
          <w:sz w:val="24"/>
          <w:szCs w:val="24"/>
          <w:lang w:val="es-PE" w:eastAsia="ar-SA"/>
        </w:rPr>
        <w:t xml:space="preserve">El argumento </w:t>
      </w:r>
      <w:proofErr w:type="gramStart"/>
      <w:r w:rsidRPr="00186D49">
        <w:rPr>
          <w:rFonts w:ascii="Times New Roman" w:eastAsia="Arial Unicode MS" w:hAnsi="Times New Roman" w:cs="Times New Roman"/>
          <w:i/>
          <w:iCs/>
          <w:sz w:val="24"/>
          <w:szCs w:val="24"/>
          <w:lang w:val="es-PE" w:eastAsia="ar-SA"/>
        </w:rPr>
        <w:t>de la parte reclamante referido</w:t>
      </w:r>
      <w:proofErr w:type="gramEnd"/>
      <w:r w:rsidRPr="00186D49">
        <w:rPr>
          <w:rFonts w:ascii="Times New Roman" w:eastAsia="Arial Unicode MS" w:hAnsi="Times New Roman" w:cs="Times New Roman"/>
          <w:i/>
          <w:iCs/>
          <w:sz w:val="24"/>
          <w:szCs w:val="24"/>
          <w:lang w:val="es-PE" w:eastAsia="ar-SA"/>
        </w:rPr>
        <w:t xml:space="preserve"> a que el contrato de seguro no estaba completamente extinguido al momento del siniestro ya que la última cuota vencida aun se encontraba dentro del plazo de 90 días, no es válido, toda vez que la extinción no opera respecto de cada cuota vencida o por vencer; sino que la extinción afecta al contrato de seguro, por lo que basta una cuota vencida por más de 90 días para que el contrato se extinga. </w:t>
      </w:r>
    </w:p>
    <w:p w14:paraId="277B0C17" w14:textId="18CDDAFA" w:rsidR="00186D49" w:rsidRPr="00186D49" w:rsidRDefault="00186D49" w:rsidP="00186D49">
      <w:pPr>
        <w:spacing w:line="240" w:lineRule="auto"/>
        <w:jc w:val="both"/>
        <w:rPr>
          <w:rFonts w:ascii="Times New Roman" w:eastAsia="Arial Unicode MS" w:hAnsi="Times New Roman" w:cs="Times New Roman"/>
          <w:i/>
          <w:iCs/>
          <w:sz w:val="24"/>
          <w:szCs w:val="24"/>
          <w:lang w:val="es-PE" w:eastAsia="ar-SA"/>
        </w:rPr>
      </w:pPr>
      <w:r w:rsidRPr="00186D49">
        <w:rPr>
          <w:rFonts w:ascii="Times New Roman" w:eastAsia="Arial Unicode MS" w:hAnsi="Times New Roman" w:cs="Times New Roman"/>
          <w:i/>
          <w:iCs/>
          <w:sz w:val="24"/>
          <w:szCs w:val="24"/>
          <w:lang w:val="es-PE" w:eastAsia="ar-SA"/>
        </w:rPr>
        <w:lastRenderedPageBreak/>
        <w:t xml:space="preserve">Respecto al argumento de la parte reclamante que existiría continuidad de cobertura por cuanto se pagaron las primas antes de “comunicar” el siniestro; lo relevante no era pagar antes de la “comunicación” del siniestro, sino antes de la “ocurrencia” del siniestro, y es claro que el pago se hizo después de la ocurrencia del siniestro (no antes). </w:t>
      </w:r>
    </w:p>
    <w:p w14:paraId="2602A060" w14:textId="6B291DFC" w:rsidR="00186D49" w:rsidRPr="00186D49" w:rsidRDefault="00186D49" w:rsidP="00186D49">
      <w:pPr>
        <w:spacing w:line="240" w:lineRule="auto"/>
        <w:jc w:val="both"/>
        <w:rPr>
          <w:rFonts w:ascii="Times New Roman" w:eastAsia="Arial Unicode MS" w:hAnsi="Times New Roman" w:cs="Times New Roman"/>
          <w:sz w:val="24"/>
          <w:szCs w:val="24"/>
          <w:lang w:val="es-PE" w:eastAsia="ar-SA"/>
        </w:rPr>
      </w:pPr>
      <w:r w:rsidRPr="00186D49">
        <w:rPr>
          <w:rFonts w:ascii="Times New Roman" w:eastAsia="Arial Unicode MS" w:hAnsi="Times New Roman" w:cs="Times New Roman"/>
          <w:i/>
          <w:iCs/>
          <w:sz w:val="24"/>
          <w:szCs w:val="24"/>
          <w:lang w:val="es-PE" w:eastAsia="ar-SA"/>
        </w:rPr>
        <w:t xml:space="preserve">En este caso, el rechazo de cobertura se fundamenta en la falta de pago de prima antes de la ocurrencia del siniestro, </w:t>
      </w:r>
      <w:r w:rsidRPr="00186D49">
        <w:rPr>
          <w:rFonts w:ascii="Times New Roman" w:eastAsia="Arial Unicode MS" w:hAnsi="Times New Roman" w:cs="Times New Roman"/>
          <w:b/>
          <w:bCs/>
          <w:i/>
          <w:iCs/>
          <w:sz w:val="24"/>
          <w:szCs w:val="24"/>
          <w:u w:val="single"/>
          <w:lang w:val="es-PE" w:eastAsia="ar-SA"/>
        </w:rPr>
        <w:t>por lo que sea que se notificó la suspensión o no, no es controvertido que el pago se dio luego del siniestro,</w:t>
      </w:r>
      <w:r w:rsidRPr="00186D49">
        <w:rPr>
          <w:rFonts w:ascii="Times New Roman" w:eastAsia="Arial Unicode MS" w:hAnsi="Times New Roman" w:cs="Times New Roman"/>
          <w:i/>
          <w:iCs/>
          <w:sz w:val="24"/>
          <w:szCs w:val="24"/>
          <w:lang w:val="es-PE" w:eastAsia="ar-SA"/>
        </w:rPr>
        <w:t xml:space="preserve"> siendo que antes de la ocurrencia del mismo (con o sin comunicación de suspensión), transcurrieron más de 90 días desde el vencimiento de la obligación de pago, y en consecuencia el contrato se extinguió antes de la ocurrencia del siniestro, por lo que el rechazo resulta legítimo.” </w:t>
      </w:r>
      <w:r w:rsidRPr="00186D49">
        <w:rPr>
          <w:rFonts w:ascii="Times New Roman" w:eastAsia="Arial Unicode MS" w:hAnsi="Times New Roman" w:cs="Times New Roman"/>
          <w:sz w:val="24"/>
          <w:szCs w:val="24"/>
          <w:lang w:val="es-PE" w:eastAsia="ar-SA"/>
        </w:rPr>
        <w:t xml:space="preserve"> (el resaltado y subrayado es agregado</w:t>
      </w:r>
      <w:r w:rsidR="00655834" w:rsidRPr="00655834">
        <w:rPr>
          <w:rFonts w:ascii="Times New Roman" w:eastAsia="Arial Unicode MS" w:hAnsi="Times New Roman" w:cs="Times New Roman"/>
          <w:sz w:val="24"/>
          <w:szCs w:val="24"/>
          <w:lang w:val="es-PE" w:eastAsia="ar-SA"/>
        </w:rPr>
        <w:t>).</w:t>
      </w:r>
    </w:p>
    <w:p w14:paraId="21D7E732" w14:textId="077B3613" w:rsidR="00186D49" w:rsidRPr="00186D49" w:rsidRDefault="00186D49" w:rsidP="00186D4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Finalmente, la reclamante hace una suposición sobre si ………………… hubiera efectuado algún pago de prima a un comercializador y si existieran pruebas de dichos pagos, suposiciones que no acreditan que hubiera realizado el pago de la prima adeudada antes del siniestro, y antes de la extinción del contrato de seguro por falta de pago (supuesto -reiteramos- distinto al de la suspensión por falta de pago) menos aun cuando reconoce y señala lo siguiente en su Recurso de Impugnación:</w:t>
      </w:r>
    </w:p>
    <w:p w14:paraId="45CA2378" w14:textId="2C7D2340" w:rsidR="00186D49" w:rsidRPr="00186D49" w:rsidRDefault="00186D49" w:rsidP="00655834">
      <w:pPr>
        <w:spacing w:line="240" w:lineRule="auto"/>
        <w:jc w:val="center"/>
        <w:rPr>
          <w:rFonts w:ascii="Times New Roman" w:eastAsia="Arial Unicode MS" w:hAnsi="Times New Roman" w:cs="Times New Roman"/>
          <w:sz w:val="24"/>
          <w:szCs w:val="24"/>
          <w:lang w:val="es-ES" w:eastAsia="ar-SA"/>
        </w:rPr>
      </w:pPr>
      <w:r>
        <w:rPr>
          <w:rFonts w:ascii="Times New Roman" w:hAnsi="Times New Roman"/>
          <w:sz w:val="24"/>
        </w:rPr>
        <w:t xml:space="preserve">…………………</w:t>
      </w:r>
    </w:p>
    <w:p w14:paraId="2D41D296" w14:textId="1B512CFC" w:rsidR="00186D49" w:rsidRPr="00186D49" w:rsidRDefault="00186D49" w:rsidP="00186D49">
      <w:pPr>
        <w:spacing w:line="240" w:lineRule="auto"/>
        <w:jc w:val="both"/>
        <w:rPr>
          <w:rFonts w:ascii="Times New Roman" w:eastAsia="Arial Unicode MS" w:hAnsi="Times New Roman" w:cs="Times New Roman"/>
          <w:sz w:val="24"/>
          <w:szCs w:val="24"/>
          <w:lang w:val="es-PE" w:eastAsia="ar-SA"/>
        </w:rPr>
      </w:pPr>
      <w:r w:rsidRPr="00186D49">
        <w:rPr>
          <w:rFonts w:ascii="Times New Roman" w:eastAsia="Arial Unicode MS" w:hAnsi="Times New Roman" w:cs="Times New Roman"/>
          <w:b/>
          <w:sz w:val="24"/>
          <w:szCs w:val="24"/>
          <w:u w:val="single"/>
          <w:lang w:val="es-PE" w:eastAsia="ar-SA"/>
        </w:rPr>
        <w:t>Tercero</w:t>
      </w:r>
      <w:r w:rsidRPr="00186D49">
        <w:rPr>
          <w:rFonts w:ascii="Times New Roman" w:eastAsia="Arial Unicode MS" w:hAnsi="Times New Roman" w:cs="Times New Roman"/>
          <w:b/>
          <w:sz w:val="24"/>
          <w:szCs w:val="24"/>
          <w:lang w:val="es-PE" w:eastAsia="ar-SA"/>
        </w:rPr>
        <w:t>:</w:t>
      </w:r>
      <w:r w:rsidRPr="00186D49">
        <w:rPr>
          <w:rFonts w:ascii="Times New Roman" w:eastAsia="Arial Unicode MS" w:hAnsi="Times New Roman" w:cs="Times New Roman"/>
          <w:sz w:val="24"/>
          <w:szCs w:val="24"/>
          <w:lang w:val="es-PE" w:eastAsia="ar-SA"/>
        </w:rPr>
        <w:t xml:space="preserve"> Ese colegiado tiene a bien precisar que, </w:t>
      </w:r>
      <w:r w:rsidRPr="00186D49">
        <w:rPr>
          <w:rFonts w:ascii="Times New Roman" w:eastAsia="Arial Unicode MS" w:hAnsi="Times New Roman" w:cs="Times New Roman"/>
          <w:sz w:val="24"/>
          <w:szCs w:val="24"/>
          <w:lang w:val="es-419" w:eastAsia="ar-SA"/>
        </w:rPr>
        <w:t xml:space="preserve">conforme al reglamento de la DEFASEG, </w:t>
      </w:r>
      <w:r w:rsidRPr="00186D49">
        <w:rPr>
          <w:rFonts w:ascii="Times New Roman" w:eastAsia="Arial Unicode MS" w:hAnsi="Times New Roman" w:cs="Times New Roman"/>
          <w:sz w:val="24"/>
          <w:szCs w:val="24"/>
          <w:lang w:val="es-ES" w:eastAsia="ar-SA"/>
        </w:rPr>
        <w:t xml:space="preserve">el sometimiento voluntario a esta instancia como medio de resolución de conflictos, no afecta el derecho a la tutela jurisdiccional del asegurado, toda vez que lo resuelto por esta Defensoría no limita su derecho a iniciar procesos ante las instancias administrativas o jurisdiccionales que considere pertinentes, sin que sea necesario que la DEFASEG revoque previamente la resolución emitida. Ello debido a que las resoluciones que expide esta Defensoría no son vinculantes para el asegurado o reclamante cuando éstas les son desfavorables, siendo vinculantes para las aseguradoras cuando el fallo es favorable para el asegurado.  </w:t>
      </w:r>
    </w:p>
    <w:p w14:paraId="7F2E2D73" w14:textId="774304C5" w:rsidR="00186D49" w:rsidRPr="00186D49" w:rsidRDefault="00186D49" w:rsidP="00186D49">
      <w:pPr>
        <w:spacing w:line="240" w:lineRule="auto"/>
        <w:jc w:val="both"/>
        <w:rPr>
          <w:rFonts w:ascii="Times New Roman" w:eastAsia="Arial Unicode MS" w:hAnsi="Times New Roman" w:cs="Times New Roman"/>
          <w:sz w:val="24"/>
          <w:szCs w:val="24"/>
          <w:lang w:val="es-ES" w:eastAsia="ar-SA"/>
        </w:rPr>
      </w:pPr>
      <w:r w:rsidRPr="00186D49">
        <w:rPr>
          <w:rFonts w:ascii="Times New Roman" w:eastAsia="Arial Unicode MS" w:hAnsi="Times New Roman" w:cs="Times New Roman"/>
          <w:sz w:val="24"/>
          <w:szCs w:val="24"/>
          <w:lang w:val="es-ES" w:eastAsia="ar-SA"/>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14:paraId="78DFE21D" w14:textId="59409F6E" w:rsidR="00186D49" w:rsidRPr="00186D49" w:rsidRDefault="00186D49" w:rsidP="00186D49">
      <w:pPr>
        <w:spacing w:line="240" w:lineRule="auto"/>
        <w:jc w:val="both"/>
        <w:rPr>
          <w:rFonts w:ascii="Times New Roman" w:eastAsia="Arial Unicode MS" w:hAnsi="Times New Roman" w:cs="Times New Roman"/>
          <w:b/>
          <w:bCs/>
          <w:sz w:val="24"/>
          <w:szCs w:val="24"/>
          <w:lang w:val="es-PE" w:eastAsia="ar-SA"/>
        </w:rPr>
      </w:pPr>
      <w:r w:rsidRPr="00186D49">
        <w:rPr>
          <w:rFonts w:ascii="Times New Roman" w:eastAsia="Arial Unicode MS" w:hAnsi="Times New Roman" w:cs="Times New Roman"/>
          <w:b/>
          <w:bCs/>
          <w:sz w:val="24"/>
          <w:szCs w:val="24"/>
          <w:lang w:val="es-ES" w:eastAsia="ar-SA"/>
        </w:rPr>
        <w:t xml:space="preserve">RESUELVE: </w:t>
      </w:r>
    </w:p>
    <w:p w14:paraId="09FFD827" w14:textId="38131519" w:rsidR="00AD59A0" w:rsidRPr="00655834" w:rsidRDefault="00186D49" w:rsidP="00AD59A0">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Declarar INFUNDADO el recurso impugnativo interpuesto y, por consiguiente, ratificar la Resolución Nº 052-2025 de fecha 03 de abril de 2024 que declaró INFUNDADA la reclamación interpuesta por ………………… contra …………………, dejando a salvo el derecho de la reclamante de acudir ante las instancias que estime pertinente.</w:t>
      </w:r>
    </w:p>
    <w:p w14:paraId="51EDAB4B" w14:textId="5D5C87AF" w:rsidR="00B32E8A" w:rsidRPr="00655834" w:rsidRDefault="0091528B" w:rsidP="007F2000">
      <w:pPr>
        <w:spacing w:line="240" w:lineRule="auto"/>
        <w:jc w:val="right"/>
        <w:rPr>
          <w:rFonts w:ascii="Times New Roman" w:hAnsi="Times New Roman" w:cs="Times New Roman"/>
          <w:sz w:val="24"/>
          <w:szCs w:val="24"/>
          <w:lang w:val="es-PE"/>
        </w:rPr>
      </w:pPr>
      <w:r w:rsidRPr="00655834">
        <w:rPr>
          <w:rFonts w:ascii="Times New Roman" w:eastAsia="Arial Unicode MS" w:hAnsi="Times New Roman" w:cs="Times New Roman"/>
          <w:sz w:val="24"/>
          <w:szCs w:val="24"/>
          <w:lang w:val="es-PE" w:eastAsia="ar-SA"/>
        </w:rPr>
        <w:t>Lima,</w:t>
      </w:r>
      <w:r w:rsidR="00774D05" w:rsidRPr="00655834">
        <w:rPr>
          <w:rFonts w:ascii="Times New Roman" w:eastAsia="Arial Unicode MS" w:hAnsi="Times New Roman" w:cs="Times New Roman"/>
          <w:sz w:val="24"/>
          <w:szCs w:val="24"/>
          <w:lang w:val="es-PE" w:eastAsia="ar-SA"/>
        </w:rPr>
        <w:t xml:space="preserve"> </w:t>
      </w:r>
      <w:r w:rsidR="008D26BA" w:rsidRPr="00655834">
        <w:rPr>
          <w:rFonts w:ascii="Times New Roman" w:eastAsia="Arial Unicode MS" w:hAnsi="Times New Roman" w:cs="Times New Roman"/>
          <w:sz w:val="24"/>
          <w:szCs w:val="24"/>
          <w:lang w:val="es-PE" w:eastAsia="ar-SA"/>
        </w:rPr>
        <w:t>06</w:t>
      </w:r>
      <w:r w:rsidR="00B8209E" w:rsidRPr="00655834">
        <w:rPr>
          <w:rFonts w:ascii="Times New Roman" w:eastAsia="Arial Unicode MS" w:hAnsi="Times New Roman" w:cs="Times New Roman"/>
          <w:sz w:val="24"/>
          <w:szCs w:val="24"/>
          <w:lang w:val="es-PE" w:eastAsia="ar-SA"/>
        </w:rPr>
        <w:t xml:space="preserve"> </w:t>
      </w:r>
      <w:r w:rsidR="00707C99" w:rsidRPr="00655834">
        <w:rPr>
          <w:rFonts w:ascii="Times New Roman" w:eastAsia="Arial Unicode MS" w:hAnsi="Times New Roman" w:cs="Times New Roman"/>
          <w:sz w:val="24"/>
          <w:szCs w:val="24"/>
          <w:lang w:val="es-PE" w:eastAsia="ar-SA"/>
        </w:rPr>
        <w:t xml:space="preserve">de </w:t>
      </w:r>
      <w:r w:rsidR="008D26BA" w:rsidRPr="00655834">
        <w:rPr>
          <w:rFonts w:ascii="Times New Roman" w:eastAsia="Arial Unicode MS" w:hAnsi="Times New Roman" w:cs="Times New Roman"/>
          <w:sz w:val="24"/>
          <w:szCs w:val="24"/>
          <w:lang w:val="es-PE" w:eastAsia="ar-SA"/>
        </w:rPr>
        <w:t>mayo</w:t>
      </w:r>
      <w:r w:rsidR="002F478E" w:rsidRPr="00655834">
        <w:rPr>
          <w:rFonts w:ascii="Times New Roman" w:eastAsia="Arial Unicode MS" w:hAnsi="Times New Roman" w:cs="Times New Roman"/>
          <w:sz w:val="24"/>
          <w:szCs w:val="24"/>
          <w:lang w:val="es-PE" w:eastAsia="ar-SA"/>
        </w:rPr>
        <w:t xml:space="preserve"> </w:t>
      </w:r>
      <w:r w:rsidR="00F06498" w:rsidRPr="00655834">
        <w:rPr>
          <w:rFonts w:ascii="Times New Roman" w:eastAsia="Arial Unicode MS" w:hAnsi="Times New Roman" w:cs="Times New Roman"/>
          <w:sz w:val="24"/>
          <w:szCs w:val="24"/>
          <w:lang w:val="es-PE" w:eastAsia="ar-SA"/>
        </w:rPr>
        <w:t>de 202</w:t>
      </w:r>
      <w:r w:rsidR="00AE4D37" w:rsidRPr="00655834">
        <w:rPr>
          <w:rFonts w:ascii="Times New Roman" w:eastAsia="Arial Unicode MS" w:hAnsi="Times New Roman" w:cs="Times New Roman"/>
          <w:sz w:val="24"/>
          <w:szCs w:val="24"/>
          <w:lang w:val="es-PE" w:eastAsia="ar-SA"/>
        </w:rPr>
        <w:t>5</w:t>
      </w:r>
      <w:r w:rsidR="00707C99" w:rsidRPr="00655834">
        <w:rPr>
          <w:rFonts w:ascii="Times New Roman" w:eastAsia="Times New Roman" w:hAnsi="Times New Roman" w:cs="Times New Roman"/>
          <w:sz w:val="24"/>
          <w:szCs w:val="24"/>
          <w:lang w:val="es-PE" w:eastAsia="ar-SA"/>
        </w:rPr>
        <w:t xml:space="preserve"> </w:t>
      </w:r>
    </w:p>
    <w:p w14:paraId="1B6988F6" w14:textId="77777777" w:rsidR="00A323F4" w:rsidRPr="00655834" w:rsidRDefault="00A323F4" w:rsidP="00A323F4">
      <w:pPr>
        <w:spacing w:after="0" w:line="240" w:lineRule="auto"/>
        <w:jc w:val="both"/>
        <w:rPr>
          <w:rFonts w:ascii="Times New Roman" w:hAnsi="Times New Roman" w:cs="Times New Roman"/>
          <w:b/>
          <w:bCs/>
          <w:i/>
          <w:iCs/>
          <w:sz w:val="24"/>
          <w:szCs w:val="24"/>
          <w:lang w:val="es-PE"/>
        </w:rPr>
      </w:pPr>
      <w:r w:rsidRPr="0065583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655834" w:rsidRDefault="008D26BA" w:rsidP="00A323F4">
      <w:pPr>
        <w:spacing w:after="0" w:line="360" w:lineRule="auto"/>
        <w:jc w:val="both"/>
        <w:rPr>
          <w:rFonts w:ascii="Times New Roman" w:hAnsi="Times New Roman" w:cs="Times New Roman"/>
          <w:b/>
          <w:bCs/>
          <w:i/>
          <w:iCs/>
          <w:sz w:val="24"/>
          <w:szCs w:val="24"/>
          <w:lang w:val="es-PE"/>
        </w:rPr>
      </w:pPr>
    </w:p>
    <w:p w14:paraId="220AA7AD" w14:textId="4331E0E4" w:rsidR="007543CD" w:rsidRPr="00655834" w:rsidRDefault="008D26BA" w:rsidP="008D26BA">
      <w:pPr>
        <w:spacing w:after="0" w:line="360" w:lineRule="auto"/>
        <w:jc w:val="center"/>
        <w:rPr>
          <w:rFonts w:ascii="Times New Roman" w:hAnsi="Times New Roman" w:cs="Times New Roman"/>
          <w:b/>
          <w:bCs/>
          <w:sz w:val="24"/>
          <w:szCs w:val="24"/>
          <w:lang w:val="es-PE"/>
        </w:rPr>
      </w:pPr>
      <w:r w:rsidRPr="00655834">
        <w:rPr>
          <w:rFonts w:ascii="Times New Roman" w:hAnsi="Times New Roman" w:cs="Times New Roman"/>
          <w:b/>
          <w:bCs/>
          <w:sz w:val="24"/>
          <w:szCs w:val="24"/>
          <w:lang w:val="es-PE"/>
        </w:rPr>
        <w:t xml:space="preserve">Rolando Eyzaguirre Maccan </w:t>
      </w:r>
      <w:r w:rsidR="007543CD" w:rsidRPr="00655834">
        <w:rPr>
          <w:rFonts w:ascii="Times New Roman" w:hAnsi="Times New Roman" w:cs="Times New Roman"/>
          <w:b/>
          <w:bCs/>
          <w:sz w:val="24"/>
          <w:szCs w:val="24"/>
          <w:lang w:val="es-PE"/>
        </w:rPr>
        <w:t xml:space="preserve">– </w:t>
      </w:r>
      <w:proofErr w:type="gramStart"/>
      <w:r w:rsidR="007543CD" w:rsidRPr="00655834">
        <w:rPr>
          <w:rFonts w:ascii="Times New Roman" w:hAnsi="Times New Roman" w:cs="Times New Roman"/>
          <w:b/>
          <w:bCs/>
          <w:sz w:val="24"/>
          <w:szCs w:val="24"/>
          <w:lang w:val="es-PE"/>
        </w:rPr>
        <w:t>Presidente</w:t>
      </w:r>
      <w:proofErr w:type="gramEnd"/>
    </w:p>
    <w:p w14:paraId="5B7063E0" w14:textId="43329098" w:rsidR="008D26BA" w:rsidRPr="00655834" w:rsidRDefault="008D26BA" w:rsidP="008D26BA">
      <w:pPr>
        <w:spacing w:after="0" w:line="360" w:lineRule="auto"/>
        <w:jc w:val="center"/>
        <w:rPr>
          <w:rFonts w:ascii="Times New Roman" w:hAnsi="Times New Roman" w:cs="Times New Roman"/>
          <w:b/>
          <w:bCs/>
          <w:sz w:val="24"/>
          <w:szCs w:val="24"/>
          <w:lang w:val="es-PE"/>
        </w:rPr>
      </w:pPr>
      <w:r w:rsidRPr="00655834">
        <w:rPr>
          <w:rFonts w:ascii="Times New Roman" w:hAnsi="Times New Roman" w:cs="Times New Roman"/>
          <w:b/>
          <w:bCs/>
          <w:sz w:val="24"/>
          <w:szCs w:val="24"/>
          <w:lang w:val="es-PE"/>
        </w:rPr>
        <w:t xml:space="preserve">María Eugenia Valdez Fernández Baca – </w:t>
      </w:r>
      <w:r w:rsidRPr="00655834">
        <w:rPr>
          <w:rFonts w:ascii="Times New Roman" w:hAnsi="Times New Roman" w:cs="Times New Roman"/>
          <w:b/>
          <w:bCs/>
          <w:sz w:val="24"/>
          <w:szCs w:val="24"/>
          <w:lang w:val="es-PE"/>
        </w:rPr>
        <w:t>Vocal</w:t>
      </w:r>
    </w:p>
    <w:p w14:paraId="69BFE54F" w14:textId="77777777" w:rsidR="007543CD" w:rsidRPr="00655834" w:rsidRDefault="007543CD" w:rsidP="007543CD">
      <w:pPr>
        <w:spacing w:after="0" w:line="360" w:lineRule="auto"/>
        <w:jc w:val="center"/>
        <w:rPr>
          <w:rFonts w:ascii="Times New Roman" w:hAnsi="Times New Roman" w:cs="Times New Roman"/>
          <w:sz w:val="24"/>
          <w:szCs w:val="24"/>
          <w:lang w:val="es-PE"/>
        </w:rPr>
      </w:pPr>
      <w:r w:rsidRPr="00655834">
        <w:rPr>
          <w:rFonts w:ascii="Times New Roman" w:hAnsi="Times New Roman" w:cs="Times New Roman"/>
          <w:b/>
          <w:bCs/>
          <w:sz w:val="24"/>
          <w:szCs w:val="24"/>
          <w:lang w:val="es-PE"/>
        </w:rPr>
        <w:t>Gonzalo Abad del Busto – Vocal</w:t>
      </w:r>
    </w:p>
    <w:p w14:paraId="412CCBAA" w14:textId="77777777" w:rsidR="00986F0C" w:rsidRPr="00E30B3A"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E30B3A"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0B2CB1"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0B2CB1"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10"/>
      <w:footerReference w:type="default" r:id="rId11"/>
      <w:headerReference w:type="first" r:id="rId14"/>
      <w:footerReference w:type="first" r:id="rId15"/>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CD993" w14:textId="77777777" w:rsidR="002C7B97" w:rsidRDefault="002C7B97" w:rsidP="00784355">
      <w:pPr>
        <w:spacing w:after="0" w:line="240" w:lineRule="auto"/>
      </w:pPr>
      <w:r>
        <w:separator/>
      </w:r>
    </w:p>
  </w:endnote>
  <w:endnote w:type="continuationSeparator" w:id="0">
    <w:p w14:paraId="1B717A58" w14:textId="77777777" w:rsidR="002C7B97" w:rsidRDefault="002C7B97"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5F10F" w14:textId="77777777" w:rsidR="002C7B97" w:rsidRDefault="002C7B97" w:rsidP="00784355">
      <w:pPr>
        <w:spacing w:after="0" w:line="240" w:lineRule="auto"/>
      </w:pPr>
      <w:r>
        <w:separator/>
      </w:r>
    </w:p>
  </w:footnote>
  <w:footnote w:type="continuationSeparator" w:id="0">
    <w:p w14:paraId="5873D61C" w14:textId="77777777" w:rsidR="002C7B97" w:rsidRDefault="002C7B97"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5"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8"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4"/>
  </w:num>
  <w:num w:numId="3" w16cid:durableId="333261791">
    <w:abstractNumId w:val="31"/>
  </w:num>
  <w:num w:numId="4" w16cid:durableId="1770345525">
    <w:abstractNumId w:val="30"/>
  </w:num>
  <w:num w:numId="5" w16cid:durableId="1816144979">
    <w:abstractNumId w:val="33"/>
  </w:num>
  <w:num w:numId="6" w16cid:durableId="1304313350">
    <w:abstractNumId w:val="1"/>
  </w:num>
  <w:num w:numId="7" w16cid:durableId="16682880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0"/>
  </w:num>
  <w:num w:numId="17" w16cid:durableId="17998823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6657"/>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09AB"/>
    <w:rsid w:val="002830BC"/>
    <w:rsid w:val="00283E79"/>
    <w:rsid w:val="00286C15"/>
    <w:rsid w:val="00290CA4"/>
    <w:rsid w:val="00294D98"/>
    <w:rsid w:val="00295828"/>
    <w:rsid w:val="0029673E"/>
    <w:rsid w:val="002A31D3"/>
    <w:rsid w:val="002A3D36"/>
    <w:rsid w:val="002A7E2E"/>
    <w:rsid w:val="002B1654"/>
    <w:rsid w:val="002B726E"/>
    <w:rsid w:val="002C2A0F"/>
    <w:rsid w:val="002C2CEC"/>
    <w:rsid w:val="002C6367"/>
    <w:rsid w:val="002C7B9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4374C"/>
    <w:rsid w:val="006442E0"/>
    <w:rsid w:val="0064607A"/>
    <w:rsid w:val="00647AEA"/>
    <w:rsid w:val="00652672"/>
    <w:rsid w:val="00654FC9"/>
    <w:rsid w:val="0065542B"/>
    <w:rsid w:val="00655834"/>
    <w:rsid w:val="0065594D"/>
    <w:rsid w:val="00655A90"/>
    <w:rsid w:val="00655BA3"/>
    <w:rsid w:val="006578A4"/>
    <w:rsid w:val="00657AD2"/>
    <w:rsid w:val="00660D6F"/>
    <w:rsid w:val="00660E60"/>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7599F"/>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C076B64-7FAA-4C84-97A3-54514EB449FD}"/>
</file>

<file path=customXml/itemProps3.xml><?xml version="1.0" encoding="utf-8"?>
<ds:datastoreItem xmlns:ds="http://schemas.openxmlformats.org/officeDocument/2006/customXml" ds:itemID="{6C395A4E-2F8D-42EB-B62D-2AE101381978}"/>
</file>

<file path=customXml/itemProps4.xml><?xml version="1.0" encoding="utf-8"?>
<ds:datastoreItem xmlns:ds="http://schemas.openxmlformats.org/officeDocument/2006/customXml" ds:itemID="{D71059F1-FB05-4C2F-9ACC-0D4E7EB2677B}"/>
</file>

<file path=docProps/app.xml><?xml version="1.0" encoding="utf-8"?>
<Properties xmlns="http://schemas.openxmlformats.org/officeDocument/2006/extended-properties" xmlns:vt="http://schemas.openxmlformats.org/officeDocument/2006/docPropsVTypes">
  <Template>Normal</Template>
  <TotalTime>272</TotalTime>
  <Pages>5</Pages>
  <Words>1909</Words>
  <Characters>10501</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336</cp:revision>
  <cp:lastPrinted>2025-05-27T15:58:00Z</cp:lastPrinted>
  <dcterms:created xsi:type="dcterms:W3CDTF">2023-02-14T22:37:00Z</dcterms:created>
  <dcterms:modified xsi:type="dcterms:W3CDTF">2025-05-27T15:58:00Z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