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5A0A272B" w:rsidR="005A2497" w:rsidRPr="00916028" w:rsidRDefault="00201C0D" w:rsidP="005A2497">
      <w:pPr>
        <w:spacing w:after="0" w:line="240" w:lineRule="auto"/>
        <w:jc w:val="center"/>
        <w:rPr>
          <w:rFonts w:ascii="Times New Roman" w:hAnsi="Times New Roman" w:cs="Times New Roman"/>
          <w:b/>
          <w:sz w:val="23"/>
          <w:szCs w:val="23"/>
          <w:lang w:val="es-PE" w:eastAsia="ar-SA"/>
        </w:rPr>
      </w:pPr>
      <w:r w:rsidRPr="00916028">
        <w:rPr>
          <w:rFonts w:ascii="Times New Roman" w:hAnsi="Times New Roman" w:cs="Times New Roman"/>
          <w:b/>
          <w:sz w:val="24"/>
          <w:szCs w:val="23"/>
          <w:lang w:val="es-PE" w:eastAsia="ar-SA"/>
        </w:rPr>
        <w:t xml:space="preserve">RESOLUCIÓN DE RECURSO IMPUGNATIVO </w:t>
      </w:r>
      <w:r w:rsidR="00707C99" w:rsidRPr="00916028">
        <w:rPr>
          <w:rFonts w:ascii="Times New Roman" w:hAnsi="Times New Roman" w:cs="Times New Roman"/>
          <w:b/>
          <w:sz w:val="24"/>
          <w:szCs w:val="23"/>
          <w:lang w:val="es-PE" w:eastAsia="ar-SA"/>
        </w:rPr>
        <w:t xml:space="preserve">N° </w:t>
      </w:r>
      <w:r w:rsidR="00516293" w:rsidRPr="00916028">
        <w:rPr>
          <w:rFonts w:ascii="Times New Roman" w:hAnsi="Times New Roman" w:cs="Times New Roman"/>
          <w:b/>
          <w:sz w:val="24"/>
          <w:szCs w:val="23"/>
          <w:lang w:val="es-PE" w:eastAsia="ar-SA"/>
        </w:rPr>
        <w:t>0</w:t>
      </w:r>
      <w:r w:rsidR="00D26530" w:rsidRPr="00916028">
        <w:rPr>
          <w:rFonts w:ascii="Times New Roman" w:hAnsi="Times New Roman" w:cs="Times New Roman"/>
          <w:b/>
          <w:sz w:val="24"/>
          <w:szCs w:val="23"/>
          <w:lang w:val="es-PE" w:eastAsia="ar-SA"/>
        </w:rPr>
        <w:t>2</w:t>
      </w:r>
      <w:r w:rsidR="001C0A05" w:rsidRPr="00916028">
        <w:rPr>
          <w:rFonts w:ascii="Times New Roman" w:hAnsi="Times New Roman" w:cs="Times New Roman"/>
          <w:b/>
          <w:sz w:val="24"/>
          <w:szCs w:val="23"/>
          <w:lang w:val="es-PE" w:eastAsia="ar-SA"/>
        </w:rPr>
        <w:t>2</w:t>
      </w:r>
      <w:r w:rsidR="00C671F5" w:rsidRPr="00916028">
        <w:rPr>
          <w:rFonts w:ascii="Times New Roman" w:hAnsi="Times New Roman" w:cs="Times New Roman"/>
          <w:b/>
          <w:sz w:val="24"/>
          <w:szCs w:val="23"/>
          <w:lang w:val="es-PE" w:eastAsia="ar-SA"/>
        </w:rPr>
        <w:t>/2</w:t>
      </w:r>
      <w:r w:rsidR="00A74F96" w:rsidRPr="00916028">
        <w:rPr>
          <w:rFonts w:ascii="Times New Roman" w:hAnsi="Times New Roman" w:cs="Times New Roman"/>
          <w:b/>
          <w:sz w:val="24"/>
          <w:szCs w:val="23"/>
          <w:lang w:val="es-PE" w:eastAsia="ar-SA"/>
        </w:rPr>
        <w:t>5</w:t>
      </w:r>
    </w:p>
    <w:p w14:paraId="56DB191C" w14:textId="77777777" w:rsidR="005A2497" w:rsidRPr="00916028" w:rsidRDefault="005A2497" w:rsidP="00AD59A0">
      <w:pPr>
        <w:spacing w:after="0" w:line="240" w:lineRule="auto"/>
        <w:jc w:val="both"/>
        <w:rPr>
          <w:rFonts w:ascii="Times New Roman" w:hAnsi="Times New Roman" w:cs="Times New Roman"/>
          <w:b/>
          <w:sz w:val="23"/>
          <w:szCs w:val="23"/>
          <w:lang w:val="es-PE" w:eastAsia="ar-SA"/>
        </w:rPr>
      </w:pPr>
    </w:p>
    <w:p w14:paraId="3A23EF84" w14:textId="77777777" w:rsidR="00916028" w:rsidRPr="00916028" w:rsidRDefault="00916028" w:rsidP="00916028">
      <w:pPr>
        <w:spacing w:line="240" w:lineRule="auto"/>
        <w:jc w:val="both"/>
        <w:rPr>
          <w:rFonts w:ascii="Times New Roman" w:eastAsia="Arial Unicode MS" w:hAnsi="Times New Roman" w:cs="Times New Roman"/>
          <w:b/>
          <w:bCs/>
          <w:sz w:val="23"/>
          <w:szCs w:val="23"/>
          <w:lang w:val="es-MX" w:eastAsia="ar-SA"/>
        </w:rPr>
      </w:pPr>
      <w:r w:rsidRPr="00916028">
        <w:rPr>
          <w:rFonts w:ascii="Times New Roman" w:eastAsia="Arial Unicode MS" w:hAnsi="Times New Roman" w:cs="Times New Roman"/>
          <w:b/>
          <w:bCs/>
          <w:sz w:val="24"/>
          <w:szCs w:val="23"/>
          <w:lang w:val="es-MX" w:eastAsia="ar-SA"/>
        </w:rPr>
        <w:t>Vistos:</w:t>
      </w:r>
    </w:p>
    <w:p w14:paraId="4D337A4E" w14:textId="77777777" w:rsidR="00916028" w:rsidRPr="00916028" w:rsidRDefault="00916028" w:rsidP="00916028">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El recurso de revisión presentado el 10 de setiembre de 2024 por …………………, respecto de la Resolución Nro. 155/24, expedida el 02 de setiembre de 2024 por esta Defensoría del Asegurado (DEFASEG), que declaró FUNDADA la reclamación interpuesta por don ………………… para el otorgamiento de cobertura al siniestro vehicular ocurrido el 28 de enero de 2024, conforme a la Póliza de Seguro Vehicular N° …………………;</w:t>
      </w:r>
    </w:p>
    <w:p w14:paraId="3C6C56B8" w14:textId="77777777" w:rsidR="00916028" w:rsidRPr="00916028" w:rsidRDefault="00916028" w:rsidP="00916028">
      <w:pPr>
        <w:spacing w:line="240" w:lineRule="auto"/>
        <w:jc w:val="both"/>
        <w:rPr>
          <w:rFonts w:ascii="Times New Roman" w:eastAsia="Arial Unicode MS" w:hAnsi="Times New Roman" w:cs="Times New Roman"/>
          <w:bCs/>
          <w:sz w:val="23"/>
          <w:szCs w:val="23"/>
          <w:lang w:val="es-MX" w:eastAsia="ar-SA"/>
        </w:rPr>
      </w:pPr>
      <w:r w:rsidRPr="00916028">
        <w:rPr>
          <w:rFonts w:ascii="Times New Roman" w:eastAsia="Arial Unicode MS" w:hAnsi="Times New Roman" w:cs="Times New Roman"/>
          <w:bCs/>
          <w:sz w:val="24"/>
          <w:szCs w:val="23"/>
          <w:lang w:val="es-MX" w:eastAsia="ar-SA"/>
        </w:rPr>
        <w:t xml:space="preserve">Que, en el indicado recurso se fundamenta resumidamente en lo siguiente: a) sí cumplieron con comunicarse con el asegurado de manera oportuna a fin de brindar cobertura al siniestro de manera posterior al levantamiento del rechazo de siniestro, indicándole con fecha 20 de febrero de 2024 que el mismo se encontraba autorizado; b) adjuntan un pantallazo de la comunicación por </w:t>
      </w:r>
      <w:proofErr w:type="spellStart"/>
      <w:r w:rsidRPr="00916028">
        <w:rPr>
          <w:rFonts w:ascii="Times New Roman" w:eastAsia="Arial Unicode MS" w:hAnsi="Times New Roman" w:cs="Times New Roman"/>
          <w:bCs/>
          <w:sz w:val="24"/>
          <w:szCs w:val="23"/>
          <w:lang w:val="es-MX" w:eastAsia="ar-SA"/>
        </w:rPr>
        <w:t>whatsapp</w:t>
      </w:r>
      <w:proofErr w:type="spellEnd"/>
      <w:r w:rsidRPr="00916028">
        <w:rPr>
          <w:rFonts w:ascii="Times New Roman" w:eastAsia="Arial Unicode MS" w:hAnsi="Times New Roman" w:cs="Times New Roman"/>
          <w:bCs/>
          <w:sz w:val="24"/>
          <w:szCs w:val="23"/>
          <w:lang w:val="es-MX" w:eastAsia="ar-SA"/>
        </w:rPr>
        <w:t xml:space="preserve"> respectiva; c) la falta de respuesta impidió que la compañía pudiera proporcionar la cobertura requerida; en consecuencia no es cierto que la aseguradora se rehusara a cubrir el monto correspondiente por el siniestro; la no cobertura no es atribuible a la aseguradora, sino al asegurado que no tuvo interés en continuar con las coordinaciones, mediante  las cuales se le ofreció que se le brindaría cobertura debiendo pagar únicamente la suma de US$399.81 como deducible; por lo que solicitan declarar infundado el reclamo.</w:t>
      </w:r>
    </w:p>
    <w:p w14:paraId="0D0788CC" w14:textId="77777777" w:rsidR="00916028" w:rsidRPr="00916028" w:rsidRDefault="00916028" w:rsidP="00916028">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Que, habiéndose corrido traslado al asegurado del señalado recurso de revisión, mediante escrito de fecha 16 de setiembre de 2024, expresó resumidamente lo siguiente: a) no es cierto que ………………… se haya comunicado con él, la captura de mensaje que presentan es un mensaje de un trabajador del taller de mecánica y no de la aseguradora; b) no es correcto indicar que dieron cobertura, ya que el deducible debió ser 10% del valor de la reparación ; sin embargo según el presupuesto aprobado por ………………… cambian el deducible de forma unilateral y sin ninguna causal prevista en la póliza por un valor correspondiente al 20% del valor de la reparación; c) la aseguradora se ha negado a realizar una justa atención de su reclamo de acuerdo con los términos de la póliza, se ha dedicado a no brindar respuesta correcta los reclamos, ocultando las grabaciones, siendo que recién en la audiencia reconocieron su existencia; d) solo solicita la devolución del costo de reparación de su unidad, exonerando a ………………… de otros cargos adicionales en los que ha tenido que incurrir como asesoría legales; por lo que solicita dar respuesta al recurso impugnativo presentado.</w:t>
      </w:r>
    </w:p>
    <w:p w14:paraId="27AA8DD5" w14:textId="77777777" w:rsidR="00916028" w:rsidRPr="00916028" w:rsidRDefault="00916028" w:rsidP="00916028">
      <w:pPr>
        <w:spacing w:line="240" w:lineRule="auto"/>
        <w:jc w:val="both"/>
        <w:rPr>
          <w:rFonts w:ascii="Times New Roman" w:eastAsia="Arial Unicode MS" w:hAnsi="Times New Roman" w:cs="Times New Roman"/>
          <w:bCs/>
          <w:sz w:val="23"/>
          <w:szCs w:val="23"/>
          <w:lang w:val="es-MX" w:eastAsia="ar-SA"/>
        </w:rPr>
      </w:pPr>
      <w:r w:rsidRPr="00916028">
        <w:rPr>
          <w:rFonts w:ascii="Times New Roman" w:eastAsia="Arial Unicode MS" w:hAnsi="Times New Roman" w:cs="Times New Roman"/>
          <w:bCs/>
          <w:sz w:val="24"/>
          <w:szCs w:val="23"/>
          <w:lang w:val="es-MX" w:eastAsia="ar-SA"/>
        </w:rPr>
        <w:t>Que, atendiendo a lo expuesto, esta Defensoría resuelve finalmente lo siguiente:</w:t>
      </w:r>
    </w:p>
    <w:p w14:paraId="5CECB1D0" w14:textId="77777777" w:rsidR="00916028" w:rsidRPr="00916028" w:rsidRDefault="00916028" w:rsidP="00916028">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Primero: El Reglamento de la DEFASEG establece que la parte que no se encuentre de acuerdo con lo resuelto en su oportunidad podrá impugnarlo, interponiendo el correspondiente recurso. Conforme a ello, en el caso concreto, al interponer el Recurso de Impugnación la aseguradora ha ejercido formalmente su derecho a contradecir lo resuelto por la Defensoría.</w:t>
      </w:r>
    </w:p>
    <w:p w14:paraId="4A3E9E58" w14:textId="77777777" w:rsidR="00916028" w:rsidRPr="00916028" w:rsidRDefault="00916028" w:rsidP="00916028">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Segundo: Con relación a los argumentos expresados en el Recurso de Impugnación, este colegiado expresa lo siguiente:</w:t>
      </w:r>
    </w:p>
    <w:p w14:paraId="5F4D68EA" w14:textId="77777777" w:rsidR="00916028" w:rsidRPr="00916028" w:rsidRDefault="00916028" w:rsidP="00916028">
      <w:pPr>
        <w:spacing w:line="240" w:lineRule="auto"/>
        <w:jc w:val="both"/>
        <w:rPr>
          <w:rFonts w:ascii="Times New Roman" w:eastAsia="Arial Unicode MS" w:hAnsi="Times New Roman" w:cs="Times New Roman"/>
          <w:sz w:val="23"/>
          <w:szCs w:val="23"/>
          <w:lang w:val="es-ES" w:eastAsia="ar-SA"/>
        </w:rPr>
      </w:pPr>
    </w:p>
    <w:p w14:paraId="37BEB5C5" w14:textId="77777777" w:rsidR="00916028" w:rsidRPr="00916028" w:rsidRDefault="00916028" w:rsidP="00916028">
      <w:pPr>
        <w:numPr>
          <w:ilvl w:val="1"/>
          <w:numId w:val="41"/>
        </w:num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 señala que no rechazó el siniestro, y que la no cobertura se debió a que el asegurado no manifestó interés al no contestar los whatsapp; sin embargo, en sus descargos ratificó el rechazo de cobertura, lo que no resulta consistente con lo afirmado en su recurso impugnatorio. </w:t>
      </w:r>
    </w:p>
    <w:p w14:paraId="2A501B76" w14:textId="77777777" w:rsidR="00916028" w:rsidRPr="00916028" w:rsidRDefault="00916028" w:rsidP="00916028">
      <w:pPr>
        <w:spacing w:line="240" w:lineRule="auto"/>
        <w:jc w:val="both"/>
        <w:rPr>
          <w:rFonts w:ascii="Times New Roman" w:eastAsia="Arial Unicode MS" w:hAnsi="Times New Roman" w:cs="Times New Roman"/>
          <w:sz w:val="23"/>
          <w:szCs w:val="23"/>
          <w:lang w:val="es-ES" w:eastAsia="ar-SA"/>
        </w:rPr>
      </w:pPr>
      <w:r w:rsidRPr="00916028">
        <w:rPr>
          <w:rFonts w:ascii="Times New Roman" w:eastAsia="Arial Unicode MS" w:hAnsi="Times New Roman" w:cs="Times New Roman"/>
          <w:sz w:val="24"/>
          <w:szCs w:val="23"/>
          <w:lang w:val="es-ES" w:eastAsia="ar-SA"/>
        </w:rPr>
        <w:lastRenderedPageBreak/>
        <w:t>En efecto, si antes de la interposición del reclamo ante esta Defensoría, la aseguradora ya había aceptado dar cobertura, lo correcto hubiera sido afirmarlo en sus descargos y no reiterar los argumentos expuesto en su rechazo inicial.</w:t>
      </w:r>
    </w:p>
    <w:p w14:paraId="5E3A4FFD" w14:textId="77777777" w:rsidR="00916028" w:rsidRPr="00916028" w:rsidRDefault="00916028" w:rsidP="00916028">
      <w:pPr>
        <w:numPr>
          <w:ilvl w:val="1"/>
          <w:numId w:val="41"/>
        </w:num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Que si bien en la audiencia de vista la aseguradora reconoció que exoneró al reclamante de la denuncia policial, no se pronunció sobre el pedido del reclamante, referido en numeral 12 del octavo considerando de la Resolución Impugnada, conforme al cual se mantenía la controversia del reclamante respecto a que estarían aplicando un deducible del 20% no previsto en la póliza, ni informó que había cumplido con otorgar (pagar) la cobertura. Que fue debido a ello que este colegiado falló declarando fundado el reclamo y disponiendo que la aseguradora debía atender el siniestro de acuerdo con las condiciones de la póliza. </w:t>
      </w:r>
    </w:p>
    <w:p w14:paraId="7E1B79BE" w14:textId="77777777" w:rsidR="00916028" w:rsidRPr="00916028" w:rsidRDefault="00916028" w:rsidP="00916028">
      <w:pPr>
        <w:numPr>
          <w:ilvl w:val="1"/>
          <w:numId w:val="41"/>
        </w:numPr>
        <w:spacing w:line="240" w:lineRule="auto"/>
        <w:jc w:val="both"/>
        <w:rPr>
          <w:rFonts w:ascii="Times New Roman" w:eastAsia="Arial Unicode MS" w:hAnsi="Times New Roman" w:cs="Times New Roman"/>
          <w:sz w:val="23"/>
          <w:szCs w:val="23"/>
          <w:lang w:val="es-ES" w:eastAsia="ar-SA"/>
        </w:rPr>
      </w:pPr>
      <w:r w:rsidRPr="00916028">
        <w:rPr>
          <w:rFonts w:ascii="Times New Roman" w:eastAsia="Arial Unicode MS" w:hAnsi="Times New Roman" w:cs="Times New Roman"/>
          <w:sz w:val="24"/>
          <w:szCs w:val="23"/>
          <w:lang w:val="es-ES" w:eastAsia="ar-SA"/>
        </w:rPr>
        <w:t xml:space="preserve">Que al interponer el presente recurso impugnatorio la aseguradora no se pronuncia sobre el pago finalmente otorgado, ni sobre el monto del deducible, ni informa si ha cumplido con reembolsar el monto de los daños ocasionados con motivo del siniestro, pese a que señala que sí reconoció la cobertura inicialmente rechazada; limitándose a señalar que el reclamo debe ser infundado. </w:t>
      </w:r>
    </w:p>
    <w:p w14:paraId="7F1A703F" w14:textId="77777777" w:rsidR="00916028" w:rsidRPr="00916028" w:rsidRDefault="00916028" w:rsidP="00916028">
      <w:pPr>
        <w:numPr>
          <w:ilvl w:val="1"/>
          <w:numId w:val="41"/>
        </w:numPr>
        <w:spacing w:line="240" w:lineRule="auto"/>
        <w:jc w:val="both"/>
        <w:rPr>
          <w:rFonts w:ascii="Times New Roman" w:eastAsia="Arial Unicode MS" w:hAnsi="Times New Roman" w:cs="Times New Roman"/>
          <w:sz w:val="23"/>
          <w:szCs w:val="23"/>
          <w:lang w:val="es-ES" w:eastAsia="ar-SA"/>
        </w:rPr>
      </w:pPr>
      <w:r w:rsidRPr="00916028">
        <w:rPr>
          <w:rFonts w:ascii="Times New Roman" w:eastAsia="Arial Unicode MS" w:hAnsi="Times New Roman" w:cs="Times New Roman"/>
          <w:sz w:val="24"/>
          <w:szCs w:val="23"/>
          <w:lang w:val="es-ES" w:eastAsia="ar-SA"/>
        </w:rPr>
        <w:t>Que, no corresponde a esta Defensoría suplir las deficiencias probatorias de la aseguradora.</w:t>
      </w:r>
    </w:p>
    <w:p w14:paraId="25AED547" w14:textId="77777777" w:rsidR="00916028" w:rsidRPr="00916028" w:rsidRDefault="00916028" w:rsidP="00916028">
      <w:pPr>
        <w:spacing w:line="240" w:lineRule="auto"/>
        <w:jc w:val="both"/>
        <w:rPr>
          <w:rFonts w:ascii="Times New Roman" w:eastAsia="Arial Unicode MS" w:hAnsi="Times New Roman" w:cs="Times New Roman"/>
          <w:sz w:val="23"/>
          <w:szCs w:val="23"/>
          <w:lang w:val="es-ES" w:eastAsia="ar-SA"/>
        </w:rPr>
      </w:pPr>
      <w:r w:rsidRPr="00916028">
        <w:rPr>
          <w:rFonts w:ascii="Times New Roman" w:eastAsia="Arial Unicode MS" w:hAnsi="Times New Roman" w:cs="Times New Roman"/>
          <w:sz w:val="24"/>
          <w:szCs w:val="23"/>
          <w:lang w:val="es-ES" w:eastAsia="ar-SA"/>
        </w:rPr>
        <w:t>En atención a las consideraciones precedentes, este colegiado no aprecia mérito ni razón objetiva para revocar la resolución recurrida.</w:t>
      </w:r>
    </w:p>
    <w:p w14:paraId="163C8FAB" w14:textId="77777777" w:rsidR="00916028" w:rsidRPr="00916028" w:rsidRDefault="00916028" w:rsidP="00916028">
      <w:pPr>
        <w:spacing w:line="240" w:lineRule="auto"/>
        <w:jc w:val="both"/>
        <w:rPr>
          <w:rFonts w:ascii="Times New Roman" w:eastAsia="Arial Unicode MS" w:hAnsi="Times New Roman" w:cs="Times New Roman"/>
          <w:b/>
          <w:sz w:val="23"/>
          <w:szCs w:val="23"/>
          <w:lang w:val="es-ES" w:eastAsia="ar-SA"/>
        </w:rPr>
      </w:pPr>
      <w:r w:rsidRPr="00916028">
        <w:rPr>
          <w:rFonts w:ascii="Times New Roman" w:eastAsia="Arial Unicode MS" w:hAnsi="Times New Roman" w:cs="Times New Roman"/>
          <w:b/>
          <w:sz w:val="24"/>
          <w:szCs w:val="23"/>
          <w:lang w:val="es-ES" w:eastAsia="ar-SA"/>
        </w:rPr>
        <w:t>Resuelve:</w:t>
      </w:r>
    </w:p>
    <w:p w14:paraId="1DB68D44" w14:textId="47D37501" w:rsidR="00916028" w:rsidRPr="00916028" w:rsidRDefault="00916028" w:rsidP="00916028">
      <w:pPr>
        <w:spacing w:line="240" w:lineRule="auto"/>
        <w:jc w:val="both"/>
        <w:rPr>
          <w:rFonts w:ascii="Times New Roman" w:eastAsia="Arial Unicode MS" w:hAnsi="Times New Roman" w:cs="Times New Roman"/>
          <w:b/>
          <w:sz w:val="23"/>
          <w:szCs w:val="23"/>
          <w:lang w:val="es-ES" w:eastAsia="ar-SA"/>
        </w:rPr>
      </w:pPr>
      <w:r>
        <w:rPr>
          <w:rFonts w:ascii="Times New Roman" w:hAnsi="Times New Roman"/>
          <w:sz w:val="24"/>
        </w:rPr>
        <w:t xml:space="preserve">Declarar infundado el Recurso de Impugnación interpuesto y, por consiguiente, RATIFICAR la Resolución Nro. 155/24 que declaró FUNDADA la reclamación interpuesta sobre otorgamiento de cobertura, debiendo la aseguradora proceder con la atención del siniestro pagando o reembolsando el costo de la reparación realizada con motivo del siniestro ocurrido el 28 de enero de 2024 (si es que no lo hubiere realizado aun, en tanto hasta la fecha no ha sido acreditado ante esta Defensoría), descontando el deducible y considerando límites que pudieran corresponder, de acuerdo a las condiciones de la póliza contratada.</w:t>
      </w:r>
    </w:p>
    <w:p w14:paraId="51EDAB4B" w14:textId="07BD8E06" w:rsidR="00B32E8A" w:rsidRPr="00916028" w:rsidRDefault="0091528B" w:rsidP="007F2000">
      <w:pPr>
        <w:spacing w:line="240" w:lineRule="auto"/>
        <w:jc w:val="right"/>
        <w:rPr>
          <w:rFonts w:ascii="Times New Roman" w:hAnsi="Times New Roman" w:cs="Times New Roman"/>
          <w:sz w:val="23"/>
          <w:szCs w:val="23"/>
          <w:lang w:val="es-PE"/>
        </w:rPr>
      </w:pPr>
      <w:r w:rsidRPr="00916028">
        <w:rPr>
          <w:rFonts w:ascii="Times New Roman" w:eastAsia="Arial Unicode MS" w:hAnsi="Times New Roman" w:cs="Times New Roman"/>
          <w:sz w:val="24"/>
          <w:szCs w:val="23"/>
          <w:lang w:val="es-PE" w:eastAsia="ar-SA"/>
        </w:rPr>
        <w:t>Lima,</w:t>
      </w:r>
      <w:r w:rsidR="00774D05" w:rsidRPr="00916028">
        <w:rPr>
          <w:rFonts w:ascii="Times New Roman" w:eastAsia="Arial Unicode MS" w:hAnsi="Times New Roman" w:cs="Times New Roman"/>
          <w:sz w:val="24"/>
          <w:szCs w:val="23"/>
          <w:lang w:val="es-PE" w:eastAsia="ar-SA"/>
        </w:rPr>
        <w:t xml:space="preserve"> </w:t>
      </w:r>
      <w:r w:rsidR="001C0A05" w:rsidRPr="00916028">
        <w:rPr>
          <w:rFonts w:ascii="Times New Roman" w:eastAsia="Arial Unicode MS" w:hAnsi="Times New Roman" w:cs="Times New Roman"/>
          <w:sz w:val="24"/>
          <w:szCs w:val="23"/>
          <w:lang w:val="es-PE" w:eastAsia="ar-SA"/>
        </w:rPr>
        <w:t>30</w:t>
      </w:r>
      <w:r w:rsidR="00B8209E" w:rsidRPr="00916028">
        <w:rPr>
          <w:rFonts w:ascii="Times New Roman" w:eastAsia="Arial Unicode MS" w:hAnsi="Times New Roman" w:cs="Times New Roman"/>
          <w:sz w:val="24"/>
          <w:szCs w:val="23"/>
          <w:lang w:val="es-PE" w:eastAsia="ar-SA"/>
        </w:rPr>
        <w:t xml:space="preserve"> </w:t>
      </w:r>
      <w:r w:rsidR="00707C99" w:rsidRPr="00916028">
        <w:rPr>
          <w:rFonts w:ascii="Times New Roman" w:eastAsia="Arial Unicode MS" w:hAnsi="Times New Roman" w:cs="Times New Roman"/>
          <w:sz w:val="24"/>
          <w:szCs w:val="23"/>
          <w:lang w:val="es-PE" w:eastAsia="ar-SA"/>
        </w:rPr>
        <w:t xml:space="preserve">de </w:t>
      </w:r>
      <w:r w:rsidR="008D26BA" w:rsidRPr="00916028">
        <w:rPr>
          <w:rFonts w:ascii="Times New Roman" w:eastAsia="Arial Unicode MS" w:hAnsi="Times New Roman" w:cs="Times New Roman"/>
          <w:sz w:val="24"/>
          <w:szCs w:val="23"/>
          <w:lang w:val="es-PE" w:eastAsia="ar-SA"/>
        </w:rPr>
        <w:t>mayo</w:t>
      </w:r>
      <w:r w:rsidR="002F478E" w:rsidRPr="00916028">
        <w:rPr>
          <w:rFonts w:ascii="Times New Roman" w:eastAsia="Arial Unicode MS" w:hAnsi="Times New Roman" w:cs="Times New Roman"/>
          <w:sz w:val="24"/>
          <w:szCs w:val="23"/>
          <w:lang w:val="es-PE" w:eastAsia="ar-SA"/>
        </w:rPr>
        <w:t xml:space="preserve"> </w:t>
      </w:r>
      <w:r w:rsidR="00F06498" w:rsidRPr="00916028">
        <w:rPr>
          <w:rFonts w:ascii="Times New Roman" w:eastAsia="Arial Unicode MS" w:hAnsi="Times New Roman" w:cs="Times New Roman"/>
          <w:sz w:val="24"/>
          <w:szCs w:val="23"/>
          <w:lang w:val="es-PE" w:eastAsia="ar-SA"/>
        </w:rPr>
        <w:t>de 202</w:t>
      </w:r>
      <w:r w:rsidR="00AE4D37" w:rsidRPr="00916028">
        <w:rPr>
          <w:rFonts w:ascii="Times New Roman" w:eastAsia="Arial Unicode MS" w:hAnsi="Times New Roman" w:cs="Times New Roman"/>
          <w:sz w:val="24"/>
          <w:szCs w:val="23"/>
          <w:lang w:val="es-PE" w:eastAsia="ar-SA"/>
        </w:rPr>
        <w:t>5</w:t>
      </w:r>
      <w:r w:rsidR="00707C99" w:rsidRPr="00916028">
        <w:rPr>
          <w:rFonts w:ascii="Times New Roman" w:eastAsia="Times New Roman" w:hAnsi="Times New Roman" w:cs="Times New Roman"/>
          <w:sz w:val="24"/>
          <w:szCs w:val="23"/>
          <w:lang w:val="es-PE" w:eastAsia="ar-SA"/>
        </w:rPr>
        <w:t xml:space="preserve"> </w:t>
      </w:r>
    </w:p>
    <w:p w14:paraId="1B6988F6" w14:textId="77777777" w:rsidR="00A323F4" w:rsidRPr="00916028" w:rsidRDefault="00A323F4" w:rsidP="00A323F4">
      <w:pPr>
        <w:spacing w:after="0" w:line="240" w:lineRule="auto"/>
        <w:jc w:val="both"/>
        <w:rPr>
          <w:rFonts w:ascii="Times New Roman" w:hAnsi="Times New Roman" w:cs="Times New Roman"/>
          <w:b/>
          <w:bCs/>
          <w:i/>
          <w:iCs/>
          <w:sz w:val="23"/>
          <w:szCs w:val="23"/>
          <w:lang w:val="es-PE"/>
        </w:rPr>
      </w:pPr>
      <w:r w:rsidRPr="00916028">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14:paraId="2B24FCBE" w14:textId="77777777" w:rsidR="008D26BA" w:rsidRPr="00916028" w:rsidRDefault="008D26BA" w:rsidP="00A323F4">
      <w:pPr>
        <w:spacing w:after="0" w:line="360" w:lineRule="auto"/>
        <w:jc w:val="both"/>
        <w:rPr>
          <w:rFonts w:ascii="Times New Roman" w:hAnsi="Times New Roman" w:cs="Times New Roman"/>
          <w:b/>
          <w:bCs/>
          <w:i/>
          <w:iCs/>
          <w:sz w:val="23"/>
          <w:szCs w:val="23"/>
          <w:lang w:val="es-PE"/>
        </w:rPr>
      </w:pPr>
    </w:p>
    <w:p w14:paraId="220AA7AD" w14:textId="4331E0E4" w:rsidR="007543CD" w:rsidRPr="00916028" w:rsidRDefault="008D26BA" w:rsidP="008D26BA">
      <w:pPr>
        <w:spacing w:after="0" w:line="360" w:lineRule="auto"/>
        <w:jc w:val="center"/>
        <w:rPr>
          <w:rFonts w:ascii="Times New Roman" w:hAnsi="Times New Roman" w:cs="Times New Roman"/>
          <w:b/>
          <w:bCs/>
          <w:sz w:val="23"/>
          <w:szCs w:val="23"/>
          <w:lang w:val="es-PE"/>
        </w:rPr>
      </w:pPr>
      <w:r w:rsidRPr="00916028">
        <w:rPr>
          <w:rFonts w:ascii="Times New Roman" w:hAnsi="Times New Roman" w:cs="Times New Roman"/>
          <w:b/>
          <w:bCs/>
          <w:sz w:val="24"/>
          <w:szCs w:val="23"/>
          <w:lang w:val="es-PE"/>
        </w:rPr>
        <w:t xml:space="preserve">Rolando Eyzaguirre </w:t>
      </w:r>
      <w:proofErr w:type="spellStart"/>
      <w:r w:rsidRPr="00916028">
        <w:rPr>
          <w:rFonts w:ascii="Times New Roman" w:hAnsi="Times New Roman" w:cs="Times New Roman"/>
          <w:b/>
          <w:bCs/>
          <w:sz w:val="24"/>
          <w:szCs w:val="23"/>
          <w:lang w:val="es-PE"/>
        </w:rPr>
        <w:t>Maccan</w:t>
      </w:r>
      <w:proofErr w:type="spellEnd"/>
      <w:r w:rsidRPr="00916028">
        <w:rPr>
          <w:rFonts w:ascii="Times New Roman" w:hAnsi="Times New Roman" w:cs="Times New Roman"/>
          <w:b/>
          <w:bCs/>
          <w:sz w:val="24"/>
          <w:szCs w:val="23"/>
          <w:lang w:val="es-PE"/>
        </w:rPr>
        <w:t xml:space="preserve"> </w:t>
      </w:r>
      <w:r w:rsidR="007543CD" w:rsidRPr="00916028">
        <w:rPr>
          <w:rFonts w:ascii="Times New Roman" w:hAnsi="Times New Roman" w:cs="Times New Roman"/>
          <w:b/>
          <w:bCs/>
          <w:sz w:val="24"/>
          <w:szCs w:val="23"/>
          <w:lang w:val="es-PE"/>
        </w:rPr>
        <w:t xml:space="preserve">– </w:t>
      </w:r>
      <w:proofErr w:type="gramStart"/>
      <w:r w:rsidR="007543CD" w:rsidRPr="00916028">
        <w:rPr>
          <w:rFonts w:ascii="Times New Roman" w:hAnsi="Times New Roman" w:cs="Times New Roman"/>
          <w:b/>
          <w:bCs/>
          <w:sz w:val="24"/>
          <w:szCs w:val="23"/>
          <w:lang w:val="es-PE"/>
        </w:rPr>
        <w:t>Presidente</w:t>
      </w:r>
      <w:proofErr w:type="gramEnd"/>
    </w:p>
    <w:p w14:paraId="5B7063E0" w14:textId="43329098" w:rsidR="008D26BA" w:rsidRPr="00916028" w:rsidRDefault="008D26BA" w:rsidP="008D26BA">
      <w:pPr>
        <w:spacing w:after="0" w:line="360" w:lineRule="auto"/>
        <w:jc w:val="center"/>
        <w:rPr>
          <w:rFonts w:ascii="Times New Roman" w:hAnsi="Times New Roman" w:cs="Times New Roman"/>
          <w:b/>
          <w:bCs/>
          <w:sz w:val="23"/>
          <w:szCs w:val="23"/>
          <w:lang w:val="es-PE"/>
        </w:rPr>
      </w:pPr>
      <w:r w:rsidRPr="00916028">
        <w:rPr>
          <w:rFonts w:ascii="Times New Roman" w:hAnsi="Times New Roman" w:cs="Times New Roman"/>
          <w:b/>
          <w:bCs/>
          <w:sz w:val="24"/>
          <w:szCs w:val="23"/>
          <w:lang w:val="es-PE"/>
        </w:rPr>
        <w:t>María Eugenia Valdez Fernández Baca – Vocal</w:t>
      </w:r>
    </w:p>
    <w:p w14:paraId="69BFE54F" w14:textId="628D5C27" w:rsidR="007543CD" w:rsidRPr="00916028" w:rsidRDefault="001B08C0" w:rsidP="007543CD">
      <w:pPr>
        <w:spacing w:after="0" w:line="360" w:lineRule="auto"/>
        <w:jc w:val="center"/>
        <w:rPr>
          <w:rFonts w:ascii="Times New Roman" w:hAnsi="Times New Roman" w:cs="Times New Roman"/>
          <w:sz w:val="23"/>
          <w:szCs w:val="23"/>
          <w:lang w:val="es-PE"/>
        </w:rPr>
      </w:pPr>
      <w:r w:rsidRPr="00916028">
        <w:rPr>
          <w:rFonts w:ascii="Times New Roman" w:hAnsi="Times New Roman" w:cs="Times New Roman"/>
          <w:b/>
          <w:bCs/>
          <w:sz w:val="24"/>
          <w:szCs w:val="23"/>
        </w:rPr>
        <w:t>Antonio José Rodríguez Lobatón</w:t>
      </w:r>
      <w:r w:rsidRPr="00916028">
        <w:rPr>
          <w:rFonts w:ascii="Times New Roman" w:hAnsi="Times New Roman" w:cs="Times New Roman"/>
          <w:b/>
          <w:bCs/>
          <w:sz w:val="24"/>
          <w:szCs w:val="23"/>
          <w:lang w:val="es-PE"/>
        </w:rPr>
        <w:t xml:space="preserve"> </w:t>
      </w:r>
      <w:r w:rsidR="007543CD" w:rsidRPr="00916028">
        <w:rPr>
          <w:rFonts w:ascii="Times New Roman" w:hAnsi="Times New Roman" w:cs="Times New Roman"/>
          <w:b/>
          <w:bCs/>
          <w:sz w:val="24"/>
          <w:szCs w:val="23"/>
          <w:lang w:val="es-PE"/>
        </w:rPr>
        <w:t>– Vocal</w:t>
      </w:r>
    </w:p>
    <w:p w14:paraId="412CCBAA" w14:textId="77777777" w:rsidR="00986F0C" w:rsidRPr="001B08C0"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E30B3A"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0B2CB1"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0B2CB1"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50B6D" w14:textId="77777777" w:rsidR="00BF7815" w:rsidRDefault="00BF7815" w:rsidP="00784355">
      <w:pPr>
        <w:spacing w:after="0" w:line="240" w:lineRule="auto"/>
      </w:pPr>
      <w:r>
        <w:separator/>
      </w:r>
    </w:p>
  </w:endnote>
  <w:endnote w:type="continuationSeparator" w:id="0">
    <w:p w14:paraId="084AF824" w14:textId="77777777" w:rsidR="00BF7815" w:rsidRDefault="00BF7815"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F730C" w14:textId="77777777" w:rsidR="00BF7815" w:rsidRDefault="00BF7815" w:rsidP="00784355">
      <w:pPr>
        <w:spacing w:after="0" w:line="240" w:lineRule="auto"/>
      </w:pPr>
      <w:r>
        <w:separator/>
      </w:r>
    </w:p>
  </w:footnote>
  <w:footnote w:type="continuationSeparator" w:id="0">
    <w:p w14:paraId="72F0D2F7" w14:textId="77777777" w:rsidR="00BF7815" w:rsidRDefault="00BF7815"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3EE9"/>
    <w:rsid w:val="001B58A3"/>
    <w:rsid w:val="001B75E0"/>
    <w:rsid w:val="001C052B"/>
    <w:rsid w:val="001C0A05"/>
    <w:rsid w:val="001C3A70"/>
    <w:rsid w:val="001D0EED"/>
    <w:rsid w:val="001D59D9"/>
    <w:rsid w:val="001D6136"/>
    <w:rsid w:val="001E119C"/>
    <w:rsid w:val="001E1C8C"/>
    <w:rsid w:val="001E6657"/>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09AB"/>
    <w:rsid w:val="002830BC"/>
    <w:rsid w:val="00283E79"/>
    <w:rsid w:val="00286C15"/>
    <w:rsid w:val="00290CA4"/>
    <w:rsid w:val="00294D98"/>
    <w:rsid w:val="00295828"/>
    <w:rsid w:val="0029673E"/>
    <w:rsid w:val="002A31D3"/>
    <w:rsid w:val="002A3D36"/>
    <w:rsid w:val="002A7E2E"/>
    <w:rsid w:val="002B1654"/>
    <w:rsid w:val="002B726E"/>
    <w:rsid w:val="002C2A0F"/>
    <w:rsid w:val="002C2CEC"/>
    <w:rsid w:val="002C6367"/>
    <w:rsid w:val="002C7B9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31C1D"/>
    <w:rsid w:val="0064374C"/>
    <w:rsid w:val="006442E0"/>
    <w:rsid w:val="0064607A"/>
    <w:rsid w:val="00647AEA"/>
    <w:rsid w:val="00652672"/>
    <w:rsid w:val="00654FC9"/>
    <w:rsid w:val="0065542B"/>
    <w:rsid w:val="00655834"/>
    <w:rsid w:val="0065594D"/>
    <w:rsid w:val="00655A90"/>
    <w:rsid w:val="00655BA3"/>
    <w:rsid w:val="006578A4"/>
    <w:rsid w:val="00657AD2"/>
    <w:rsid w:val="00660D6F"/>
    <w:rsid w:val="00660E60"/>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1A01"/>
    <w:rsid w:val="00743BA7"/>
    <w:rsid w:val="00744447"/>
    <w:rsid w:val="00744789"/>
    <w:rsid w:val="007543CD"/>
    <w:rsid w:val="00761F1D"/>
    <w:rsid w:val="007703E9"/>
    <w:rsid w:val="007708AB"/>
    <w:rsid w:val="00771625"/>
    <w:rsid w:val="00772376"/>
    <w:rsid w:val="00774D05"/>
    <w:rsid w:val="00775711"/>
    <w:rsid w:val="0077599F"/>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0698B"/>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55D6"/>
    <w:rsid w:val="00CF6484"/>
    <w:rsid w:val="00CF7839"/>
    <w:rsid w:val="00CF78D3"/>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6210909-FEA0-4910-AD79-2955C1D5CA93}"/>
</file>

<file path=customXml/itemProps3.xml><?xml version="1.0" encoding="utf-8"?>
<ds:datastoreItem xmlns:ds="http://schemas.openxmlformats.org/officeDocument/2006/customXml" ds:itemID="{4442A0D0-516A-4A02-B090-9C7C5ACD551D}"/>
</file>

<file path=customXml/itemProps4.xml><?xml version="1.0" encoding="utf-8"?>
<ds:datastoreItem xmlns:ds="http://schemas.openxmlformats.org/officeDocument/2006/customXml" ds:itemID="{9A7AAEE1-5F66-4FF8-A152-88D0573EF19D}"/>
</file>

<file path=docProps/app.xml><?xml version="1.0" encoding="utf-8"?>
<Properties xmlns="http://schemas.openxmlformats.org/officeDocument/2006/extended-properties" xmlns:vt="http://schemas.openxmlformats.org/officeDocument/2006/docPropsVTypes">
  <Template>Normal</Template>
  <TotalTime>274</TotalTime>
  <Pages>2</Pages>
  <Words>888</Words>
  <Characters>4884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340</cp:revision>
  <cp:lastPrinted>2025-06-06T16:05:00Z</cp:lastPrinted>
  <dcterms:created xsi:type="dcterms:W3CDTF">2023-02-14T22:37:00Z</dcterms:created>
  <dcterms:modified xsi:type="dcterms:W3CDTF">2025-06-06T16:05:00Z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