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5473CCEC" w:rsidR="005A2497" w:rsidRPr="00236B66" w:rsidRDefault="00201C0D" w:rsidP="005A2497">
      <w:pPr>
        <w:spacing w:after="0" w:line="240" w:lineRule="auto"/>
        <w:jc w:val="center"/>
        <w:rPr>
          <w:rFonts w:ascii="Times New Roman" w:hAnsi="Times New Roman" w:cs="Times New Roman"/>
          <w:b/>
          <w:lang w:val="es-PE" w:eastAsia="ar-SA"/>
        </w:rPr>
      </w:pPr>
      <w:r w:rsidRPr="00236B66">
        <w:rPr>
          <w:rFonts w:ascii="Times New Roman" w:hAnsi="Times New Roman" w:cs="Times New Roman"/>
          <w:b/>
          <w:sz w:val="24"/>
          <w:lang w:val="es-PE" w:eastAsia="ar-SA"/>
        </w:rPr>
        <w:t xml:space="preserve">RESOLUCIÓN DE RECURSO IMPUGNATIVO </w:t>
      </w:r>
      <w:r w:rsidR="00707C99" w:rsidRPr="00236B66">
        <w:rPr>
          <w:rFonts w:ascii="Times New Roman" w:hAnsi="Times New Roman" w:cs="Times New Roman"/>
          <w:b/>
          <w:sz w:val="24"/>
          <w:lang w:val="es-PE" w:eastAsia="ar-SA"/>
        </w:rPr>
        <w:t xml:space="preserve">N° </w:t>
      </w:r>
      <w:r w:rsidR="00516293" w:rsidRPr="00236B66">
        <w:rPr>
          <w:rFonts w:ascii="Times New Roman" w:hAnsi="Times New Roman" w:cs="Times New Roman"/>
          <w:b/>
          <w:sz w:val="24"/>
          <w:lang w:val="es-PE" w:eastAsia="ar-SA"/>
        </w:rPr>
        <w:t>0</w:t>
      </w:r>
      <w:r w:rsidR="00D26530" w:rsidRPr="00236B66">
        <w:rPr>
          <w:rFonts w:ascii="Times New Roman" w:hAnsi="Times New Roman" w:cs="Times New Roman"/>
          <w:b/>
          <w:sz w:val="24"/>
          <w:lang w:val="es-PE" w:eastAsia="ar-SA"/>
        </w:rPr>
        <w:t>2</w:t>
      </w:r>
      <w:r w:rsidR="00714C48" w:rsidRPr="00236B66">
        <w:rPr>
          <w:rFonts w:ascii="Times New Roman" w:hAnsi="Times New Roman" w:cs="Times New Roman"/>
          <w:b/>
          <w:sz w:val="24"/>
          <w:lang w:val="es-PE" w:eastAsia="ar-SA"/>
        </w:rPr>
        <w:t>4</w:t>
      </w:r>
      <w:r w:rsidR="00C671F5" w:rsidRPr="00236B66">
        <w:rPr>
          <w:rFonts w:ascii="Times New Roman" w:hAnsi="Times New Roman" w:cs="Times New Roman"/>
          <w:b/>
          <w:sz w:val="24"/>
          <w:lang w:val="es-PE" w:eastAsia="ar-SA"/>
        </w:rPr>
        <w:t>/2</w:t>
      </w:r>
      <w:r w:rsidR="00A74F96" w:rsidRPr="00236B66">
        <w:rPr>
          <w:rFonts w:ascii="Times New Roman" w:hAnsi="Times New Roman" w:cs="Times New Roman"/>
          <w:b/>
          <w:sz w:val="24"/>
          <w:lang w:val="es-PE" w:eastAsia="ar-SA"/>
        </w:rPr>
        <w:t>5</w:t>
      </w:r>
    </w:p>
    <w:p w14:paraId="56DB191C" w14:textId="77777777" w:rsidR="005A2497" w:rsidRPr="00236B66" w:rsidRDefault="005A2497" w:rsidP="00236B66">
      <w:pPr>
        <w:spacing w:after="0" w:line="240" w:lineRule="auto"/>
        <w:jc w:val="both"/>
        <w:rPr>
          <w:rFonts w:ascii="Times New Roman" w:hAnsi="Times New Roman" w:cs="Times New Roman"/>
          <w:b/>
          <w:lang w:val="es-PE" w:eastAsia="ar-SA"/>
        </w:rPr>
      </w:pPr>
    </w:p>
    <w:p w14:paraId="51FB4E63" w14:textId="77777777" w:rsidR="00236B66" w:rsidRPr="00236B66" w:rsidRDefault="00236B66" w:rsidP="00236B66">
      <w:pPr>
        <w:spacing w:line="240" w:lineRule="auto"/>
        <w:jc w:val="both"/>
        <w:rPr>
          <w:rFonts w:ascii="Times New Roman" w:eastAsia="Arial Unicode MS" w:hAnsi="Times New Roman" w:cs="Times New Roman"/>
          <w:b/>
          <w:bCs/>
          <w:lang w:val="es-MX" w:eastAsia="ar-SA"/>
        </w:rPr>
      </w:pPr>
      <w:r w:rsidRPr="00236B66">
        <w:rPr>
          <w:rFonts w:ascii="Times New Roman" w:eastAsia="Arial Unicode MS" w:hAnsi="Times New Roman" w:cs="Times New Roman"/>
          <w:b/>
          <w:bCs/>
          <w:sz w:val="24"/>
          <w:lang w:val="es-MX" w:eastAsia="ar-SA"/>
        </w:rPr>
        <w:t>VISTOS:</w:t>
      </w:r>
    </w:p>
    <w:p w14:paraId="30FB11CB" w14:textId="77777777" w:rsidR="00236B66" w:rsidRPr="00236B66" w:rsidRDefault="00236B66" w:rsidP="00236B66">
      <w:pPr>
        <w:spacing w:line="240" w:lineRule="auto"/>
        <w:jc w:val="both"/>
        <w:rPr>
          <w:rFonts w:ascii="Times New Roman" w:eastAsia="Arial Unicode MS" w:hAnsi="Times New Roman" w:cs="Times New Roman"/>
          <w:lang w:val="es-PE" w:eastAsia="ar-SA"/>
        </w:rPr>
      </w:pPr>
      <w:r>
        <w:rPr>
          <w:rFonts w:ascii="Times New Roman" w:hAnsi="Times New Roman"/>
          <w:sz w:val="24"/>
        </w:rPr>
        <w:t xml:space="preserve">El Recurso de Impugnación presentado por ………………… respecto de la Resolución Nro. 055/25 de fecha 08 de abril de 2025, expedida por la DEFASEG, conforme a la cual se declaró FUNDADA la reclamación interpuesta por don………………… ………………… respecto de la Póliza de Desgravamen contratada por quien fuera su madre doña…………………, ocurrido el 08 de julio de 2024;</w:t>
      </w:r>
    </w:p>
    <w:p w14:paraId="68196910" w14:textId="1ECE3912" w:rsidR="00236B66" w:rsidRPr="00236B66" w:rsidRDefault="00236B66" w:rsidP="00236B66">
      <w:pPr>
        <w:spacing w:line="240" w:lineRule="auto"/>
        <w:jc w:val="both"/>
        <w:rPr>
          <w:rFonts w:ascii="Times New Roman" w:eastAsia="Arial Unicode MS" w:hAnsi="Times New Roman" w:cs="Times New Roman"/>
          <w:bCs/>
          <w:lang w:val="es-PE" w:eastAsia="ar-SA"/>
        </w:rPr>
      </w:pPr>
      <w:r>
        <w:rPr>
          <w:rFonts w:ascii="Times New Roman" w:hAnsi="Times New Roman"/>
          <w:sz w:val="24"/>
        </w:rPr>
        <w:t xml:space="preserve">Que, el indicado recurso se sustenta en los mismos argumentos expresados al presentar sus descargos, los cuales resumimos a continuación: a) rechazaron la solicitud toda vez que la aseguradora falleció de cáncer de mama, siendo esta una enfermedad preexistente a la contratación del seguro, lo cual ha sido reconocido por la Resolución Impugnada; por lo que solicitan se tenga en cuenta este hecho; b) señalan que el reclamante ha adjuntado la póliza de desgravamen por lo que se puede deducir que se tuvo conocimiento de la exclusión por preexistencia; por lo que el reclamo debe ser declarado infundado.</w:t>
      </w:r>
    </w:p>
    <w:p w14:paraId="0DF16DC0" w14:textId="414D7118" w:rsidR="00236B66" w:rsidRPr="00236B66" w:rsidRDefault="00236B66" w:rsidP="00236B66">
      <w:pPr>
        <w:spacing w:line="240" w:lineRule="auto"/>
        <w:jc w:val="both"/>
        <w:rPr>
          <w:rFonts w:ascii="Times New Roman" w:eastAsia="Arial Unicode MS" w:hAnsi="Times New Roman" w:cs="Times New Roman"/>
          <w:bCs/>
          <w:lang w:val="es-MX" w:eastAsia="ar-SA"/>
        </w:rPr>
      </w:pPr>
      <w:r>
        <w:rPr>
          <w:rFonts w:ascii="Times New Roman" w:hAnsi="Times New Roman"/>
          <w:sz w:val="24"/>
        </w:rPr>
        <w:t xml:space="preserve">Que, con fecha 27 de abril de 2025 el reclamante absolvió el traslado de la señalada impugnación señalando resumidamente lo siguiente: a) que la resolución materia de reconsideración señala en forma concreta que de acreditarse la entrega del certificado de seguro podría variar el sentido de la resolución; b) que lo expuesto por la parte impugnante demuestra el desconocimiento y análisis incorrecto de los hechos, toda vez que la póliza que acompañó a su reclamo, fue remitida por la misma empresa …………………, documento que no contaba ni con la firma del  asegurado, ni con fecha, ni con dato alguno; c) que la aseguradora no ha cumplido con acompañar el certificado de seguro con la firma del asegurado, por lo que soliciten que el recurso impugnatorio sea desestimado.</w:t>
      </w:r>
    </w:p>
    <w:p w14:paraId="241E4D01" w14:textId="0979AC6B" w:rsidR="00236B66" w:rsidRPr="00236B66" w:rsidRDefault="00236B66" w:rsidP="00236B66">
      <w:pPr>
        <w:spacing w:line="240" w:lineRule="auto"/>
        <w:jc w:val="both"/>
        <w:rPr>
          <w:rFonts w:ascii="Times New Roman" w:eastAsia="Arial Unicode MS" w:hAnsi="Times New Roman" w:cs="Times New Roman"/>
          <w:bCs/>
          <w:lang w:val="es-MX" w:eastAsia="ar-SA"/>
        </w:rPr>
      </w:pPr>
      <w:proofErr w:type="gramStart"/>
      <w:r w:rsidRPr="00236B66">
        <w:rPr>
          <w:rFonts w:ascii="Times New Roman" w:eastAsia="Arial Unicode MS" w:hAnsi="Times New Roman" w:cs="Times New Roman"/>
          <w:bCs/>
          <w:sz w:val="24"/>
          <w:lang w:val="es-MX" w:eastAsia="ar-SA"/>
        </w:rPr>
        <w:t>Que</w:t>
      </w:r>
      <w:proofErr w:type="gramEnd"/>
      <w:r w:rsidRPr="00236B66">
        <w:rPr>
          <w:rFonts w:ascii="Times New Roman" w:eastAsia="Arial Unicode MS" w:hAnsi="Times New Roman" w:cs="Times New Roman"/>
          <w:bCs/>
          <w:sz w:val="24"/>
          <w:lang w:val="es-MX" w:eastAsia="ar-SA"/>
        </w:rPr>
        <w:t xml:space="preserve"> atendiendo al estado del proceso, corresponde que este colegiado expida su pronunciamiento basado en las pruebas que obran en el expediente.</w:t>
      </w:r>
    </w:p>
    <w:p w14:paraId="05DC5D56" w14:textId="0C242508" w:rsidR="00236B66" w:rsidRPr="00236B66" w:rsidRDefault="00236B66" w:rsidP="00236B66">
      <w:pPr>
        <w:spacing w:line="240" w:lineRule="auto"/>
        <w:jc w:val="both"/>
        <w:rPr>
          <w:rFonts w:ascii="Times New Roman" w:eastAsia="Arial Unicode MS" w:hAnsi="Times New Roman" w:cs="Times New Roman"/>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14:paraId="6AFBE352" w14:textId="244A302F" w:rsidR="00236B66" w:rsidRPr="00236B66" w:rsidRDefault="00236B66" w:rsidP="00236B66">
      <w:pPr>
        <w:spacing w:line="240" w:lineRule="auto"/>
        <w:jc w:val="both"/>
        <w:rPr>
          <w:rFonts w:ascii="Times New Roman" w:eastAsia="Arial Unicode MS" w:hAnsi="Times New Roman" w:cs="Times New Roman"/>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esta Defensoría .</w:t>
      </w:r>
    </w:p>
    <w:p w14:paraId="02535E8C" w14:textId="352C7857" w:rsidR="00236B66" w:rsidRPr="00236B66" w:rsidRDefault="00236B66" w:rsidP="00236B66">
      <w:pPr>
        <w:spacing w:line="240" w:lineRule="auto"/>
        <w:jc w:val="both"/>
        <w:rPr>
          <w:rFonts w:ascii="Times New Roman" w:eastAsia="Arial Unicode MS" w:hAnsi="Times New Roman" w:cs="Times New Roman"/>
          <w:bCs/>
          <w:lang w:val="es-PE" w:eastAsia="ar-SA"/>
        </w:rPr>
      </w:pPr>
      <w:r>
        <w:rPr>
          <w:rFonts w:ascii="Times New Roman" w:hAnsi="Times New Roman"/>
          <w:sz w:val="24"/>
        </w:rPr>
        <w:t xml:space="preserve">SEGUNDO: Atendiendo a los fundamentos de la impugnación interpuesta, se aprecia que ………………… manifiesta su discrepancia con lo resuelto, reiterando su posición, no presentando argumentos nuevos, ni suficientes, ni prueba adicional alguna que permita a este colegiado apreciar y concluir que ha incurrido en error y que, por consiguiente, corresponde revocar lo resuelto.  </w:t>
      </w:r>
    </w:p>
    <w:p w14:paraId="7A913B8E" w14:textId="4FCCBCFA" w:rsidR="00236B66" w:rsidRPr="00236B66" w:rsidRDefault="00236B66" w:rsidP="00236B66">
      <w:pPr>
        <w:spacing w:line="240" w:lineRule="auto"/>
        <w:jc w:val="both"/>
        <w:rPr>
          <w:rFonts w:ascii="Times New Roman" w:eastAsia="Arial Unicode MS" w:hAnsi="Times New Roman" w:cs="Times New Roman"/>
          <w:bCs/>
          <w:lang w:val="es-PE" w:eastAsia="ar-SA"/>
        </w:rPr>
      </w:pPr>
      <w:r>
        <w:rPr>
          <w:rFonts w:ascii="Times New Roman" w:hAnsi="Times New Roman"/>
          <w:sz w:val="24"/>
        </w:rPr>
        <w:t xml:space="preserve">Es más, llama la atención que, tratándose de un recurso impugnativo, donde el argumento en el cual se basa la resolución  para declarar fundado el reclamo fue que no se presentó el certificado de seguro suscrito por la asegurada o documento que acredita que las exclusiones fueron puestas en conocimiento de la asegurada, ………………… se limita a señalar que como el reclamante presentó la póliza se puede “deducir” que se tuvo conocimiento de la exclusión por preexistencia, limitándose a reiterar argumentos que ya han sido desestimados. </w:t>
      </w:r>
    </w:p>
    <w:p w14:paraId="07EA27AF" w14:textId="6478B58F" w:rsidR="00236B66" w:rsidRPr="00236B66" w:rsidRDefault="00236B66" w:rsidP="00236B66">
      <w:pPr>
        <w:spacing w:line="240" w:lineRule="auto"/>
        <w:jc w:val="both"/>
        <w:rPr>
          <w:rFonts w:ascii="Times New Roman" w:eastAsia="Arial Unicode MS" w:hAnsi="Times New Roman" w:cs="Times New Roman"/>
          <w:bCs/>
          <w:lang w:val="es-PE" w:eastAsia="ar-SA"/>
        </w:rPr>
      </w:pPr>
      <w:r>
        <w:rPr>
          <w:rFonts w:ascii="Times New Roman" w:hAnsi="Times New Roman"/>
          <w:sz w:val="24"/>
        </w:rPr>
        <w:t xml:space="preserve">Mas aun, …………………, no se ha pronunciado sobre la siguiente consideración  (numeral 6.2) contenida en la Resolución Impugnada:</w:t>
      </w:r>
    </w:p>
    <w:p w14:paraId="6E019C85" w14:textId="531BA6E0" w:rsidR="00236B66" w:rsidRPr="00236B66" w:rsidRDefault="00236B66" w:rsidP="00236B66">
      <w:pPr>
        <w:spacing w:line="240" w:lineRule="auto"/>
        <w:jc w:val="both"/>
        <w:rPr>
          <w:rFonts w:ascii="Times New Roman" w:eastAsia="Arial Unicode MS" w:hAnsi="Times New Roman" w:cs="Times New Roman"/>
          <w:i/>
          <w:iCs/>
          <w:lang w:val="es-PE" w:eastAsia="ar-SA"/>
        </w:rPr>
      </w:pPr>
      <w:r>
        <w:rPr>
          <w:rFonts w:ascii="Times New Roman" w:hAnsi="Times New Roman"/>
          <w:sz w:val="24"/>
        </w:rPr>
        <w:t xml:space="preserve">“6.2. 	En el caso concreto, ………………… no ha presentado la póliza, ni el certificado de seguro suscrito por la asegurada. Por su parte el reclamante, ha presentado un certificado de seguro que le fue entregado por la aseguradora junto a la Carta de Rechazo, pero sin nombre, ni firma, que además lleva a pie de página la anotación agosto 2019 (es decir correspondería a una versión posterior a la contratación del seguro), lo que no permite a este colegiado verificar la existencia del pacto contractual (la exclusión) invocada. Por lo que la compañía de seguros no ha demostrado la existencia del pacto contractual, ni que la asegurada conoció de la exclusión de manera previa a la generación del siniestro y solicitud de cobertura.  En consecuencia, en la hipótesis que la exclusión invocada constase ciertamente en el contrato de seguro, la misma no podría ser opuesta exitosamente por ………………… a la reclamante, si es que no se acredita la entrega del certificado de seguro.</w:t>
      </w:r>
    </w:p>
    <w:p w14:paraId="4D678BA7" w14:textId="4BD73DF6" w:rsidR="00236B66" w:rsidRPr="00236B66" w:rsidRDefault="00236B66" w:rsidP="00236B66">
      <w:pPr>
        <w:spacing w:line="240" w:lineRule="auto"/>
        <w:jc w:val="both"/>
        <w:rPr>
          <w:rFonts w:ascii="Times New Roman" w:eastAsia="Arial Unicode MS" w:hAnsi="Times New Roman" w:cs="Times New Roman"/>
          <w:i/>
          <w:iCs/>
          <w:lang w:val="es-PE" w:eastAsia="ar-SA"/>
        </w:rPr>
      </w:pPr>
      <w:r>
        <w:rPr>
          <w:rFonts w:ascii="Times New Roman" w:hAnsi="Times New Roman"/>
          <w:sz w:val="24"/>
        </w:rPr>
        <w:t xml:space="preserve">	En efecto, el artículo 137 de la Ley del Contrato de Seguro, Ley 29946, señala literalmente lo siguiente:</w:t>
      </w:r>
    </w:p>
    <w:p w14:paraId="186554F2" w14:textId="77777777" w:rsidR="00236B66" w:rsidRPr="00236B66" w:rsidRDefault="00236B66" w:rsidP="00236B66">
      <w:pPr>
        <w:spacing w:line="240" w:lineRule="auto"/>
        <w:jc w:val="both"/>
        <w:rPr>
          <w:rFonts w:ascii="Times New Roman" w:eastAsia="Arial Unicode MS" w:hAnsi="Times New Roman" w:cs="Times New Roman"/>
          <w:i/>
          <w:iCs/>
          <w:lang w:val="es-PE" w:eastAsia="ar-SA"/>
        </w:rPr>
      </w:pPr>
      <w:r w:rsidRPr="00236B66">
        <w:rPr>
          <w:rFonts w:ascii="Times New Roman" w:eastAsia="Arial Unicode MS" w:hAnsi="Times New Roman" w:cs="Times New Roman"/>
          <w:i/>
          <w:iCs/>
          <w:sz w:val="24"/>
          <w:lang w:val="es-PE" w:eastAsia="ar-SA"/>
        </w:rPr>
        <w:t>     “</w:t>
      </w:r>
      <w:r w:rsidRPr="00236B66">
        <w:rPr>
          <w:rFonts w:ascii="Times New Roman" w:eastAsia="Arial Unicode MS" w:hAnsi="Times New Roman" w:cs="Times New Roman"/>
          <w:b/>
          <w:bCs/>
          <w:i/>
          <w:iCs/>
          <w:sz w:val="24"/>
          <w:lang w:val="es-PE" w:eastAsia="ar-SA"/>
        </w:rPr>
        <w:t>Artículo 137. Condiciones no informadas</w:t>
      </w:r>
    </w:p>
    <w:p w14:paraId="6425315C" w14:textId="0174B3FB" w:rsidR="00236B66" w:rsidRPr="00236B66" w:rsidRDefault="00236B66" w:rsidP="00236B66">
      <w:pPr>
        <w:spacing w:line="240" w:lineRule="auto"/>
        <w:jc w:val="both"/>
        <w:rPr>
          <w:rFonts w:ascii="Times New Roman" w:eastAsia="Arial Unicode MS" w:hAnsi="Times New Roman" w:cs="Times New Roman"/>
          <w:i/>
          <w:iCs/>
          <w:lang w:val="es-PE" w:eastAsia="ar-SA"/>
        </w:rPr>
      </w:pPr>
      <w:r w:rsidRPr="00236B66">
        <w:rPr>
          <w:rFonts w:ascii="Times New Roman" w:eastAsia="Arial Unicode MS" w:hAnsi="Times New Roman" w:cs="Times New Roman"/>
          <w:b/>
          <w:bCs/>
          <w:i/>
          <w:iCs/>
          <w:sz w:val="24"/>
          <w:lang w:val="es-PE" w:eastAsia="ar-SA"/>
        </w:rPr>
        <w:t>     </w:t>
      </w:r>
      <w:r w:rsidRPr="00236B66">
        <w:rPr>
          <w:rFonts w:ascii="Times New Roman" w:eastAsia="Arial Unicode MS" w:hAnsi="Times New Roman" w:cs="Times New Roman"/>
          <w:i/>
          <w:iCs/>
          <w:sz w:val="24"/>
          <w:lang w:val="es-PE" w:eastAsia="ar-SA"/>
        </w:rPr>
        <w:t>No son oponibles al asegurado los contenidos contractuales que no le hayan sido informados en el certificado mencionado en el artículo anterior, cuyo contenido mínimo se sujeta a las disposiciones de la Superintendencia” “</w:t>
      </w:r>
    </w:p>
    <w:p w14:paraId="0F2E0DCF" w14:textId="1D493A79" w:rsidR="00236B66" w:rsidRPr="00236B66" w:rsidRDefault="00236B66" w:rsidP="00236B66">
      <w:pPr>
        <w:spacing w:line="240" w:lineRule="auto"/>
        <w:jc w:val="both"/>
        <w:rPr>
          <w:rFonts w:ascii="Times New Roman" w:eastAsia="Arial Unicode MS" w:hAnsi="Times New Roman" w:cs="Times New Roman"/>
          <w:lang w:val="es-PE" w:eastAsia="ar-SA"/>
        </w:rPr>
      </w:pPr>
      <w:r w:rsidRPr="00236B66">
        <w:rPr>
          <w:rFonts w:ascii="Times New Roman" w:eastAsia="Arial Unicode MS" w:hAnsi="Times New Roman" w:cs="Times New Roman"/>
          <w:sz w:val="24"/>
          <w:lang w:val="es-PE" w:eastAsia="ar-SA"/>
        </w:rPr>
        <w:t>En virtud de lo expuesto, este colegiado aprecia que no existe mérito para revocar la resolución emitida; por lo tanto,</w:t>
      </w:r>
    </w:p>
    <w:p w14:paraId="15E0399A" w14:textId="0E1BD566" w:rsidR="00236B66" w:rsidRPr="00236B66" w:rsidRDefault="00236B66" w:rsidP="00236B66">
      <w:pPr>
        <w:spacing w:line="240" w:lineRule="auto"/>
        <w:jc w:val="both"/>
        <w:rPr>
          <w:rFonts w:ascii="Times New Roman" w:eastAsia="Arial Unicode MS" w:hAnsi="Times New Roman" w:cs="Times New Roman"/>
          <w:b/>
          <w:bCs/>
          <w:lang w:val="es-PE" w:eastAsia="ar-SA"/>
        </w:rPr>
      </w:pPr>
      <w:r w:rsidRPr="00236B66">
        <w:rPr>
          <w:rFonts w:ascii="Times New Roman" w:eastAsia="Arial Unicode MS" w:hAnsi="Times New Roman" w:cs="Times New Roman"/>
          <w:b/>
          <w:bCs/>
          <w:sz w:val="24"/>
          <w:lang w:val="es-PE" w:eastAsia="ar-SA"/>
        </w:rPr>
        <w:t>Resuelve:</w:t>
      </w:r>
    </w:p>
    <w:p w14:paraId="560E899B" w14:textId="5CD652BD" w:rsidR="00236B66" w:rsidRPr="00236B66" w:rsidRDefault="00236B66" w:rsidP="00236B66">
      <w:pPr>
        <w:spacing w:line="240" w:lineRule="auto"/>
        <w:jc w:val="both"/>
        <w:rPr>
          <w:rFonts w:ascii="Times New Roman" w:eastAsia="Arial Unicode MS" w:hAnsi="Times New Roman" w:cs="Times New Roman"/>
          <w:lang w:val="es-PE" w:eastAsia="ar-SA"/>
        </w:rPr>
      </w:pPr>
      <w:r>
        <w:rPr>
          <w:rFonts w:ascii="Times New Roman" w:hAnsi="Times New Roman"/>
          <w:sz w:val="24"/>
        </w:rPr>
        <w:t xml:space="preserve">Declarar INFUNDADO el recurso impugnativo interpuesto por ………………… y, por consiguiente, ratificar la Resolución Nro. 055/25, que declaró FUNDADA la reclamación.</w:t>
      </w:r>
    </w:p>
    <w:p w14:paraId="51EDAB4B" w14:textId="282F13D9" w:rsidR="00B32E8A" w:rsidRPr="00236B66" w:rsidRDefault="0091528B" w:rsidP="007F2000">
      <w:pPr>
        <w:spacing w:line="240" w:lineRule="auto"/>
        <w:jc w:val="right"/>
        <w:rPr>
          <w:rFonts w:ascii="Times New Roman" w:hAnsi="Times New Roman" w:cs="Times New Roman"/>
          <w:lang w:val="es-PE"/>
        </w:rPr>
      </w:pPr>
      <w:r w:rsidRPr="00236B66">
        <w:rPr>
          <w:rFonts w:ascii="Times New Roman" w:eastAsia="Arial Unicode MS" w:hAnsi="Times New Roman" w:cs="Times New Roman"/>
          <w:sz w:val="24"/>
          <w:lang w:val="es-PE" w:eastAsia="ar-SA"/>
        </w:rPr>
        <w:t>Lima,</w:t>
      </w:r>
      <w:r w:rsidR="00774D05" w:rsidRPr="00236B66">
        <w:rPr>
          <w:rFonts w:ascii="Times New Roman" w:eastAsia="Arial Unicode MS" w:hAnsi="Times New Roman" w:cs="Times New Roman"/>
          <w:sz w:val="24"/>
          <w:lang w:val="es-PE" w:eastAsia="ar-SA"/>
        </w:rPr>
        <w:t xml:space="preserve"> </w:t>
      </w:r>
      <w:r w:rsidR="00FF5223" w:rsidRPr="00236B66">
        <w:rPr>
          <w:rFonts w:ascii="Times New Roman" w:eastAsia="Arial Unicode MS" w:hAnsi="Times New Roman" w:cs="Times New Roman"/>
          <w:sz w:val="24"/>
          <w:lang w:val="es-PE" w:eastAsia="ar-SA"/>
        </w:rPr>
        <w:t>0</w:t>
      </w:r>
      <w:r w:rsidR="00714C48" w:rsidRPr="00236B66">
        <w:rPr>
          <w:rFonts w:ascii="Times New Roman" w:eastAsia="Arial Unicode MS" w:hAnsi="Times New Roman" w:cs="Times New Roman"/>
          <w:sz w:val="24"/>
          <w:lang w:val="es-PE" w:eastAsia="ar-SA"/>
        </w:rPr>
        <w:t>3</w:t>
      </w:r>
      <w:r w:rsidR="00B8209E" w:rsidRPr="00236B66">
        <w:rPr>
          <w:rFonts w:ascii="Times New Roman" w:eastAsia="Arial Unicode MS" w:hAnsi="Times New Roman" w:cs="Times New Roman"/>
          <w:sz w:val="24"/>
          <w:lang w:val="es-PE" w:eastAsia="ar-SA"/>
        </w:rPr>
        <w:t xml:space="preserve"> </w:t>
      </w:r>
      <w:r w:rsidR="00707C99" w:rsidRPr="00236B66">
        <w:rPr>
          <w:rFonts w:ascii="Times New Roman" w:eastAsia="Arial Unicode MS" w:hAnsi="Times New Roman" w:cs="Times New Roman"/>
          <w:sz w:val="24"/>
          <w:lang w:val="es-PE" w:eastAsia="ar-SA"/>
        </w:rPr>
        <w:t xml:space="preserve">de </w:t>
      </w:r>
      <w:r w:rsidR="00FF5223" w:rsidRPr="00236B66">
        <w:rPr>
          <w:rFonts w:ascii="Times New Roman" w:eastAsia="Arial Unicode MS" w:hAnsi="Times New Roman" w:cs="Times New Roman"/>
          <w:sz w:val="24"/>
          <w:lang w:val="es-PE" w:eastAsia="ar-SA"/>
        </w:rPr>
        <w:t>junio</w:t>
      </w:r>
      <w:r w:rsidR="002F478E" w:rsidRPr="00236B66">
        <w:rPr>
          <w:rFonts w:ascii="Times New Roman" w:eastAsia="Arial Unicode MS" w:hAnsi="Times New Roman" w:cs="Times New Roman"/>
          <w:sz w:val="24"/>
          <w:lang w:val="es-PE" w:eastAsia="ar-SA"/>
        </w:rPr>
        <w:t xml:space="preserve"> </w:t>
      </w:r>
      <w:r w:rsidR="00F06498" w:rsidRPr="00236B66">
        <w:rPr>
          <w:rFonts w:ascii="Times New Roman" w:eastAsia="Arial Unicode MS" w:hAnsi="Times New Roman" w:cs="Times New Roman"/>
          <w:sz w:val="24"/>
          <w:lang w:val="es-PE" w:eastAsia="ar-SA"/>
        </w:rPr>
        <w:t>de 202</w:t>
      </w:r>
      <w:r w:rsidR="00AE4D37" w:rsidRPr="00236B66">
        <w:rPr>
          <w:rFonts w:ascii="Times New Roman" w:eastAsia="Arial Unicode MS" w:hAnsi="Times New Roman" w:cs="Times New Roman"/>
          <w:sz w:val="24"/>
          <w:lang w:val="es-PE" w:eastAsia="ar-SA"/>
        </w:rPr>
        <w:t>5</w:t>
      </w:r>
      <w:r w:rsidR="00707C99" w:rsidRPr="00236B66">
        <w:rPr>
          <w:rFonts w:ascii="Times New Roman" w:eastAsia="Times New Roman" w:hAnsi="Times New Roman" w:cs="Times New Roman"/>
          <w:sz w:val="24"/>
          <w:lang w:val="es-PE" w:eastAsia="ar-SA"/>
        </w:rPr>
        <w:t xml:space="preserve"> </w:t>
      </w:r>
    </w:p>
    <w:p w14:paraId="1B6988F6" w14:textId="77777777" w:rsidR="00A323F4" w:rsidRPr="00236B66" w:rsidRDefault="00A323F4" w:rsidP="00A323F4">
      <w:pPr>
        <w:spacing w:after="0" w:line="240" w:lineRule="auto"/>
        <w:jc w:val="both"/>
        <w:rPr>
          <w:rFonts w:ascii="Times New Roman" w:hAnsi="Times New Roman" w:cs="Times New Roman"/>
          <w:b/>
          <w:bCs/>
          <w:i/>
          <w:iCs/>
          <w:lang w:val="es-PE"/>
        </w:rPr>
      </w:pPr>
      <w:r w:rsidRPr="00236B66">
        <w:rPr>
          <w:rFonts w:ascii="Times New Roman" w:hAnsi="Times New Roman" w:cs="Times New Roman"/>
          <w:b/>
          <w:bCs/>
          <w:i/>
          <w:iCs/>
          <w:sz w:val="24"/>
          <w:lang w:val="es-PE"/>
        </w:rPr>
        <w:t>La Secretaría Técnica certifica que la presente resolución cuenta con el voto de los vocales cuyos nombres figuran en el presente documento.</w:t>
      </w:r>
    </w:p>
    <w:p w14:paraId="2B24FCBE" w14:textId="77777777" w:rsidR="008D26BA" w:rsidRPr="00236B66" w:rsidRDefault="008D26BA" w:rsidP="00A323F4">
      <w:pPr>
        <w:spacing w:after="0" w:line="360" w:lineRule="auto"/>
        <w:jc w:val="both"/>
        <w:rPr>
          <w:rFonts w:ascii="Times New Roman" w:hAnsi="Times New Roman" w:cs="Times New Roman"/>
          <w:b/>
          <w:bCs/>
          <w:i/>
          <w:iCs/>
          <w:lang w:val="es-PE"/>
        </w:rPr>
      </w:pPr>
    </w:p>
    <w:p w14:paraId="220AA7AD" w14:textId="4331E0E4" w:rsidR="007543CD" w:rsidRPr="00236B66" w:rsidRDefault="008D26BA" w:rsidP="008D26BA">
      <w:pPr>
        <w:spacing w:after="0" w:line="360" w:lineRule="auto"/>
        <w:jc w:val="center"/>
        <w:rPr>
          <w:rFonts w:ascii="Times New Roman" w:hAnsi="Times New Roman" w:cs="Times New Roman"/>
          <w:b/>
          <w:bCs/>
          <w:lang w:val="es-PE"/>
        </w:rPr>
      </w:pPr>
      <w:r w:rsidRPr="00236B66">
        <w:rPr>
          <w:rFonts w:ascii="Times New Roman" w:hAnsi="Times New Roman" w:cs="Times New Roman"/>
          <w:b/>
          <w:bCs/>
          <w:sz w:val="24"/>
          <w:lang w:val="es-PE"/>
        </w:rPr>
        <w:t xml:space="preserve">Rolando Eyzaguirre </w:t>
      </w:r>
      <w:proofErr w:type="spellStart"/>
      <w:r w:rsidRPr="00236B66">
        <w:rPr>
          <w:rFonts w:ascii="Times New Roman" w:hAnsi="Times New Roman" w:cs="Times New Roman"/>
          <w:b/>
          <w:bCs/>
          <w:sz w:val="24"/>
          <w:lang w:val="es-PE"/>
        </w:rPr>
        <w:t>Maccan</w:t>
      </w:r>
      <w:proofErr w:type="spellEnd"/>
      <w:r w:rsidRPr="00236B66">
        <w:rPr>
          <w:rFonts w:ascii="Times New Roman" w:hAnsi="Times New Roman" w:cs="Times New Roman"/>
          <w:b/>
          <w:bCs/>
          <w:sz w:val="24"/>
          <w:lang w:val="es-PE"/>
        </w:rPr>
        <w:t xml:space="preserve"> </w:t>
      </w:r>
      <w:r w:rsidR="007543CD" w:rsidRPr="00236B66">
        <w:rPr>
          <w:rFonts w:ascii="Times New Roman" w:hAnsi="Times New Roman" w:cs="Times New Roman"/>
          <w:b/>
          <w:bCs/>
          <w:sz w:val="24"/>
          <w:lang w:val="es-PE"/>
        </w:rPr>
        <w:t xml:space="preserve">– </w:t>
      </w:r>
      <w:proofErr w:type="gramStart"/>
      <w:r w:rsidR="007543CD" w:rsidRPr="00236B66">
        <w:rPr>
          <w:rFonts w:ascii="Times New Roman" w:hAnsi="Times New Roman" w:cs="Times New Roman"/>
          <w:b/>
          <w:bCs/>
          <w:sz w:val="24"/>
          <w:lang w:val="es-PE"/>
        </w:rPr>
        <w:t>Presidente</w:t>
      </w:r>
      <w:proofErr w:type="gramEnd"/>
    </w:p>
    <w:p w14:paraId="5B7063E0" w14:textId="43329098" w:rsidR="008D26BA" w:rsidRPr="00236B66" w:rsidRDefault="008D26BA" w:rsidP="008D26BA">
      <w:pPr>
        <w:spacing w:after="0" w:line="360" w:lineRule="auto"/>
        <w:jc w:val="center"/>
        <w:rPr>
          <w:rFonts w:ascii="Times New Roman" w:hAnsi="Times New Roman" w:cs="Times New Roman"/>
          <w:b/>
          <w:bCs/>
          <w:lang w:val="es-PE"/>
        </w:rPr>
      </w:pPr>
      <w:r w:rsidRPr="00236B66">
        <w:rPr>
          <w:rFonts w:ascii="Times New Roman" w:hAnsi="Times New Roman" w:cs="Times New Roman"/>
          <w:b/>
          <w:bCs/>
          <w:sz w:val="24"/>
          <w:lang w:val="es-PE"/>
        </w:rPr>
        <w:t>María Eugenia Valdez Fernández Baca – Vocal</w:t>
      </w:r>
    </w:p>
    <w:p w14:paraId="69BFE54F" w14:textId="628D5C27" w:rsidR="007543CD" w:rsidRPr="00236B66" w:rsidRDefault="001B08C0" w:rsidP="007543CD">
      <w:pPr>
        <w:spacing w:after="0" w:line="360" w:lineRule="auto"/>
        <w:jc w:val="center"/>
        <w:rPr>
          <w:rFonts w:ascii="Times New Roman" w:hAnsi="Times New Roman" w:cs="Times New Roman"/>
          <w:lang w:val="es-PE"/>
        </w:rPr>
      </w:pPr>
      <w:r w:rsidRPr="00236B66">
        <w:rPr>
          <w:rFonts w:ascii="Times New Roman" w:hAnsi="Times New Roman" w:cs="Times New Roman"/>
          <w:b/>
          <w:bCs/>
          <w:sz w:val="24"/>
        </w:rPr>
        <w:t>Antonio José Rodríguez Lobatón</w:t>
      </w:r>
      <w:r w:rsidRPr="00236B66">
        <w:rPr>
          <w:rFonts w:ascii="Times New Roman" w:hAnsi="Times New Roman" w:cs="Times New Roman"/>
          <w:b/>
          <w:bCs/>
          <w:sz w:val="24"/>
          <w:lang w:val="es-PE"/>
        </w:rPr>
        <w:t xml:space="preserve"> </w:t>
      </w:r>
      <w:r w:rsidR="007543CD" w:rsidRPr="00236B66">
        <w:rPr>
          <w:rFonts w:ascii="Times New Roman" w:hAnsi="Times New Roman" w:cs="Times New Roman"/>
          <w:b/>
          <w:bCs/>
          <w:sz w:val="24"/>
          <w:lang w:val="es-PE"/>
        </w:rPr>
        <w:t>– Vocal</w:t>
      </w:r>
    </w:p>
    <w:p w14:paraId="412CCBAA" w14:textId="77777777" w:rsidR="00986F0C" w:rsidRPr="001B08C0"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E30B3A"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50B6D" w14:textId="77777777" w:rsidR="00BF7815" w:rsidRDefault="00BF7815" w:rsidP="00784355">
      <w:pPr>
        <w:spacing w:after="0" w:line="240" w:lineRule="auto"/>
      </w:pPr>
      <w:r>
        <w:separator/>
      </w:r>
    </w:p>
  </w:endnote>
  <w:endnote w:type="continuationSeparator" w:id="0">
    <w:p w14:paraId="084AF824" w14:textId="77777777" w:rsidR="00BF7815" w:rsidRDefault="00BF7815"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730C" w14:textId="77777777" w:rsidR="00BF7815" w:rsidRDefault="00BF7815" w:rsidP="00784355">
      <w:pPr>
        <w:spacing w:after="0" w:line="240" w:lineRule="auto"/>
      </w:pPr>
      <w:r>
        <w:separator/>
      </w:r>
    </w:p>
  </w:footnote>
  <w:footnote w:type="continuationSeparator" w:id="0">
    <w:p w14:paraId="72F0D2F7" w14:textId="77777777" w:rsidR="00BF7815" w:rsidRDefault="00BF7815"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D0EED"/>
    <w:rsid w:val="001D59D9"/>
    <w:rsid w:val="001D6136"/>
    <w:rsid w:val="001E119C"/>
    <w:rsid w:val="001E1C8C"/>
    <w:rsid w:val="001E6657"/>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528B8"/>
    <w:rsid w:val="0026162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31C1D"/>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7844"/>
    <w:rsid w:val="00741A01"/>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EC6753C-ED1D-4DEE-A06E-DB944928A41C}"/>
</file>

<file path=customXml/itemProps3.xml><?xml version="1.0" encoding="utf-8"?>
<ds:datastoreItem xmlns:ds="http://schemas.openxmlformats.org/officeDocument/2006/customXml" ds:itemID="{51E859A9-5C2E-4DC4-ACD9-0D0FFCF3006E}"/>
</file>

<file path=customXml/itemProps4.xml><?xml version="1.0" encoding="utf-8"?>
<ds:datastoreItem xmlns:ds="http://schemas.openxmlformats.org/officeDocument/2006/customXml" ds:itemID="{1FF0DD73-78EE-4FBD-8087-2909C9C4194B}"/>
</file>

<file path=docProps/app.xml><?xml version="1.0" encoding="utf-8"?>
<Properties xmlns="http://schemas.openxmlformats.org/officeDocument/2006/extended-properties" xmlns:vt="http://schemas.openxmlformats.org/officeDocument/2006/docPropsVTypes">
  <Template>Normal</Template>
  <TotalTime>282</TotalTime>
  <Pages>2</Pages>
  <Words>845</Words>
  <Characters>4651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347</cp:revision>
  <cp:lastPrinted>2025-06-06T16:16:00Z</cp:lastPrinted>
  <dcterms:created xsi:type="dcterms:W3CDTF">2023-02-14T22:37:00Z</dcterms:created>
  <dcterms:modified xsi:type="dcterms:W3CDTF">2025-06-06T16:16:00Z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