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258073B7" w:rsidR="005A2497" w:rsidRPr="00253F42" w:rsidRDefault="00201C0D" w:rsidP="005A2497">
      <w:pPr>
        <w:spacing w:after="0" w:line="240" w:lineRule="auto"/>
        <w:jc w:val="center"/>
        <w:rPr>
          <w:rFonts w:ascii="Times New Roman" w:hAnsi="Times New Roman" w:cs="Times New Roman"/>
          <w:b/>
          <w:sz w:val="23"/>
          <w:szCs w:val="23"/>
          <w:lang w:val="es-PE" w:eastAsia="ar-SA"/>
        </w:rPr>
      </w:pPr>
      <w:r w:rsidRPr="00253F42">
        <w:rPr>
          <w:rFonts w:ascii="Times New Roman" w:hAnsi="Times New Roman" w:cs="Times New Roman"/>
          <w:b/>
          <w:sz w:val="24"/>
          <w:szCs w:val="23"/>
          <w:lang w:val="es-PE" w:eastAsia="ar-SA"/>
        </w:rPr>
        <w:t xml:space="preserve">RESOLUCIÓN DE RECURSO IMPUGNATIVO </w:t>
      </w:r>
      <w:r w:rsidR="00707C99" w:rsidRPr="00253F42">
        <w:rPr>
          <w:rFonts w:ascii="Times New Roman" w:hAnsi="Times New Roman" w:cs="Times New Roman"/>
          <w:b/>
          <w:sz w:val="24"/>
          <w:szCs w:val="23"/>
          <w:lang w:val="es-PE" w:eastAsia="ar-SA"/>
        </w:rPr>
        <w:t xml:space="preserve">N° </w:t>
      </w:r>
      <w:r w:rsidR="00516293" w:rsidRPr="00253F42">
        <w:rPr>
          <w:rFonts w:ascii="Times New Roman" w:hAnsi="Times New Roman" w:cs="Times New Roman"/>
          <w:b/>
          <w:sz w:val="24"/>
          <w:szCs w:val="23"/>
          <w:lang w:val="es-PE" w:eastAsia="ar-SA"/>
        </w:rPr>
        <w:t>0</w:t>
      </w:r>
      <w:r w:rsidR="00D26530" w:rsidRPr="00253F42">
        <w:rPr>
          <w:rFonts w:ascii="Times New Roman" w:hAnsi="Times New Roman" w:cs="Times New Roman"/>
          <w:b/>
          <w:sz w:val="24"/>
          <w:szCs w:val="23"/>
          <w:lang w:val="es-PE" w:eastAsia="ar-SA"/>
        </w:rPr>
        <w:t>2</w:t>
      </w:r>
      <w:r w:rsidR="00331FA8" w:rsidRPr="00253F42">
        <w:rPr>
          <w:rFonts w:ascii="Times New Roman" w:hAnsi="Times New Roman" w:cs="Times New Roman"/>
          <w:b/>
          <w:sz w:val="24"/>
          <w:szCs w:val="23"/>
          <w:lang w:val="es-PE" w:eastAsia="ar-SA"/>
        </w:rPr>
        <w:t>5</w:t>
      </w:r>
      <w:r w:rsidR="00C671F5" w:rsidRPr="00253F42">
        <w:rPr>
          <w:rFonts w:ascii="Times New Roman" w:hAnsi="Times New Roman" w:cs="Times New Roman"/>
          <w:b/>
          <w:sz w:val="24"/>
          <w:szCs w:val="23"/>
          <w:lang w:val="es-PE" w:eastAsia="ar-SA"/>
        </w:rPr>
        <w:t>/2</w:t>
      </w:r>
      <w:r w:rsidR="00A74F96" w:rsidRPr="00253F42">
        <w:rPr>
          <w:rFonts w:ascii="Times New Roman" w:hAnsi="Times New Roman" w:cs="Times New Roman"/>
          <w:b/>
          <w:sz w:val="24"/>
          <w:szCs w:val="23"/>
          <w:lang w:val="es-PE" w:eastAsia="ar-SA"/>
        </w:rPr>
        <w:t>5</w:t>
      </w:r>
    </w:p>
    <w:p w14:paraId="56DB191C" w14:textId="77777777" w:rsidR="005A2497" w:rsidRPr="00253F42" w:rsidRDefault="005A2497" w:rsidP="001F0F3A">
      <w:pPr>
        <w:spacing w:after="0" w:line="240" w:lineRule="auto"/>
        <w:jc w:val="both"/>
        <w:rPr>
          <w:rFonts w:ascii="Times New Roman" w:hAnsi="Times New Roman" w:cs="Times New Roman"/>
          <w:b/>
          <w:sz w:val="23"/>
          <w:szCs w:val="23"/>
          <w:lang w:val="es-PE" w:eastAsia="ar-SA"/>
        </w:rPr>
      </w:pPr>
    </w:p>
    <w:p w14:paraId="351772E0" w14:textId="77777777" w:rsidR="001F0F3A" w:rsidRPr="001F0F3A" w:rsidRDefault="001F0F3A" w:rsidP="001F0F3A">
      <w:pPr>
        <w:spacing w:line="240" w:lineRule="auto"/>
        <w:jc w:val="both"/>
        <w:rPr>
          <w:rFonts w:ascii="Times New Roman" w:eastAsia="Arial Unicode MS" w:hAnsi="Times New Roman" w:cs="Times New Roman"/>
          <w:b/>
          <w:bCs/>
          <w:sz w:val="23"/>
          <w:szCs w:val="23"/>
          <w:lang w:val="es-MX" w:eastAsia="ar-SA"/>
        </w:rPr>
      </w:pPr>
      <w:r w:rsidRPr="001F0F3A">
        <w:rPr>
          <w:rFonts w:ascii="Times New Roman" w:eastAsia="Arial Unicode MS" w:hAnsi="Times New Roman" w:cs="Times New Roman"/>
          <w:b/>
          <w:bCs/>
          <w:sz w:val="24"/>
          <w:szCs w:val="23"/>
          <w:lang w:val="es-MX" w:eastAsia="ar-SA"/>
        </w:rPr>
        <w:t>Vistos:</w:t>
      </w:r>
    </w:p>
    <w:p w14:paraId="276446D8" w14:textId="656C8AAD" w:rsidR="001F0F3A" w:rsidRPr="001F0F3A" w:rsidRDefault="001F0F3A" w:rsidP="001F0F3A">
      <w:pPr>
        <w:spacing w:line="240" w:lineRule="auto"/>
        <w:jc w:val="both"/>
        <w:rPr>
          <w:rFonts w:ascii="Times New Roman" w:eastAsia="Arial Unicode MS" w:hAnsi="Times New Roman" w:cs="Times New Roman"/>
          <w:sz w:val="23"/>
          <w:szCs w:val="23"/>
          <w:lang w:val="es-419" w:eastAsia="ar-SA"/>
        </w:rPr>
      </w:pPr>
      <w:r>
        <w:rPr>
          <w:rFonts w:ascii="Times New Roman" w:hAnsi="Times New Roman"/>
          <w:sz w:val="24"/>
        </w:rPr>
        <w:t xml:space="preserve">El recurso presentado el 24 de abril de 2025 por ………………… A.A. (…………………) respecto de la Resolución N° 057/25, de fecha 09 de abril de 2025 emitida por la DEFASEG que declaró FUNDADA la reclamación interpuesta por doña ………………… respecto del Seguro Protección de Tarjeta BBVA Continental; </w:t>
      </w:r>
    </w:p>
    <w:p w14:paraId="4CFE820B" w14:textId="77777777" w:rsidR="001F0F3A" w:rsidRPr="001F0F3A" w:rsidRDefault="001F0F3A" w:rsidP="001F0F3A">
      <w:pPr>
        <w:spacing w:line="240" w:lineRule="auto"/>
        <w:jc w:val="both"/>
        <w:rPr>
          <w:rFonts w:ascii="Times New Roman" w:eastAsia="Arial Unicode MS" w:hAnsi="Times New Roman" w:cs="Times New Roman"/>
          <w:bCs/>
          <w:sz w:val="23"/>
          <w:szCs w:val="23"/>
          <w:lang w:val="es-MX" w:eastAsia="ar-SA"/>
        </w:rPr>
      </w:pPr>
      <w:r w:rsidRPr="001F0F3A">
        <w:rPr>
          <w:rFonts w:ascii="Times New Roman" w:eastAsia="Arial Unicode MS" w:hAnsi="Times New Roman" w:cs="Times New Roman"/>
          <w:bCs/>
          <w:sz w:val="24"/>
          <w:szCs w:val="23"/>
          <w:lang w:val="es-MX" w:eastAsia="ar-SA"/>
        </w:rPr>
        <w:t xml:space="preserve">Que, a través del señalado recurso, la aseguradora presenta copia del certificado de seguro suscrito por la asegurada, donde figuran las coberturas otorgadas por la misma y reitera los argumentos expuestos en sus descargos, señalando que han cumplido con indemnizar la suma que corresponde a la coberturas previstas en la póliza;  asimismo añaden que reclamación es improcedente por falta de interés para obrar; siendo que la disposición de efectivo que se reclama no se encuentra </w:t>
      </w:r>
      <w:proofErr w:type="spellStart"/>
      <w:r w:rsidRPr="001F0F3A">
        <w:rPr>
          <w:rFonts w:ascii="Times New Roman" w:eastAsia="Arial Unicode MS" w:hAnsi="Times New Roman" w:cs="Times New Roman"/>
          <w:bCs/>
          <w:sz w:val="24"/>
          <w:szCs w:val="23"/>
          <w:lang w:val="es-MX" w:eastAsia="ar-SA"/>
        </w:rPr>
        <w:t>coberturado</w:t>
      </w:r>
      <w:proofErr w:type="spellEnd"/>
      <w:r w:rsidRPr="001F0F3A">
        <w:rPr>
          <w:rFonts w:ascii="Times New Roman" w:eastAsia="Arial Unicode MS" w:hAnsi="Times New Roman" w:cs="Times New Roman"/>
          <w:bCs/>
          <w:sz w:val="24"/>
          <w:szCs w:val="23"/>
          <w:lang w:val="es-MX" w:eastAsia="ar-SA"/>
        </w:rPr>
        <w:t xml:space="preserve"> por la póliza. </w:t>
      </w:r>
    </w:p>
    <w:p w14:paraId="6D5E40D1" w14:textId="77777777" w:rsidR="001F0F3A" w:rsidRPr="001F0F3A" w:rsidRDefault="001F0F3A" w:rsidP="001F0F3A">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el citado recurso fue trasladado a la reclamante, quien absolviendo el traslado el 28 de abril de 2025 señalando resumidamente lo siguiente: a) si bien ………………… adjunta a su recurso la póliza de seguro completa quiere ahondar en que los colaboradores que trabajan dentro del BBVA no dan la oportunidad de leer toda la cartilla porque son varas hojas y uno solo confía en la gestión y en la cobertura; b) que a través de su recurso ………………… está indicando más de lo mismo; c) que la disposición de efectivo no puede verse como un préstamo porque no lo es, ya que se hizo desde la aplicación BBVA , esta operación es fraude digital; d) que ella no tiene abogados y se apoya en lo que indique la DEFASEG.</w:t>
      </w:r>
    </w:p>
    <w:p w14:paraId="426CAF9A" w14:textId="77777777" w:rsidR="001F0F3A" w:rsidRPr="001F0F3A" w:rsidRDefault="001F0F3A" w:rsidP="001F0F3A">
      <w:pPr>
        <w:spacing w:line="240" w:lineRule="auto"/>
        <w:jc w:val="both"/>
        <w:rPr>
          <w:rFonts w:ascii="Times New Roman" w:eastAsia="Arial Unicode MS" w:hAnsi="Times New Roman" w:cs="Times New Roman"/>
          <w:bCs/>
          <w:sz w:val="23"/>
          <w:szCs w:val="23"/>
          <w:lang w:val="es-MX" w:eastAsia="ar-SA"/>
        </w:rPr>
      </w:pPr>
      <w:r w:rsidRPr="001F0F3A">
        <w:rPr>
          <w:rFonts w:ascii="Times New Roman" w:eastAsia="Arial Unicode MS" w:hAnsi="Times New Roman" w:cs="Times New Roman"/>
          <w:b/>
          <w:bCs/>
          <w:sz w:val="24"/>
          <w:szCs w:val="23"/>
          <w:lang w:val="es-MX" w:eastAsia="ar-SA"/>
        </w:rPr>
        <w:t>Considerando:</w:t>
      </w:r>
    </w:p>
    <w:p w14:paraId="3FA12B34" w14:textId="77777777" w:rsidR="001F0F3A" w:rsidRPr="001F0F3A" w:rsidRDefault="001F0F3A" w:rsidP="001F0F3A">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Primero: El Reglamento de la DEFASEG (http://www.defaseg.com.pe/reglamento.html), en su artículo 10, establece que la parte que no se encuentre de acuerdo con lo resuelto por la DEFASEG, podrá impugnar la resolución interponiendo el correspondiente Recurso de Impugnación dentro de un plazo de cinco (5) días hábiles. </w:t>
      </w:r>
    </w:p>
    <w:p w14:paraId="09588DF6" w14:textId="77777777" w:rsidR="001F0F3A" w:rsidRPr="001F0F3A" w:rsidRDefault="001F0F3A" w:rsidP="001F0F3A">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En el presente caso, a través del recurso impugnativo interpuesto, ………………… solicita que se revoque la resolución recurrida y se declare infundada la respectiva reclamación. </w:t>
      </w:r>
    </w:p>
    <w:p w14:paraId="43C63744" w14:textId="77777777"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r w:rsidRPr="001F0F3A">
        <w:rPr>
          <w:rFonts w:ascii="Times New Roman" w:eastAsia="Arial Unicode MS" w:hAnsi="Times New Roman" w:cs="Times New Roman"/>
          <w:b/>
          <w:sz w:val="24"/>
          <w:szCs w:val="23"/>
          <w:u w:val="single"/>
          <w:lang w:val="es-ES" w:eastAsia="ar-SA"/>
        </w:rPr>
        <w:t>Segundo</w:t>
      </w:r>
      <w:r w:rsidRPr="001F0F3A">
        <w:rPr>
          <w:rFonts w:ascii="Times New Roman" w:eastAsia="Arial Unicode MS" w:hAnsi="Times New Roman" w:cs="Times New Roman"/>
          <w:b/>
          <w:sz w:val="24"/>
          <w:szCs w:val="23"/>
          <w:lang w:val="es-ES" w:eastAsia="ar-SA"/>
        </w:rPr>
        <w:t>:</w:t>
      </w:r>
      <w:r w:rsidRPr="001F0F3A">
        <w:rPr>
          <w:rFonts w:ascii="Times New Roman" w:eastAsia="Arial Unicode MS" w:hAnsi="Times New Roman" w:cs="Times New Roman"/>
          <w:sz w:val="24"/>
          <w:szCs w:val="23"/>
          <w:lang w:val="es-ES" w:eastAsia="ar-SA"/>
        </w:rPr>
        <w:t xml:space="preserve"> Que, a través del indicado recurso, la aseguradora manifiesta su discrepancia con lo resuelto por la DEFASEG, adjuntando como nueva prueba documental el certificado de seguro completo suscrito por la asegurada, que contiene las coberturas otorgadas. </w:t>
      </w:r>
    </w:p>
    <w:p w14:paraId="75384BA8" w14:textId="77777777"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r w:rsidRPr="001F0F3A">
        <w:rPr>
          <w:rFonts w:ascii="Times New Roman" w:eastAsia="Arial Unicode MS" w:hAnsi="Times New Roman" w:cs="Times New Roman"/>
          <w:sz w:val="24"/>
          <w:szCs w:val="23"/>
          <w:lang w:val="es-ES" w:eastAsia="ar-SA"/>
        </w:rPr>
        <w:t xml:space="preserve">Que la resolución emitida fue declarada fundada por cuanto solo se presentaron imágenes aisladas de la póliza, por lo que no era posible validar las afirmaciones de la aseguradora. </w:t>
      </w:r>
    </w:p>
    <w:p w14:paraId="2CE9D183" w14:textId="77777777"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r w:rsidRPr="001F0F3A">
        <w:rPr>
          <w:rFonts w:ascii="Times New Roman" w:eastAsia="Arial Unicode MS" w:hAnsi="Times New Roman" w:cs="Times New Roman"/>
          <w:sz w:val="24"/>
          <w:szCs w:val="23"/>
          <w:lang w:val="es-ES" w:eastAsia="ar-SA"/>
        </w:rPr>
        <w:t>Que, siendo que se ha presentado el certificado de seguro completo suscrito por la asegurada, se aprecia que esta no contempla una cobertura por disposición de efectivo, sino únicamente las siguientes nueve coberturas, conforme se aprecia a continuación:</w:t>
      </w:r>
    </w:p>
    <w:p w14:paraId="211761C3" w14:textId="77777777"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p>
    <w:p w14:paraId="190E4125" w14:textId="4A0AA620" w:rsidR="001F0F3A" w:rsidRPr="001F0F3A" w:rsidRDefault="001F0F3A" w:rsidP="00ED4124">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5A5A53B3" w14:textId="47FDC764" w:rsidR="001F0F3A" w:rsidRPr="001F0F3A" w:rsidRDefault="001F0F3A" w:rsidP="00ED4124">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5649F2A9" w14:textId="77777777"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r w:rsidRPr="001F0F3A">
        <w:rPr>
          <w:rFonts w:ascii="Times New Roman" w:eastAsia="Arial Unicode MS" w:hAnsi="Times New Roman" w:cs="Times New Roman"/>
          <w:sz w:val="24"/>
          <w:szCs w:val="23"/>
          <w:lang w:val="es-ES" w:eastAsia="ar-SA"/>
        </w:rPr>
        <w:t xml:space="preserve">La asegurada considera que en tanto el préstamo o disposición de efectivo por S/15,100 fue realizada por medio de la </w:t>
      </w:r>
      <w:proofErr w:type="gramStart"/>
      <w:r w:rsidRPr="001F0F3A">
        <w:rPr>
          <w:rFonts w:ascii="Times New Roman" w:eastAsia="Arial Unicode MS" w:hAnsi="Times New Roman" w:cs="Times New Roman"/>
          <w:sz w:val="24"/>
          <w:szCs w:val="23"/>
          <w:lang w:val="es-ES" w:eastAsia="ar-SA"/>
        </w:rPr>
        <w:t>app</w:t>
      </w:r>
      <w:proofErr w:type="gramEnd"/>
      <w:r w:rsidRPr="001F0F3A">
        <w:rPr>
          <w:rFonts w:ascii="Times New Roman" w:eastAsia="Arial Unicode MS" w:hAnsi="Times New Roman" w:cs="Times New Roman"/>
          <w:sz w:val="24"/>
          <w:szCs w:val="23"/>
          <w:lang w:val="es-ES" w:eastAsia="ar-SA"/>
        </w:rPr>
        <w:t xml:space="preserve"> del BBVA como retiro de efectivo, esta debe ser interpretada como un consumo o fraude digital; añadiendo que no es justo que el Banco le esté cobrando un préstamo que no fue efectuado por su persona, por lo que solicita que la aseguradora y el Banco BBVA le devuelvan dicho monto, ya que considera que ese tipo de fraudes está cubierto por el seguro. Asimismo, señala que no tuvo la oportunidad de leer la cartilla donde figuran las condiciones del seguro, por lo que no habría existido transparencia por parte del banco.</w:t>
      </w:r>
    </w:p>
    <w:p w14:paraId="0AE4CD3F" w14:textId="6E2D9416"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r w:rsidRPr="001F0F3A">
        <w:rPr>
          <w:rFonts w:ascii="Times New Roman" w:eastAsia="Arial Unicode MS" w:hAnsi="Times New Roman" w:cs="Times New Roman"/>
          <w:sz w:val="24"/>
          <w:szCs w:val="23"/>
          <w:lang w:val="es-ES" w:eastAsia="ar-SA"/>
        </w:rPr>
        <w:t>No obstante, conforme a lo establecido en la póliza, estamos ante un seguro de riesgos nombrados, y por lo tanto a la aseguradora solo le corresponde dar cobertura, a aquellos riesgos amparados bajo la cobertura de seguro, es decir, a aquellos eventos que encajen dentro de alguno de los supuestos expresamente cubiertos por la aseguradora.</w:t>
      </w:r>
    </w:p>
    <w:p w14:paraId="25D25D99" w14:textId="77777777" w:rsidR="001F0F3A" w:rsidRPr="001F0F3A" w:rsidRDefault="001F0F3A" w:rsidP="001F0F3A">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En otras palabras, el hecho que la asegurada se haya afiliado a un seguro de protección de tarjeta por riesgos nombrados, señalados taxativamente, no implica que cualquier siniestro esté necesariamente cubierto por el seguro, ya que éste sólo opera respecto de lo que fue acordado por las partes.  En el caso concreto, más allá que la disposición de efectivo se haya producido de manera irregular (lo que no se desconoce), lo cierto es que lo sucedido no corresponde a ningún supuesto contractual que legitime a la asegurada a exigir el otorgamiento de cobertura a …………………, respecto de un supuesto no cubierto por la póliza.</w:t>
      </w:r>
    </w:p>
    <w:p w14:paraId="29D39869" w14:textId="77777777"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r w:rsidRPr="001F0F3A">
        <w:rPr>
          <w:rFonts w:ascii="Times New Roman" w:eastAsia="Arial Unicode MS" w:hAnsi="Times New Roman" w:cs="Times New Roman"/>
          <w:sz w:val="24"/>
          <w:szCs w:val="23"/>
          <w:lang w:val="es-ES" w:eastAsia="ar-SA"/>
        </w:rPr>
        <w:t>Al emitir la resolución emitida, este colegiado no tuvo oportunidad de verificar las coberturas cubiertas por la póliza por cuanto no se presentó el certificado de seguro completo suscrito por la asegurada, y por eso declaró fundado el reclamo. Sin embargo, ahora que se ha presentado dicho documento completo, se verifica que no se cubre la situación de disposición de efectivo sufrido por la recurrente, ya que dicho supuesto no encaja dentro de alguna de las nueve coberturas antes descritas.</w:t>
      </w:r>
    </w:p>
    <w:p w14:paraId="248F41F3" w14:textId="77777777" w:rsidR="001F0F3A" w:rsidRPr="001F0F3A" w:rsidRDefault="001F0F3A" w:rsidP="001F0F3A">
      <w:pPr>
        <w:spacing w:line="240" w:lineRule="auto"/>
        <w:jc w:val="both"/>
        <w:rPr>
          <w:rFonts w:ascii="Times New Roman" w:eastAsia="Arial Unicode MS" w:hAnsi="Times New Roman" w:cs="Times New Roman"/>
          <w:sz w:val="23"/>
          <w:szCs w:val="23"/>
          <w:lang w:val="es-PE" w:eastAsia="ar-SA"/>
        </w:rPr>
      </w:pPr>
      <w:r w:rsidRPr="001F0F3A">
        <w:rPr>
          <w:rFonts w:ascii="Times New Roman" w:eastAsia="Arial Unicode MS" w:hAnsi="Times New Roman" w:cs="Times New Roman"/>
          <w:sz w:val="24"/>
          <w:szCs w:val="23"/>
          <w:lang w:val="es-ES" w:eastAsia="ar-SA"/>
        </w:rPr>
        <w:t xml:space="preserve">La recurrente señala que no pudo leer toda la cartilla del seguro completa porque eran varias hojas, confiando solo en la gestión del banco. Al respecto, </w:t>
      </w:r>
      <w:r w:rsidRPr="001F0F3A">
        <w:rPr>
          <w:rFonts w:ascii="Times New Roman" w:eastAsia="Arial Unicode MS" w:hAnsi="Times New Roman" w:cs="Times New Roman"/>
          <w:sz w:val="24"/>
          <w:szCs w:val="23"/>
          <w:lang w:val="es-PE" w:eastAsia="ar-SA"/>
        </w:rPr>
        <w:t xml:space="preserve">este colegiado advierte -como ya lo ha hecho en reiterada jurisprudencia- que es de absoluta responsabilidad del asegurado haber cuidado de leer oportunamente el contenido de los términos y condiciones del contrato, a efectos de poder realizar </w:t>
      </w:r>
      <w:r w:rsidRPr="001F0F3A">
        <w:rPr>
          <w:rFonts w:ascii="Times New Roman" w:eastAsia="Arial Unicode MS" w:hAnsi="Times New Roman" w:cs="Times New Roman"/>
          <w:sz w:val="24"/>
          <w:szCs w:val="23"/>
          <w:lang w:val="es-PE" w:eastAsia="ar-SA"/>
        </w:rPr>
        <w:lastRenderedPageBreak/>
        <w:t>cualquier observación, consulta o solicitud de aclaración.  A criterio de este colegiado, en la medida que la aseguradora acredita que entregó la documentación pertinente, lo mínimo que se espera es que el asegurado hubiese cuidado de leerla, de manera que resulta lógico que la aseguradora se pueda representar legítimamente la oponibilidad de lo informado.  Admitir lo contrario, esto es, amparar comportamientos o conductas en el sentido que no se habría leído la documentación recibida y suscrita oportunamente -porque era voluminosa o por cualquier otra razón- sería promover o facilitar una cultura en que se beneficia indebidamente a quien omite sus deberes mínimos de diligencia y cuidado, ya que bastaría su sola omisión (que depende exclusivamente de su esfera jurídica: no leer) para que no resulten oponibles o exigibles los acuerdos contractuales, lo cual derivaría en una política de desincentivo a la lectura y al valor mismo de lo que significa una suscripción documental, siendo más bien que deben incentivarse, promoverse y protegerse los comportamientos responsable, porque de lo contrario se estaría incentivando que no se internalicen las consecuencias de las acciones u omisiones. Si el asegurado no cuidó de revisar el contenido del contrato, queda bajo su ámbito de responsabilidad, pero sin que dicha omisión pueda ser opuesta a la aseguradora.</w:t>
      </w:r>
    </w:p>
    <w:p w14:paraId="26E1DF78" w14:textId="77777777" w:rsidR="001F0F3A" w:rsidRPr="001F0F3A" w:rsidRDefault="001F0F3A" w:rsidP="001F0F3A">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Que, siendo que con posterioridad a la emisión de la Resolución Impugnada se ha acreditado que el contrato de seguro no otorga cobertura a préstamos obtenidos a través de eventuales fraudes electrónicos, y siendo que la sétima regla de interpretación del contrato de seguro establecido en la Ley 29946 señala que “La cobertura, exclusiones y, en general, la extensión del riesgo así como los derechos de los beneficiarios, previstos en el contrato de seguro, deben interpretarse literalmente”; este colegiado finalmente concluye que el rechazo de cobertura resulta legítimo y en consecuencia corresponde revocar la resolución emitida y declarar infundado el reclamo</w:t>
      </w:r>
    </w:p>
    <w:p w14:paraId="4246D06A" w14:textId="77777777" w:rsidR="001F0F3A" w:rsidRPr="001F0F3A" w:rsidRDefault="001F0F3A" w:rsidP="001F0F3A">
      <w:pPr>
        <w:spacing w:line="240" w:lineRule="auto"/>
        <w:jc w:val="both"/>
        <w:rPr>
          <w:rFonts w:ascii="Times New Roman" w:eastAsia="Arial Unicode MS" w:hAnsi="Times New Roman" w:cs="Times New Roman"/>
          <w:b/>
          <w:sz w:val="23"/>
          <w:szCs w:val="23"/>
          <w:lang w:val="es-PE" w:eastAsia="ar-SA"/>
        </w:rPr>
      </w:pPr>
      <w:r w:rsidRPr="001F0F3A">
        <w:rPr>
          <w:rFonts w:ascii="Times New Roman" w:eastAsia="Arial Unicode MS" w:hAnsi="Times New Roman" w:cs="Times New Roman"/>
          <w:b/>
          <w:sz w:val="24"/>
          <w:szCs w:val="23"/>
          <w:lang w:val="es-PE" w:eastAsia="ar-SA"/>
        </w:rPr>
        <w:t>Atendiendo a lo expresado, conforme a su Reglamento, este colegiado resuelve:</w:t>
      </w:r>
    </w:p>
    <w:p w14:paraId="31B659D6" w14:textId="77777777" w:rsidR="001F0F3A" w:rsidRPr="001F0F3A" w:rsidRDefault="001F0F3A" w:rsidP="001F0F3A">
      <w:pPr>
        <w:spacing w:line="240" w:lineRule="auto"/>
        <w:jc w:val="both"/>
        <w:rPr>
          <w:rFonts w:ascii="Times New Roman" w:eastAsia="Arial Unicode MS" w:hAnsi="Times New Roman" w:cs="Times New Roman"/>
          <w:sz w:val="23"/>
          <w:szCs w:val="23"/>
          <w:lang w:val="es-PE" w:eastAsia="ar-SA"/>
        </w:rPr>
      </w:pPr>
    </w:p>
    <w:p w14:paraId="3BA12CBA" w14:textId="77777777" w:rsidR="001F0F3A" w:rsidRPr="001F0F3A" w:rsidRDefault="001F0F3A" w:rsidP="001F0F3A">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Declarar FUNDADO el Recurso de Impugnación interpuesto por ………………… y, por consiguiente, REVOCAR la Resolución N° 057/25 de fecha 09 de abril de 2025; en consecuencia, declarar INFUNDADA la reclamación interpuesta por doña ………………… dejando a salvo su derecho de recurrir ante las instancias que considere pertinentes.</w:t>
      </w:r>
    </w:p>
    <w:p w14:paraId="51EDAB4B" w14:textId="282F13D9" w:rsidR="00B32E8A" w:rsidRPr="00253F42" w:rsidRDefault="0091528B" w:rsidP="007F2000">
      <w:pPr>
        <w:spacing w:line="240" w:lineRule="auto"/>
        <w:jc w:val="right"/>
        <w:rPr>
          <w:rFonts w:ascii="Times New Roman" w:hAnsi="Times New Roman" w:cs="Times New Roman"/>
          <w:sz w:val="23"/>
          <w:szCs w:val="23"/>
          <w:lang w:val="es-PE"/>
        </w:rPr>
      </w:pPr>
      <w:r w:rsidRPr="00253F42">
        <w:rPr>
          <w:rFonts w:ascii="Times New Roman" w:eastAsia="Arial Unicode MS" w:hAnsi="Times New Roman" w:cs="Times New Roman"/>
          <w:sz w:val="24"/>
          <w:szCs w:val="23"/>
          <w:lang w:val="es-PE" w:eastAsia="ar-SA"/>
        </w:rPr>
        <w:t>Lima,</w:t>
      </w:r>
      <w:r w:rsidR="00774D05" w:rsidRPr="00253F42">
        <w:rPr>
          <w:rFonts w:ascii="Times New Roman" w:eastAsia="Arial Unicode MS" w:hAnsi="Times New Roman" w:cs="Times New Roman"/>
          <w:sz w:val="24"/>
          <w:szCs w:val="23"/>
          <w:lang w:val="es-PE" w:eastAsia="ar-SA"/>
        </w:rPr>
        <w:t xml:space="preserve"> </w:t>
      </w:r>
      <w:r w:rsidR="00FF5223" w:rsidRPr="00253F42">
        <w:rPr>
          <w:rFonts w:ascii="Times New Roman" w:eastAsia="Arial Unicode MS" w:hAnsi="Times New Roman" w:cs="Times New Roman"/>
          <w:sz w:val="24"/>
          <w:szCs w:val="23"/>
          <w:lang w:val="es-PE" w:eastAsia="ar-SA"/>
        </w:rPr>
        <w:t>0</w:t>
      </w:r>
      <w:r w:rsidR="00714C48" w:rsidRPr="00253F42">
        <w:rPr>
          <w:rFonts w:ascii="Times New Roman" w:eastAsia="Arial Unicode MS" w:hAnsi="Times New Roman" w:cs="Times New Roman"/>
          <w:sz w:val="24"/>
          <w:szCs w:val="23"/>
          <w:lang w:val="es-PE" w:eastAsia="ar-SA"/>
        </w:rPr>
        <w:t>3</w:t>
      </w:r>
      <w:r w:rsidR="00B8209E" w:rsidRPr="00253F42">
        <w:rPr>
          <w:rFonts w:ascii="Times New Roman" w:eastAsia="Arial Unicode MS" w:hAnsi="Times New Roman" w:cs="Times New Roman"/>
          <w:sz w:val="24"/>
          <w:szCs w:val="23"/>
          <w:lang w:val="es-PE" w:eastAsia="ar-SA"/>
        </w:rPr>
        <w:t xml:space="preserve"> </w:t>
      </w:r>
      <w:r w:rsidR="00707C99" w:rsidRPr="00253F42">
        <w:rPr>
          <w:rFonts w:ascii="Times New Roman" w:eastAsia="Arial Unicode MS" w:hAnsi="Times New Roman" w:cs="Times New Roman"/>
          <w:sz w:val="24"/>
          <w:szCs w:val="23"/>
          <w:lang w:val="es-PE" w:eastAsia="ar-SA"/>
        </w:rPr>
        <w:t xml:space="preserve">de </w:t>
      </w:r>
      <w:r w:rsidR="00FF5223" w:rsidRPr="00253F42">
        <w:rPr>
          <w:rFonts w:ascii="Times New Roman" w:eastAsia="Arial Unicode MS" w:hAnsi="Times New Roman" w:cs="Times New Roman"/>
          <w:sz w:val="24"/>
          <w:szCs w:val="23"/>
          <w:lang w:val="es-PE" w:eastAsia="ar-SA"/>
        </w:rPr>
        <w:t>junio</w:t>
      </w:r>
      <w:r w:rsidR="002F478E" w:rsidRPr="00253F42">
        <w:rPr>
          <w:rFonts w:ascii="Times New Roman" w:eastAsia="Arial Unicode MS" w:hAnsi="Times New Roman" w:cs="Times New Roman"/>
          <w:sz w:val="24"/>
          <w:szCs w:val="23"/>
          <w:lang w:val="es-PE" w:eastAsia="ar-SA"/>
        </w:rPr>
        <w:t xml:space="preserve"> </w:t>
      </w:r>
      <w:r w:rsidR="00F06498" w:rsidRPr="00253F42">
        <w:rPr>
          <w:rFonts w:ascii="Times New Roman" w:eastAsia="Arial Unicode MS" w:hAnsi="Times New Roman" w:cs="Times New Roman"/>
          <w:sz w:val="24"/>
          <w:szCs w:val="23"/>
          <w:lang w:val="es-PE" w:eastAsia="ar-SA"/>
        </w:rPr>
        <w:t>de 202</w:t>
      </w:r>
      <w:r w:rsidR="00AE4D37" w:rsidRPr="00253F42">
        <w:rPr>
          <w:rFonts w:ascii="Times New Roman" w:eastAsia="Arial Unicode MS" w:hAnsi="Times New Roman" w:cs="Times New Roman"/>
          <w:sz w:val="24"/>
          <w:szCs w:val="23"/>
          <w:lang w:val="es-PE" w:eastAsia="ar-SA"/>
        </w:rPr>
        <w:t>5</w:t>
      </w:r>
      <w:r w:rsidR="00707C99" w:rsidRPr="00253F42">
        <w:rPr>
          <w:rFonts w:ascii="Times New Roman" w:eastAsia="Times New Roman" w:hAnsi="Times New Roman" w:cs="Times New Roman"/>
          <w:sz w:val="24"/>
          <w:szCs w:val="23"/>
          <w:lang w:val="es-PE" w:eastAsia="ar-SA"/>
        </w:rPr>
        <w:t xml:space="preserve"> </w:t>
      </w:r>
    </w:p>
    <w:p w14:paraId="1B6988F6" w14:textId="77777777" w:rsidR="00A323F4" w:rsidRPr="00253F42" w:rsidRDefault="00A323F4" w:rsidP="00A323F4">
      <w:pPr>
        <w:spacing w:after="0" w:line="240" w:lineRule="auto"/>
        <w:jc w:val="both"/>
        <w:rPr>
          <w:rFonts w:ascii="Times New Roman" w:hAnsi="Times New Roman" w:cs="Times New Roman"/>
          <w:b/>
          <w:bCs/>
          <w:i/>
          <w:iCs/>
          <w:sz w:val="23"/>
          <w:szCs w:val="23"/>
          <w:lang w:val="es-PE"/>
        </w:rPr>
      </w:pPr>
      <w:r w:rsidRPr="00253F42">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253F42" w:rsidRDefault="008D26BA" w:rsidP="00A323F4">
      <w:pPr>
        <w:spacing w:after="0" w:line="360" w:lineRule="auto"/>
        <w:jc w:val="both"/>
        <w:rPr>
          <w:rFonts w:ascii="Times New Roman" w:hAnsi="Times New Roman" w:cs="Times New Roman"/>
          <w:b/>
          <w:bCs/>
          <w:i/>
          <w:iCs/>
          <w:sz w:val="23"/>
          <w:szCs w:val="23"/>
          <w:lang w:val="es-PE"/>
        </w:rPr>
      </w:pPr>
    </w:p>
    <w:p w14:paraId="220AA7AD" w14:textId="4331E0E4" w:rsidR="007543CD" w:rsidRPr="00253F42" w:rsidRDefault="008D26BA" w:rsidP="008D26BA">
      <w:pPr>
        <w:spacing w:after="0" w:line="360" w:lineRule="auto"/>
        <w:jc w:val="center"/>
        <w:rPr>
          <w:rFonts w:ascii="Times New Roman" w:hAnsi="Times New Roman" w:cs="Times New Roman"/>
          <w:b/>
          <w:bCs/>
          <w:sz w:val="23"/>
          <w:szCs w:val="23"/>
          <w:lang w:val="es-PE"/>
        </w:rPr>
      </w:pPr>
      <w:r w:rsidRPr="00253F42">
        <w:rPr>
          <w:rFonts w:ascii="Times New Roman" w:hAnsi="Times New Roman" w:cs="Times New Roman"/>
          <w:b/>
          <w:bCs/>
          <w:sz w:val="24"/>
          <w:szCs w:val="23"/>
          <w:lang w:val="es-PE"/>
        </w:rPr>
        <w:t xml:space="preserve">Rolando Eyzaguirre </w:t>
      </w:r>
      <w:proofErr w:type="spellStart"/>
      <w:r w:rsidRPr="00253F42">
        <w:rPr>
          <w:rFonts w:ascii="Times New Roman" w:hAnsi="Times New Roman" w:cs="Times New Roman"/>
          <w:b/>
          <w:bCs/>
          <w:sz w:val="24"/>
          <w:szCs w:val="23"/>
          <w:lang w:val="es-PE"/>
        </w:rPr>
        <w:t>Maccan</w:t>
      </w:r>
      <w:proofErr w:type="spellEnd"/>
      <w:r w:rsidRPr="00253F42">
        <w:rPr>
          <w:rFonts w:ascii="Times New Roman" w:hAnsi="Times New Roman" w:cs="Times New Roman"/>
          <w:b/>
          <w:bCs/>
          <w:sz w:val="24"/>
          <w:szCs w:val="23"/>
          <w:lang w:val="es-PE"/>
        </w:rPr>
        <w:t xml:space="preserve"> </w:t>
      </w:r>
      <w:r w:rsidR="007543CD" w:rsidRPr="00253F42">
        <w:rPr>
          <w:rFonts w:ascii="Times New Roman" w:hAnsi="Times New Roman" w:cs="Times New Roman"/>
          <w:b/>
          <w:bCs/>
          <w:sz w:val="24"/>
          <w:szCs w:val="23"/>
          <w:lang w:val="es-PE"/>
        </w:rPr>
        <w:t xml:space="preserve">– </w:t>
      </w:r>
      <w:proofErr w:type="gramStart"/>
      <w:r w:rsidR="007543CD" w:rsidRPr="00253F42">
        <w:rPr>
          <w:rFonts w:ascii="Times New Roman" w:hAnsi="Times New Roman" w:cs="Times New Roman"/>
          <w:b/>
          <w:bCs/>
          <w:sz w:val="24"/>
          <w:szCs w:val="23"/>
          <w:lang w:val="es-PE"/>
        </w:rPr>
        <w:t>Presidente</w:t>
      </w:r>
      <w:proofErr w:type="gramEnd"/>
    </w:p>
    <w:p w14:paraId="5B7063E0" w14:textId="43329098" w:rsidR="008D26BA" w:rsidRPr="00253F42" w:rsidRDefault="008D26BA" w:rsidP="008D26BA">
      <w:pPr>
        <w:spacing w:after="0" w:line="360" w:lineRule="auto"/>
        <w:jc w:val="center"/>
        <w:rPr>
          <w:rFonts w:ascii="Times New Roman" w:hAnsi="Times New Roman" w:cs="Times New Roman"/>
          <w:b/>
          <w:bCs/>
          <w:sz w:val="23"/>
          <w:szCs w:val="23"/>
          <w:lang w:val="es-PE"/>
        </w:rPr>
      </w:pPr>
      <w:r w:rsidRPr="00253F42">
        <w:rPr>
          <w:rFonts w:ascii="Times New Roman" w:hAnsi="Times New Roman" w:cs="Times New Roman"/>
          <w:b/>
          <w:bCs/>
          <w:sz w:val="24"/>
          <w:szCs w:val="23"/>
          <w:lang w:val="es-PE"/>
        </w:rPr>
        <w:t>María Eugenia Valdez Fernández Baca – Vocal</w:t>
      </w:r>
    </w:p>
    <w:p w14:paraId="69BFE54F" w14:textId="628D5C27" w:rsidR="007543CD" w:rsidRPr="00253F42" w:rsidRDefault="001B08C0" w:rsidP="007543CD">
      <w:pPr>
        <w:spacing w:after="0" w:line="360" w:lineRule="auto"/>
        <w:jc w:val="center"/>
        <w:rPr>
          <w:rFonts w:ascii="Times New Roman" w:hAnsi="Times New Roman" w:cs="Times New Roman"/>
          <w:sz w:val="23"/>
          <w:szCs w:val="23"/>
          <w:lang w:val="es-PE"/>
        </w:rPr>
      </w:pPr>
      <w:r w:rsidRPr="00253F42">
        <w:rPr>
          <w:rFonts w:ascii="Times New Roman" w:hAnsi="Times New Roman" w:cs="Times New Roman"/>
          <w:b/>
          <w:bCs/>
          <w:sz w:val="24"/>
          <w:szCs w:val="23"/>
        </w:rPr>
        <w:t>Antonio José Rodríguez Lobatón</w:t>
      </w:r>
      <w:r w:rsidRPr="00253F42">
        <w:rPr>
          <w:rFonts w:ascii="Times New Roman" w:hAnsi="Times New Roman" w:cs="Times New Roman"/>
          <w:b/>
          <w:bCs/>
          <w:sz w:val="24"/>
          <w:szCs w:val="23"/>
          <w:lang w:val="es-PE"/>
        </w:rPr>
        <w:t xml:space="preserve"> </w:t>
      </w:r>
      <w:r w:rsidR="007543CD" w:rsidRPr="00253F42">
        <w:rPr>
          <w:rFonts w:ascii="Times New Roman" w:hAnsi="Times New Roman" w:cs="Times New Roman"/>
          <w:b/>
          <w:bCs/>
          <w:sz w:val="24"/>
          <w:szCs w:val="23"/>
          <w:lang w:val="es-PE"/>
        </w:rPr>
        <w:t>– Vocal</w:t>
      </w:r>
    </w:p>
    <w:p w14:paraId="412CCBAA" w14:textId="77777777" w:rsidR="00986F0C" w:rsidRPr="001B08C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0B6D" w14:textId="77777777" w:rsidR="00BF7815" w:rsidRDefault="00BF7815" w:rsidP="00784355">
      <w:pPr>
        <w:spacing w:after="0" w:line="240" w:lineRule="auto"/>
      </w:pPr>
      <w:r>
        <w:separator/>
      </w:r>
    </w:p>
  </w:endnote>
  <w:endnote w:type="continuationSeparator" w:id="0">
    <w:p w14:paraId="084AF824" w14:textId="77777777" w:rsidR="00BF7815" w:rsidRDefault="00BF781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730C" w14:textId="77777777" w:rsidR="00BF7815" w:rsidRDefault="00BF7815" w:rsidP="00784355">
      <w:pPr>
        <w:spacing w:after="0" w:line="240" w:lineRule="auto"/>
      </w:pPr>
      <w:r>
        <w:separator/>
      </w:r>
    </w:p>
  </w:footnote>
  <w:footnote w:type="continuationSeparator" w:id="0">
    <w:p w14:paraId="72F0D2F7" w14:textId="77777777" w:rsidR="00BF7815" w:rsidRDefault="00BF781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31C1D"/>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07A06D1-1866-4B13-8A9A-CE78921A6672}"/>
</file>

<file path=customXml/itemProps3.xml><?xml version="1.0" encoding="utf-8"?>
<ds:datastoreItem xmlns:ds="http://schemas.openxmlformats.org/officeDocument/2006/customXml" ds:itemID="{557EDF92-FB6A-4A33-93BA-DC9869845B67}"/>
</file>

<file path=customXml/itemProps4.xml><?xml version="1.0" encoding="utf-8"?>
<ds:datastoreItem xmlns:ds="http://schemas.openxmlformats.org/officeDocument/2006/customXml" ds:itemID="{7B61AB6A-4FB6-4B81-A818-720687949549}"/>
</file>

<file path=docProps/app.xml><?xml version="1.0" encoding="utf-8"?>
<Properties xmlns="http://schemas.openxmlformats.org/officeDocument/2006/extended-properties" xmlns:vt="http://schemas.openxmlformats.org/officeDocument/2006/docPropsVTypes">
  <Template>Normal</Template>
  <TotalTime>290</TotalTime>
  <Pages>4</Pages>
  <Words>1237</Words>
  <Characters>6804</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353</cp:revision>
  <cp:lastPrinted>2025-06-06T16:25:00Z</cp:lastPrinted>
  <dcterms:created xsi:type="dcterms:W3CDTF">2023-02-14T22:37:00Z</dcterms:created>
  <dcterms:modified xsi:type="dcterms:W3CDTF">2025-06-06T16:25:00Z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