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B8FD7" w14:textId="4085C96D" w:rsidR="005A2497" w:rsidRPr="009849E6" w:rsidRDefault="00201C0D" w:rsidP="009849E6">
      <w:pPr>
        <w:spacing w:after="0" w:line="240" w:lineRule="auto"/>
        <w:jc w:val="center"/>
        <w:rPr>
          <w:rFonts w:ascii="Times New Roman" w:hAnsi="Times New Roman" w:cs="Times New Roman"/>
          <w:b/>
          <w:sz w:val="24"/>
          <w:szCs w:val="24"/>
          <w:lang w:val="es-PE" w:eastAsia="ar-SA"/>
        </w:rPr>
      </w:pPr>
      <w:r w:rsidRPr="009849E6">
        <w:rPr>
          <w:rFonts w:ascii="Times New Roman" w:hAnsi="Times New Roman" w:cs="Times New Roman"/>
          <w:b/>
          <w:sz w:val="24"/>
          <w:szCs w:val="24"/>
          <w:lang w:val="es-PE" w:eastAsia="ar-SA"/>
        </w:rPr>
        <w:t xml:space="preserve">RESOLUCIÓN DE RECURSO IMPUGNATIVO </w:t>
      </w:r>
      <w:r w:rsidR="00707C99" w:rsidRPr="009849E6">
        <w:rPr>
          <w:rFonts w:ascii="Times New Roman" w:hAnsi="Times New Roman" w:cs="Times New Roman"/>
          <w:b/>
          <w:sz w:val="24"/>
          <w:szCs w:val="24"/>
          <w:lang w:val="es-PE" w:eastAsia="ar-SA"/>
        </w:rPr>
        <w:t xml:space="preserve">N° </w:t>
      </w:r>
      <w:r w:rsidR="00516293" w:rsidRPr="009849E6">
        <w:rPr>
          <w:rFonts w:ascii="Times New Roman" w:hAnsi="Times New Roman" w:cs="Times New Roman"/>
          <w:b/>
          <w:sz w:val="24"/>
          <w:szCs w:val="24"/>
          <w:lang w:val="es-PE" w:eastAsia="ar-SA"/>
        </w:rPr>
        <w:t>0</w:t>
      </w:r>
      <w:r w:rsidR="00D26530" w:rsidRPr="009849E6">
        <w:rPr>
          <w:rFonts w:ascii="Times New Roman" w:hAnsi="Times New Roman" w:cs="Times New Roman"/>
          <w:b/>
          <w:sz w:val="24"/>
          <w:szCs w:val="24"/>
          <w:lang w:val="es-PE" w:eastAsia="ar-SA"/>
        </w:rPr>
        <w:t>2</w:t>
      </w:r>
      <w:r w:rsidR="00EE2E2E">
        <w:rPr>
          <w:rFonts w:ascii="Times New Roman" w:hAnsi="Times New Roman" w:cs="Times New Roman"/>
          <w:b/>
          <w:sz w:val="24"/>
          <w:szCs w:val="24"/>
          <w:lang w:val="es-PE" w:eastAsia="ar-SA"/>
        </w:rPr>
        <w:t>8</w:t>
      </w:r>
      <w:r w:rsidR="00C671F5" w:rsidRPr="009849E6">
        <w:rPr>
          <w:rFonts w:ascii="Times New Roman" w:hAnsi="Times New Roman" w:cs="Times New Roman"/>
          <w:b/>
          <w:sz w:val="24"/>
          <w:szCs w:val="24"/>
          <w:lang w:val="es-PE" w:eastAsia="ar-SA"/>
        </w:rPr>
        <w:t>/2</w:t>
      </w:r>
      <w:r w:rsidR="00A74F96" w:rsidRPr="009849E6">
        <w:rPr>
          <w:rFonts w:ascii="Times New Roman" w:hAnsi="Times New Roman" w:cs="Times New Roman"/>
          <w:b/>
          <w:sz w:val="24"/>
          <w:szCs w:val="24"/>
          <w:lang w:val="es-PE" w:eastAsia="ar-SA"/>
        </w:rPr>
        <w:t>5</w:t>
      </w:r>
    </w:p>
    <w:p w14:paraId="56DB191C" w14:textId="77777777" w:rsidR="005A2497" w:rsidRPr="009849E6" w:rsidRDefault="005A2497" w:rsidP="009849E6">
      <w:pPr>
        <w:spacing w:after="0" w:line="240" w:lineRule="auto"/>
        <w:jc w:val="both"/>
        <w:rPr>
          <w:rFonts w:ascii="Times New Roman" w:hAnsi="Times New Roman" w:cs="Times New Roman"/>
          <w:b/>
          <w:sz w:val="24"/>
          <w:szCs w:val="24"/>
          <w:lang w:val="es-PE" w:eastAsia="ar-SA"/>
        </w:rPr>
      </w:pPr>
    </w:p>
    <w:p w14:paraId="522D283A" w14:textId="77777777" w:rsidR="00DF719C" w:rsidRPr="00DF719C" w:rsidRDefault="00DF719C" w:rsidP="00DF719C">
      <w:pPr>
        <w:spacing w:line="240" w:lineRule="auto"/>
        <w:jc w:val="both"/>
        <w:rPr>
          <w:rFonts w:ascii="Times New Roman" w:eastAsia="Arial Unicode MS" w:hAnsi="Times New Roman" w:cs="Times New Roman"/>
          <w:b/>
          <w:bCs/>
          <w:sz w:val="24"/>
          <w:szCs w:val="24"/>
          <w:lang w:val="es-MX" w:eastAsia="ar-SA"/>
        </w:rPr>
      </w:pPr>
      <w:r w:rsidRPr="00DF719C">
        <w:rPr>
          <w:rFonts w:ascii="Times New Roman" w:eastAsia="Arial Unicode MS" w:hAnsi="Times New Roman" w:cs="Times New Roman"/>
          <w:b/>
          <w:bCs/>
          <w:sz w:val="24"/>
          <w:szCs w:val="24"/>
          <w:lang w:val="es-MX" w:eastAsia="ar-SA"/>
        </w:rPr>
        <w:t>VISTOS:</w:t>
      </w:r>
    </w:p>
    <w:p w14:paraId="296D1E26" w14:textId="77777777" w:rsidR="00DF719C" w:rsidRPr="00DF719C" w:rsidRDefault="00DF719C" w:rsidP="00DF719C">
      <w:pPr>
        <w:spacing w:line="240" w:lineRule="auto"/>
        <w:jc w:val="both"/>
        <w:rPr>
          <w:rFonts w:ascii="Times New Roman" w:eastAsia="Arial Unicode MS" w:hAnsi="Times New Roman" w:cs="Times New Roman"/>
          <w:b/>
          <w:bCs/>
          <w:sz w:val="24"/>
          <w:szCs w:val="24"/>
          <w:lang w:val="es-PE" w:eastAsia="ar-SA"/>
        </w:rPr>
      </w:pPr>
      <w:r>
        <w:rPr>
          <w:rFonts w:ascii="Times New Roman" w:hAnsi="Times New Roman"/>
          <w:sz w:val="24"/>
        </w:rPr>
        <w:t xml:space="preserve">El Recurso de Impugnación presentado por ………………… respecto de la Resolución Nro. 260/24, expedida por el Órgano Resolutivo Unipersonal de esta Defensoría del Asegurado (DEFASEG), conforme a la cual se declaró FUNDADA la reclamación interpuesta por ………………… respecto al Seguro de Protección de Tarjetas.</w:t>
      </w:r>
    </w:p>
    <w:p w14:paraId="5A2A72EB" w14:textId="77777777" w:rsidR="00DF719C" w:rsidRPr="00DF719C" w:rsidRDefault="00DF719C" w:rsidP="00DF719C">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Que, el indicado recurso se sustenta resumidamente en lo siguiente: a) con fecha 20 de noviembre de 2024, la señora………………… contrató el seguro denominado “Seguro Protección de Tarjetas 360°”, tomando conocimiento, en dicho momento, acerca de los términos y condiciones del Seguro contratado, siendo de uno de ellos la obligación de presentar la denuncia policial dentro del plazo de 4 (cuatro) horas desde ocurrido el siniestro o desde que se tome conocimiento del mismo; b)  al momento de contratar, la Sra.………………… fue debidamente informada que el incumplimiento de cualquier obligación establecida podría afectar el pago de la indemnización o prestación a las que tendría derecho, tal como se indica textualmente en el certificado que le fue remitido electrónicamente; c) la señora………………… presentó el 20 de setiembre de 2024 la denuncia policial por los hechos ocurridos el 18 de agosto de 2024; esto es, treinta y cuatro (34) días después de ocurrido el evento; d) mediante la Resolución materia de apelación, su Despacho concluye que la razonabilidad de la carga está directamente vinculada a que influya o no en la extensión de la obligación asumida por la aseguradora, por lo que no basta el incumplimiento literal de una carga para acarrear la pérdida de los derechos indemnizatorios, si no que ésta tenga una eficacia efectiva en la responsabilidad que asume la aseguradora. Por ello, nuestra compañía debe demostrar la forma en la cual la denuncia policial interpuesta en un plazo mayor a cuatro horas influye en el alcance de las obligaciones derivadas del contrato de seguro; e) las cargas contractualmente contenidas en las pólizas y certificados de seguro tienen por objeto ser reglas de conducta cuyo incumplimiento es de cargo del asegurado, y que suele penalizarse porque obstaculiza o dificulta la determinación de las circunstancias y consecuencias del siniestro; f) tratándose de una póliza o seguro de protección de tarjeta, que es un producto expuesto a simulación o fraude, requiere cuando menos que las cargas sean razonables, como sería en el presente caso, la constancia oficial de la ocurrencia de un evento. Es conveniente indicar que la carga que nos ocupa no es considerada una cláusula abusiva ni mucho menos una estipulación prohibida de conformidad con la Ley del Contrato de Seguro; g) el hecho que los asegurados presenten la denuncia policial fuera del plazo establecido en el Seguro evidentemente genera un perjuicio, en la medida que estamos ante un incumplimiento contractual, y con el agravante de que la falta de aviso o de denuncia influye en la verificación o determinación del siniestro; h)  la denuncia policial es el único documento por el cual nuestra compañía puede evidenciar los hechos ocurridos y, la presentación tardía de esta solo podrá obedecer a una fuerza mayor, debidamente acreditada, que impida al asegurado interponerla dentro del plazo establecido.</w:t>
      </w:r>
    </w:p>
    <w:p w14:paraId="2987766B" w14:textId="77777777" w:rsidR="00DF719C" w:rsidRPr="00DF719C" w:rsidRDefault="00DF719C" w:rsidP="00DF719C">
      <w:pPr>
        <w:spacing w:line="240" w:lineRule="auto"/>
        <w:jc w:val="both"/>
        <w:rPr>
          <w:rFonts w:ascii="Times New Roman" w:eastAsia="Arial Unicode MS" w:hAnsi="Times New Roman" w:cs="Times New Roman"/>
          <w:bCs/>
          <w:sz w:val="24"/>
          <w:szCs w:val="24"/>
          <w:lang w:val="es-MX" w:eastAsia="ar-SA"/>
        </w:rPr>
      </w:pPr>
      <w:r>
        <w:rPr>
          <w:rFonts w:ascii="Times New Roman" w:hAnsi="Times New Roman"/>
          <w:sz w:val="24"/>
        </w:rPr>
        <w:t xml:space="preserve">Que, habiéndosele corrido traslado de la señalada impugnación, la señora………………… no ha absuelto el trámite correspondiente.</w:t>
      </w:r>
    </w:p>
    <w:p w14:paraId="4CD6A091" w14:textId="77777777" w:rsidR="00DF719C" w:rsidRPr="00DF719C" w:rsidRDefault="00DF719C" w:rsidP="00DF719C">
      <w:pPr>
        <w:spacing w:line="240" w:lineRule="auto"/>
        <w:jc w:val="both"/>
        <w:rPr>
          <w:rFonts w:ascii="Times New Roman" w:eastAsia="Arial Unicode MS" w:hAnsi="Times New Roman" w:cs="Times New Roman"/>
          <w:bCs/>
          <w:sz w:val="24"/>
          <w:szCs w:val="24"/>
          <w:lang w:val="es-MX" w:eastAsia="ar-SA"/>
        </w:rPr>
      </w:pPr>
    </w:p>
    <w:p w14:paraId="60DAAF45" w14:textId="77777777" w:rsidR="00DF719C" w:rsidRPr="00DF719C" w:rsidRDefault="00DF719C" w:rsidP="00DF719C">
      <w:pPr>
        <w:spacing w:line="240" w:lineRule="auto"/>
        <w:jc w:val="both"/>
        <w:rPr>
          <w:rFonts w:ascii="Times New Roman" w:eastAsia="Arial Unicode MS" w:hAnsi="Times New Roman" w:cs="Times New Roman"/>
          <w:bCs/>
          <w:sz w:val="24"/>
          <w:szCs w:val="24"/>
          <w:lang w:val="es-MX" w:eastAsia="ar-SA"/>
        </w:rPr>
      </w:pPr>
      <w:r w:rsidRPr="00DF719C">
        <w:rPr>
          <w:rFonts w:ascii="Times New Roman" w:eastAsia="Arial Unicode MS" w:hAnsi="Times New Roman" w:cs="Times New Roman"/>
          <w:bCs/>
          <w:sz w:val="24"/>
          <w:szCs w:val="24"/>
          <w:lang w:val="es-MX" w:eastAsia="ar-SA"/>
        </w:rPr>
        <w:t>Que, atendiendo a lo expuesto, esta Defensoría resuelve finalmente lo siguiente:</w:t>
      </w:r>
    </w:p>
    <w:p w14:paraId="4082C6AE" w14:textId="77777777" w:rsidR="00DF719C" w:rsidRPr="00DF719C" w:rsidRDefault="00DF719C" w:rsidP="00DF719C">
      <w:pPr>
        <w:spacing w:line="240" w:lineRule="auto"/>
        <w:jc w:val="both"/>
        <w:rPr>
          <w:rFonts w:ascii="Times New Roman" w:eastAsia="Arial Unicode MS" w:hAnsi="Times New Roman" w:cs="Times New Roman"/>
          <w:bCs/>
          <w:sz w:val="24"/>
          <w:szCs w:val="24"/>
          <w:lang w:val="es-MX" w:eastAsia="ar-SA"/>
        </w:rPr>
      </w:pPr>
    </w:p>
    <w:p w14:paraId="740CC82A" w14:textId="77777777" w:rsidR="00DF719C" w:rsidRPr="00DF719C" w:rsidRDefault="00DF719C" w:rsidP="00DF719C">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Órgano Resolutivo Unipersonal sobre la materia reclamada, podrá impugnarla, interponiendo el correspondiente Recurso de Impugnación.  </w:t>
      </w:r>
    </w:p>
    <w:p w14:paraId="2967F3FD" w14:textId="77777777" w:rsidR="00DF719C" w:rsidRPr="00DF719C" w:rsidRDefault="00DF719C" w:rsidP="00DF719C">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Conforme a ello, en el caso concreto, al interponer el Recurso de Impugnación la aseguradora ha ejercido formalmente su derecho a contradecir lo resuelto por la Defensoría.</w:t>
      </w:r>
    </w:p>
    <w:p w14:paraId="1407E6C9" w14:textId="77777777" w:rsidR="00DF719C" w:rsidRPr="00DF719C" w:rsidRDefault="00DF719C" w:rsidP="00DF719C">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SEGUNDO: Que el Recurso de Impugnación presentado por la aseguradora no se sustenta en nueva prueba sino en tratar de desvirtuar los fundamentos de la Resolución Impugnada, invocando que el hecho que los asegurados presenten la denuncia policial fuera del plazo establecido en el seguro sí genera un perjuicio a la aseguradora.</w:t>
      </w:r>
    </w:p>
    <w:p w14:paraId="0E2D7780" w14:textId="77777777" w:rsidR="00DF719C" w:rsidRPr="00DF719C" w:rsidRDefault="00DF719C" w:rsidP="00DF719C">
      <w:pPr>
        <w:spacing w:line="240" w:lineRule="auto"/>
        <w:jc w:val="both"/>
        <w:rPr>
          <w:rFonts w:ascii="Times New Roman" w:eastAsia="Arial Unicode MS" w:hAnsi="Times New Roman" w:cs="Times New Roman"/>
          <w:sz w:val="24"/>
          <w:szCs w:val="24"/>
          <w:lang w:val="es-419" w:eastAsia="ar-SA"/>
        </w:rPr>
      </w:pPr>
      <w:r w:rsidRPr="00DF719C">
        <w:rPr>
          <w:rFonts w:ascii="Times New Roman" w:eastAsia="Arial Unicode MS" w:hAnsi="Times New Roman" w:cs="Times New Roman"/>
          <w:sz w:val="24"/>
          <w:szCs w:val="24"/>
          <w:lang w:val="es-419" w:eastAsia="ar-SA"/>
        </w:rPr>
        <w:t xml:space="preserve">Al respecto, el artículo 59 de la Ley del Contrato de Seguro -Ley 29946- señala que: </w:t>
      </w:r>
    </w:p>
    <w:p w14:paraId="014E321C" w14:textId="77777777" w:rsidR="00DF719C" w:rsidRPr="00DF719C" w:rsidRDefault="00DF719C" w:rsidP="00603D48">
      <w:pPr>
        <w:spacing w:line="240" w:lineRule="auto"/>
        <w:ind w:left="1440"/>
        <w:jc w:val="both"/>
        <w:rPr>
          <w:rFonts w:ascii="Times New Roman" w:eastAsia="Arial Unicode MS" w:hAnsi="Times New Roman" w:cs="Times New Roman"/>
          <w:i/>
          <w:sz w:val="24"/>
          <w:szCs w:val="24"/>
          <w:lang w:val="es-PE" w:eastAsia="ar-SA"/>
        </w:rPr>
      </w:pPr>
      <w:r w:rsidRPr="00DF719C">
        <w:rPr>
          <w:rFonts w:ascii="Times New Roman" w:eastAsia="Arial Unicode MS" w:hAnsi="Times New Roman" w:cs="Times New Roman"/>
          <w:i/>
          <w:sz w:val="24"/>
          <w:szCs w:val="24"/>
          <w:lang w:val="es-419" w:eastAsia="ar-SA"/>
        </w:rPr>
        <w:tab/>
        <w:t>“</w:t>
      </w:r>
      <w:r w:rsidRPr="00DF719C">
        <w:rPr>
          <w:rFonts w:ascii="Times New Roman" w:eastAsia="Arial Unicode MS" w:hAnsi="Times New Roman" w:cs="Times New Roman"/>
          <w:i/>
          <w:sz w:val="24"/>
          <w:szCs w:val="24"/>
          <w:lang w:val="es-PE" w:eastAsia="ar-SA"/>
        </w:rPr>
        <w:t xml:space="preserve">Cuando la presente ley no determine el efecto del incumplimiento de una carga impuesta al asegurado, las partes pueden convenir la caducidad de los derechos del asegurado si el incumplimiento obedece a su dolo o culpa inexcusable, </w:t>
      </w:r>
      <w:proofErr w:type="gramStart"/>
      <w:r w:rsidRPr="00DF719C">
        <w:rPr>
          <w:rFonts w:ascii="Times New Roman" w:eastAsia="Arial Unicode MS" w:hAnsi="Times New Roman" w:cs="Times New Roman"/>
          <w:i/>
          <w:sz w:val="24"/>
          <w:szCs w:val="24"/>
          <w:lang w:val="es-PE" w:eastAsia="ar-SA"/>
        </w:rPr>
        <w:t>de acuerdo al</w:t>
      </w:r>
      <w:proofErr w:type="gramEnd"/>
      <w:r w:rsidRPr="00DF719C">
        <w:rPr>
          <w:rFonts w:ascii="Times New Roman" w:eastAsia="Arial Unicode MS" w:hAnsi="Times New Roman" w:cs="Times New Roman"/>
          <w:i/>
          <w:sz w:val="24"/>
          <w:szCs w:val="24"/>
          <w:lang w:val="es-PE" w:eastAsia="ar-SA"/>
        </w:rPr>
        <w:t xml:space="preserve"> siguiente régimen:</w:t>
      </w:r>
    </w:p>
    <w:p w14:paraId="2FE51006" w14:textId="77777777" w:rsidR="00DF719C" w:rsidRPr="00DF719C" w:rsidRDefault="00DF719C" w:rsidP="00603D48">
      <w:pPr>
        <w:spacing w:line="240" w:lineRule="auto"/>
        <w:ind w:left="1440"/>
        <w:jc w:val="both"/>
        <w:rPr>
          <w:rFonts w:ascii="Times New Roman" w:eastAsia="Arial Unicode MS" w:hAnsi="Times New Roman" w:cs="Times New Roman"/>
          <w:i/>
          <w:sz w:val="24"/>
          <w:szCs w:val="24"/>
          <w:lang w:val="es-PE" w:eastAsia="ar-SA"/>
        </w:rPr>
      </w:pPr>
      <w:r w:rsidRPr="00DF719C">
        <w:rPr>
          <w:rFonts w:ascii="Times New Roman" w:eastAsia="Arial Unicode MS" w:hAnsi="Times New Roman" w:cs="Times New Roman"/>
          <w:i/>
          <w:sz w:val="24"/>
          <w:szCs w:val="24"/>
          <w:lang w:val="es-PE" w:eastAsia="ar-SA"/>
        </w:rPr>
        <w:t>Cargas posteriores al siniestro</w:t>
      </w:r>
    </w:p>
    <w:p w14:paraId="01A48456" w14:textId="77777777" w:rsidR="00DF719C" w:rsidRPr="00DF719C" w:rsidRDefault="00DF719C" w:rsidP="00603D48">
      <w:pPr>
        <w:spacing w:line="240" w:lineRule="auto"/>
        <w:ind w:left="1440"/>
        <w:jc w:val="both"/>
        <w:rPr>
          <w:rFonts w:ascii="Times New Roman" w:eastAsia="Arial Unicode MS" w:hAnsi="Times New Roman" w:cs="Times New Roman"/>
          <w:b/>
          <w:i/>
          <w:sz w:val="24"/>
          <w:szCs w:val="24"/>
          <w:u w:val="single"/>
          <w:lang w:val="es-PE" w:eastAsia="ar-SA"/>
        </w:rPr>
      </w:pPr>
      <w:r w:rsidRPr="00DF719C">
        <w:rPr>
          <w:rFonts w:ascii="Times New Roman" w:eastAsia="Arial Unicode MS" w:hAnsi="Times New Roman" w:cs="Times New Roman"/>
          <w:b/>
          <w:i/>
          <w:sz w:val="24"/>
          <w:szCs w:val="24"/>
          <w:lang w:val="es-PE" w:eastAsia="ar-SA"/>
        </w:rPr>
        <w:t xml:space="preserve">c) </w:t>
      </w:r>
      <w:r w:rsidRPr="00DF719C">
        <w:rPr>
          <w:rFonts w:ascii="Times New Roman" w:eastAsia="Arial Unicode MS" w:hAnsi="Times New Roman" w:cs="Times New Roman"/>
          <w:b/>
          <w:i/>
          <w:sz w:val="24"/>
          <w:szCs w:val="24"/>
          <w:lang w:val="es-PE" w:eastAsia="ar-SA"/>
        </w:rPr>
        <w:tab/>
        <w:t xml:space="preserve">Si la carga debe ejecutarse después del siniestro, el asegurador se libera por el incumplimiento del asegurado, si el mismo influyó </w:t>
      </w:r>
      <w:r w:rsidRPr="00DF719C">
        <w:rPr>
          <w:rFonts w:ascii="Times New Roman" w:eastAsia="Arial Unicode MS" w:hAnsi="Times New Roman" w:cs="Times New Roman"/>
          <w:b/>
          <w:i/>
          <w:sz w:val="24"/>
          <w:szCs w:val="24"/>
          <w:u w:val="single"/>
          <w:lang w:val="es-PE" w:eastAsia="ar-SA"/>
        </w:rPr>
        <w:t>en la extensión de la obligación asumida.</w:t>
      </w:r>
    </w:p>
    <w:p w14:paraId="1F75812B" w14:textId="77777777" w:rsidR="00DF719C" w:rsidRPr="00DF719C" w:rsidRDefault="00DF719C" w:rsidP="00603D48">
      <w:pPr>
        <w:spacing w:line="240" w:lineRule="auto"/>
        <w:ind w:left="1440"/>
        <w:jc w:val="both"/>
        <w:rPr>
          <w:rFonts w:ascii="Times New Roman" w:eastAsia="Arial Unicode MS" w:hAnsi="Times New Roman" w:cs="Times New Roman"/>
          <w:i/>
          <w:sz w:val="24"/>
          <w:szCs w:val="24"/>
          <w:lang w:val="es-PE" w:eastAsia="ar-SA"/>
        </w:rPr>
      </w:pPr>
      <w:r w:rsidRPr="00DF719C">
        <w:rPr>
          <w:rFonts w:ascii="Times New Roman" w:eastAsia="Arial Unicode MS" w:hAnsi="Times New Roman" w:cs="Times New Roman"/>
          <w:i/>
          <w:sz w:val="24"/>
          <w:szCs w:val="24"/>
          <w:lang w:val="es-PE" w:eastAsia="ar-SA"/>
        </w:rPr>
        <w:t xml:space="preserve">d) </w:t>
      </w:r>
      <w:r w:rsidRPr="00DF719C">
        <w:rPr>
          <w:rFonts w:ascii="Times New Roman" w:eastAsia="Arial Unicode MS" w:hAnsi="Times New Roman" w:cs="Times New Roman"/>
          <w:i/>
          <w:sz w:val="24"/>
          <w:szCs w:val="24"/>
          <w:lang w:val="es-PE" w:eastAsia="ar-SA"/>
        </w:rPr>
        <w:tab/>
        <w:t>En caso de culpa leve, la indemnización se reduce de manera proporcional a la agravación del siniestro consecuencia del incumplimiento.”</w:t>
      </w:r>
    </w:p>
    <w:p w14:paraId="79E90701" w14:textId="77777777" w:rsidR="00DF719C" w:rsidRPr="00DF719C" w:rsidRDefault="00DF719C" w:rsidP="00DF719C">
      <w:pPr>
        <w:spacing w:line="240" w:lineRule="auto"/>
        <w:jc w:val="both"/>
        <w:rPr>
          <w:rFonts w:ascii="Times New Roman" w:eastAsia="Arial Unicode MS" w:hAnsi="Times New Roman" w:cs="Times New Roman"/>
          <w:sz w:val="24"/>
          <w:szCs w:val="24"/>
          <w:lang w:val="es-PE" w:eastAsia="ar-SA"/>
        </w:rPr>
      </w:pPr>
      <w:r w:rsidRPr="00DF719C">
        <w:rPr>
          <w:rFonts w:ascii="Times New Roman" w:eastAsia="Arial Unicode MS" w:hAnsi="Times New Roman" w:cs="Times New Roman"/>
          <w:sz w:val="24"/>
          <w:szCs w:val="24"/>
          <w:lang w:val="es-PE" w:eastAsia="ar-SA"/>
        </w:rPr>
        <w:t>Sobre el particular, este Colegiado reitera que la razonabilidad de la carga está directamente vinculada a que influya o no en la extensión de la obligación asumida por la aseguradora. En ese sentido, no basta el incumplimiento literal para acarrear la pérdida de los derechos indemnizatorios, sino que ésta tenga una eficacia efectiva en la responsabilidad que asume la aseguradora. En el presente caso la aseguradora no ha demostrado cómo la denuncia policial efectuada en un plazo mayor a 4 horas ha influido en el alcance de las obligaciones derivadas del contrato de seguro.</w:t>
      </w:r>
    </w:p>
    <w:p w14:paraId="7BBE9DC8" w14:textId="77777777" w:rsidR="00DF719C" w:rsidRPr="00DF719C" w:rsidRDefault="00DF719C" w:rsidP="00DF719C">
      <w:pPr>
        <w:spacing w:line="240" w:lineRule="auto"/>
        <w:jc w:val="both"/>
        <w:rPr>
          <w:rFonts w:ascii="Times New Roman" w:eastAsia="Arial Unicode MS" w:hAnsi="Times New Roman" w:cs="Times New Roman"/>
          <w:sz w:val="24"/>
          <w:szCs w:val="24"/>
          <w:lang w:val="es-PE" w:eastAsia="ar-SA"/>
        </w:rPr>
      </w:pPr>
      <w:r w:rsidRPr="00DF719C">
        <w:rPr>
          <w:rFonts w:ascii="Times New Roman" w:eastAsia="Arial Unicode MS" w:hAnsi="Times New Roman" w:cs="Times New Roman"/>
          <w:sz w:val="24"/>
          <w:szCs w:val="24"/>
          <w:lang w:val="es-PE" w:eastAsia="ar-SA"/>
        </w:rPr>
        <w:t xml:space="preserve">Que, aplicando correctamente el </w:t>
      </w:r>
      <w:r w:rsidRPr="00DF719C">
        <w:rPr>
          <w:rFonts w:ascii="Times New Roman" w:eastAsia="Arial Unicode MS" w:hAnsi="Times New Roman" w:cs="Times New Roman"/>
          <w:sz w:val="24"/>
          <w:szCs w:val="24"/>
          <w:lang w:val="es-419" w:eastAsia="ar-SA"/>
        </w:rPr>
        <w:t>el artículo 59 de la Ley del Contrato de Seguro -Ley 29946, este Colegiado llega a la conclusión de que la interposición extemporánea de la denuncia policial no influye en la extensión del riesgo, y, por lo tanto, no procede aplicar la caducidad del derecho del asegurado.</w:t>
      </w:r>
    </w:p>
    <w:p w14:paraId="5AB7FB90" w14:textId="77777777" w:rsidR="00DF719C" w:rsidRPr="00DF719C" w:rsidRDefault="00DF719C" w:rsidP="00DF719C">
      <w:pPr>
        <w:spacing w:line="240" w:lineRule="auto"/>
        <w:jc w:val="both"/>
        <w:rPr>
          <w:rFonts w:ascii="Times New Roman" w:eastAsia="Arial Unicode MS" w:hAnsi="Times New Roman" w:cs="Times New Roman"/>
          <w:sz w:val="24"/>
          <w:szCs w:val="24"/>
          <w:lang w:val="es-PE" w:eastAsia="ar-SA"/>
        </w:rPr>
      </w:pPr>
      <w:r w:rsidRPr="00DF719C">
        <w:rPr>
          <w:rFonts w:ascii="Times New Roman" w:eastAsia="Arial Unicode MS" w:hAnsi="Times New Roman" w:cs="Times New Roman"/>
          <w:b/>
          <w:sz w:val="24"/>
          <w:szCs w:val="24"/>
          <w:u w:val="single"/>
          <w:lang w:val="es-PE" w:eastAsia="ar-SA"/>
        </w:rPr>
        <w:lastRenderedPageBreak/>
        <w:t>TERCERO</w:t>
      </w:r>
      <w:r w:rsidRPr="00DF719C">
        <w:rPr>
          <w:rFonts w:ascii="Times New Roman" w:eastAsia="Arial Unicode MS" w:hAnsi="Times New Roman" w:cs="Times New Roman"/>
          <w:b/>
          <w:sz w:val="24"/>
          <w:szCs w:val="24"/>
          <w:lang w:val="es-PE" w:eastAsia="ar-SA"/>
        </w:rPr>
        <w:t>:</w:t>
      </w:r>
      <w:r w:rsidRPr="00DF719C">
        <w:rPr>
          <w:rFonts w:ascii="Times New Roman" w:eastAsia="Arial Unicode MS" w:hAnsi="Times New Roman" w:cs="Times New Roman"/>
          <w:sz w:val="24"/>
          <w:szCs w:val="24"/>
          <w:lang w:val="es-PE" w:eastAsia="ar-SA"/>
        </w:rPr>
        <w:t xml:space="preserve"> En atención a las consideraciones precedentes, este colegiado aprecia finalmente que no se ha evidenciado error ni falta de fundamentos en la resolución recurrida, ni la recurrente ha aportado nueva prueba que conlleve a conclusiones distintas a las establecidas en la resolución materia de impugnación, por lo que no existe mérito ni razón objetiva para revocarla.</w:t>
      </w:r>
    </w:p>
    <w:p w14:paraId="5F3AB188" w14:textId="77777777" w:rsidR="00DF719C" w:rsidRPr="00DF719C" w:rsidRDefault="00DF719C" w:rsidP="00DF719C">
      <w:pPr>
        <w:spacing w:line="240" w:lineRule="auto"/>
        <w:jc w:val="both"/>
        <w:rPr>
          <w:rFonts w:ascii="Times New Roman" w:eastAsia="Arial Unicode MS" w:hAnsi="Times New Roman" w:cs="Times New Roman"/>
          <w:b/>
          <w:sz w:val="24"/>
          <w:szCs w:val="24"/>
          <w:lang w:val="es-PE" w:eastAsia="ar-SA"/>
        </w:rPr>
      </w:pPr>
      <w:r w:rsidRPr="00DF719C">
        <w:rPr>
          <w:rFonts w:ascii="Times New Roman" w:eastAsia="Arial Unicode MS" w:hAnsi="Times New Roman" w:cs="Times New Roman"/>
          <w:b/>
          <w:sz w:val="24"/>
          <w:szCs w:val="24"/>
          <w:lang w:val="es-PE" w:eastAsia="ar-SA"/>
        </w:rPr>
        <w:t>ATENDIENDO A LO EXPRESADO, CONFORME A SU REGLAMENTO, ESTE COLEGIADO RESUELVE:</w:t>
      </w:r>
    </w:p>
    <w:p w14:paraId="69B98FA9" w14:textId="77777777" w:rsidR="00DF719C" w:rsidRPr="00DF719C" w:rsidRDefault="00DF719C" w:rsidP="00DF719C">
      <w:pPr>
        <w:spacing w:line="240" w:lineRule="auto"/>
        <w:jc w:val="both"/>
        <w:rPr>
          <w:rFonts w:ascii="Times New Roman" w:eastAsia="Arial Unicode MS" w:hAnsi="Times New Roman" w:cs="Times New Roman"/>
          <w:b/>
          <w:sz w:val="24"/>
          <w:szCs w:val="24"/>
          <w:lang w:val="es-PE" w:eastAsia="ar-SA"/>
        </w:rPr>
      </w:pPr>
      <w:r>
        <w:rPr>
          <w:rFonts w:ascii="Times New Roman" w:hAnsi="Times New Roman"/>
          <w:sz w:val="24"/>
        </w:rPr>
        <w:t xml:space="preserve">DECLARAR INFUNDADO el Recurso de Impugnación interpuesto por ………………… SEGUROS Y REASEGUROS y, por consiguiente, CONFIRMAR la Resolución N° 260/24.</w:t>
      </w:r>
    </w:p>
    <w:p w14:paraId="51EDAB4B" w14:textId="10013818" w:rsidR="00B32E8A" w:rsidRPr="009849E6" w:rsidRDefault="0091528B" w:rsidP="00EE2E2E">
      <w:pPr>
        <w:spacing w:line="240" w:lineRule="auto"/>
        <w:jc w:val="right"/>
        <w:rPr>
          <w:rFonts w:ascii="Times New Roman" w:hAnsi="Times New Roman" w:cs="Times New Roman"/>
          <w:sz w:val="24"/>
          <w:szCs w:val="24"/>
          <w:lang w:val="es-PE"/>
        </w:rPr>
      </w:pPr>
      <w:r w:rsidRPr="009849E6">
        <w:rPr>
          <w:rFonts w:ascii="Times New Roman" w:eastAsia="Arial Unicode MS" w:hAnsi="Times New Roman" w:cs="Times New Roman"/>
          <w:sz w:val="24"/>
          <w:szCs w:val="24"/>
          <w:lang w:val="es-PE" w:eastAsia="ar-SA"/>
        </w:rPr>
        <w:t>Lima,</w:t>
      </w:r>
      <w:r w:rsidR="00774D05" w:rsidRPr="009849E6">
        <w:rPr>
          <w:rFonts w:ascii="Times New Roman" w:eastAsia="Arial Unicode MS" w:hAnsi="Times New Roman" w:cs="Times New Roman"/>
          <w:sz w:val="24"/>
          <w:szCs w:val="24"/>
          <w:lang w:val="es-PE" w:eastAsia="ar-SA"/>
        </w:rPr>
        <w:t xml:space="preserve"> </w:t>
      </w:r>
      <w:r w:rsidR="00FF5223" w:rsidRPr="009849E6">
        <w:rPr>
          <w:rFonts w:ascii="Times New Roman" w:eastAsia="Arial Unicode MS" w:hAnsi="Times New Roman" w:cs="Times New Roman"/>
          <w:sz w:val="24"/>
          <w:szCs w:val="24"/>
          <w:lang w:val="es-PE" w:eastAsia="ar-SA"/>
        </w:rPr>
        <w:t>0</w:t>
      </w:r>
      <w:r w:rsidR="00EE2E2E">
        <w:rPr>
          <w:rFonts w:ascii="Times New Roman" w:eastAsia="Arial Unicode MS" w:hAnsi="Times New Roman" w:cs="Times New Roman"/>
          <w:sz w:val="24"/>
          <w:szCs w:val="24"/>
          <w:lang w:val="es-PE" w:eastAsia="ar-SA"/>
        </w:rPr>
        <w:t>4</w:t>
      </w:r>
      <w:r w:rsidR="00B8209E" w:rsidRPr="009849E6">
        <w:rPr>
          <w:rFonts w:ascii="Times New Roman" w:eastAsia="Arial Unicode MS" w:hAnsi="Times New Roman" w:cs="Times New Roman"/>
          <w:sz w:val="24"/>
          <w:szCs w:val="24"/>
          <w:lang w:val="es-PE" w:eastAsia="ar-SA"/>
        </w:rPr>
        <w:t xml:space="preserve"> </w:t>
      </w:r>
      <w:r w:rsidR="00707C99" w:rsidRPr="009849E6">
        <w:rPr>
          <w:rFonts w:ascii="Times New Roman" w:eastAsia="Arial Unicode MS" w:hAnsi="Times New Roman" w:cs="Times New Roman"/>
          <w:sz w:val="24"/>
          <w:szCs w:val="24"/>
          <w:lang w:val="es-PE" w:eastAsia="ar-SA"/>
        </w:rPr>
        <w:t xml:space="preserve">de </w:t>
      </w:r>
      <w:r w:rsidR="00FF5223" w:rsidRPr="009849E6">
        <w:rPr>
          <w:rFonts w:ascii="Times New Roman" w:eastAsia="Arial Unicode MS" w:hAnsi="Times New Roman" w:cs="Times New Roman"/>
          <w:sz w:val="24"/>
          <w:szCs w:val="24"/>
          <w:lang w:val="es-PE" w:eastAsia="ar-SA"/>
        </w:rPr>
        <w:t>junio</w:t>
      </w:r>
      <w:r w:rsidR="002F478E" w:rsidRPr="009849E6">
        <w:rPr>
          <w:rFonts w:ascii="Times New Roman" w:eastAsia="Arial Unicode MS" w:hAnsi="Times New Roman" w:cs="Times New Roman"/>
          <w:sz w:val="24"/>
          <w:szCs w:val="24"/>
          <w:lang w:val="es-PE" w:eastAsia="ar-SA"/>
        </w:rPr>
        <w:t xml:space="preserve"> </w:t>
      </w:r>
      <w:r w:rsidR="00F06498" w:rsidRPr="009849E6">
        <w:rPr>
          <w:rFonts w:ascii="Times New Roman" w:eastAsia="Arial Unicode MS" w:hAnsi="Times New Roman" w:cs="Times New Roman"/>
          <w:sz w:val="24"/>
          <w:szCs w:val="24"/>
          <w:lang w:val="es-PE" w:eastAsia="ar-SA"/>
        </w:rPr>
        <w:t>de 202</w:t>
      </w:r>
      <w:r w:rsidR="00AE4D37" w:rsidRPr="009849E6">
        <w:rPr>
          <w:rFonts w:ascii="Times New Roman" w:eastAsia="Arial Unicode MS" w:hAnsi="Times New Roman" w:cs="Times New Roman"/>
          <w:sz w:val="24"/>
          <w:szCs w:val="24"/>
          <w:lang w:val="es-PE" w:eastAsia="ar-SA"/>
        </w:rPr>
        <w:t>5</w:t>
      </w:r>
      <w:r w:rsidR="00707C99" w:rsidRPr="009849E6">
        <w:rPr>
          <w:rFonts w:ascii="Times New Roman" w:eastAsia="Times New Roman" w:hAnsi="Times New Roman" w:cs="Times New Roman"/>
          <w:sz w:val="24"/>
          <w:szCs w:val="24"/>
          <w:lang w:val="es-PE" w:eastAsia="ar-SA"/>
        </w:rPr>
        <w:t xml:space="preserve"> </w:t>
      </w:r>
    </w:p>
    <w:p w14:paraId="1B6988F6" w14:textId="77777777" w:rsidR="00A323F4" w:rsidRPr="009849E6" w:rsidRDefault="00A323F4" w:rsidP="00A323F4">
      <w:pPr>
        <w:spacing w:after="0" w:line="240" w:lineRule="auto"/>
        <w:jc w:val="both"/>
        <w:rPr>
          <w:rFonts w:ascii="Times New Roman" w:hAnsi="Times New Roman" w:cs="Times New Roman"/>
          <w:b/>
          <w:bCs/>
          <w:i/>
          <w:iCs/>
          <w:sz w:val="24"/>
          <w:szCs w:val="24"/>
          <w:lang w:val="es-PE"/>
        </w:rPr>
      </w:pPr>
      <w:r w:rsidRPr="009849E6">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2B24FCBE" w14:textId="77777777" w:rsidR="008D26BA" w:rsidRPr="009849E6" w:rsidRDefault="008D26BA" w:rsidP="00A323F4">
      <w:pPr>
        <w:spacing w:after="0" w:line="360" w:lineRule="auto"/>
        <w:jc w:val="both"/>
        <w:rPr>
          <w:rFonts w:ascii="Times New Roman" w:hAnsi="Times New Roman" w:cs="Times New Roman"/>
          <w:b/>
          <w:bCs/>
          <w:i/>
          <w:iCs/>
          <w:sz w:val="24"/>
          <w:szCs w:val="24"/>
          <w:lang w:val="es-PE"/>
        </w:rPr>
      </w:pPr>
    </w:p>
    <w:p w14:paraId="220AA7AD" w14:textId="4331E0E4" w:rsidR="007543CD" w:rsidRPr="009849E6" w:rsidRDefault="008D26BA" w:rsidP="008D26BA">
      <w:pPr>
        <w:spacing w:after="0" w:line="360" w:lineRule="auto"/>
        <w:jc w:val="center"/>
        <w:rPr>
          <w:rFonts w:ascii="Times New Roman" w:hAnsi="Times New Roman" w:cs="Times New Roman"/>
          <w:b/>
          <w:bCs/>
          <w:sz w:val="24"/>
          <w:szCs w:val="24"/>
          <w:lang w:val="es-PE"/>
        </w:rPr>
      </w:pPr>
      <w:r w:rsidRPr="009849E6">
        <w:rPr>
          <w:rFonts w:ascii="Times New Roman" w:hAnsi="Times New Roman" w:cs="Times New Roman"/>
          <w:b/>
          <w:bCs/>
          <w:sz w:val="24"/>
          <w:szCs w:val="24"/>
          <w:lang w:val="es-PE"/>
        </w:rPr>
        <w:t xml:space="preserve">Rolando Eyzaguirre </w:t>
      </w:r>
      <w:proofErr w:type="spellStart"/>
      <w:r w:rsidRPr="009849E6">
        <w:rPr>
          <w:rFonts w:ascii="Times New Roman" w:hAnsi="Times New Roman" w:cs="Times New Roman"/>
          <w:b/>
          <w:bCs/>
          <w:sz w:val="24"/>
          <w:szCs w:val="24"/>
          <w:lang w:val="es-PE"/>
        </w:rPr>
        <w:t>Maccan</w:t>
      </w:r>
      <w:proofErr w:type="spellEnd"/>
      <w:r w:rsidRPr="009849E6">
        <w:rPr>
          <w:rFonts w:ascii="Times New Roman" w:hAnsi="Times New Roman" w:cs="Times New Roman"/>
          <w:b/>
          <w:bCs/>
          <w:sz w:val="24"/>
          <w:szCs w:val="24"/>
          <w:lang w:val="es-PE"/>
        </w:rPr>
        <w:t xml:space="preserve"> </w:t>
      </w:r>
      <w:r w:rsidR="007543CD" w:rsidRPr="009849E6">
        <w:rPr>
          <w:rFonts w:ascii="Times New Roman" w:hAnsi="Times New Roman" w:cs="Times New Roman"/>
          <w:b/>
          <w:bCs/>
          <w:sz w:val="24"/>
          <w:szCs w:val="24"/>
          <w:lang w:val="es-PE"/>
        </w:rPr>
        <w:t xml:space="preserve">– </w:t>
      </w:r>
      <w:proofErr w:type="gramStart"/>
      <w:r w:rsidR="007543CD" w:rsidRPr="009849E6">
        <w:rPr>
          <w:rFonts w:ascii="Times New Roman" w:hAnsi="Times New Roman" w:cs="Times New Roman"/>
          <w:b/>
          <w:bCs/>
          <w:sz w:val="24"/>
          <w:szCs w:val="24"/>
          <w:lang w:val="es-PE"/>
        </w:rPr>
        <w:t>Presidente</w:t>
      </w:r>
      <w:proofErr w:type="gramEnd"/>
    </w:p>
    <w:p w14:paraId="5B7063E0" w14:textId="43329098" w:rsidR="008D26BA" w:rsidRPr="009849E6" w:rsidRDefault="008D26BA" w:rsidP="008D26BA">
      <w:pPr>
        <w:spacing w:after="0" w:line="360" w:lineRule="auto"/>
        <w:jc w:val="center"/>
        <w:rPr>
          <w:rFonts w:ascii="Times New Roman" w:hAnsi="Times New Roman" w:cs="Times New Roman"/>
          <w:b/>
          <w:bCs/>
          <w:sz w:val="24"/>
          <w:szCs w:val="24"/>
          <w:lang w:val="es-PE"/>
        </w:rPr>
      </w:pPr>
      <w:r w:rsidRPr="009849E6">
        <w:rPr>
          <w:rFonts w:ascii="Times New Roman" w:hAnsi="Times New Roman" w:cs="Times New Roman"/>
          <w:b/>
          <w:bCs/>
          <w:sz w:val="24"/>
          <w:szCs w:val="24"/>
          <w:lang w:val="es-PE"/>
        </w:rPr>
        <w:t>María Eugenia Valdez Fernández Baca – Vocal</w:t>
      </w:r>
    </w:p>
    <w:p w14:paraId="69BFE54F" w14:textId="628D5C27" w:rsidR="007543CD" w:rsidRPr="009849E6" w:rsidRDefault="001B08C0" w:rsidP="007543CD">
      <w:pPr>
        <w:spacing w:after="0" w:line="360" w:lineRule="auto"/>
        <w:jc w:val="center"/>
        <w:rPr>
          <w:rFonts w:ascii="Times New Roman" w:hAnsi="Times New Roman" w:cs="Times New Roman"/>
          <w:sz w:val="24"/>
          <w:szCs w:val="24"/>
          <w:lang w:val="es-PE"/>
        </w:rPr>
      </w:pPr>
      <w:r w:rsidRPr="009849E6">
        <w:rPr>
          <w:rFonts w:ascii="Times New Roman" w:hAnsi="Times New Roman" w:cs="Times New Roman"/>
          <w:b/>
          <w:bCs/>
          <w:sz w:val="24"/>
          <w:szCs w:val="24"/>
        </w:rPr>
        <w:t>Antonio José Rodríguez Lobatón</w:t>
      </w:r>
      <w:r w:rsidRPr="009849E6">
        <w:rPr>
          <w:rFonts w:ascii="Times New Roman" w:hAnsi="Times New Roman" w:cs="Times New Roman"/>
          <w:b/>
          <w:bCs/>
          <w:sz w:val="24"/>
          <w:szCs w:val="24"/>
          <w:lang w:val="es-PE"/>
        </w:rPr>
        <w:t xml:space="preserve"> </w:t>
      </w:r>
      <w:r w:rsidR="007543CD" w:rsidRPr="009849E6">
        <w:rPr>
          <w:rFonts w:ascii="Times New Roman" w:hAnsi="Times New Roman" w:cs="Times New Roman"/>
          <w:b/>
          <w:bCs/>
          <w:sz w:val="24"/>
          <w:szCs w:val="24"/>
          <w:lang w:val="es-PE"/>
        </w:rPr>
        <w:t>– Vocal</w:t>
      </w:r>
    </w:p>
    <w:p w14:paraId="412CCBAA" w14:textId="77777777" w:rsidR="00986F0C" w:rsidRPr="009849E6"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9849E6"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9849E6" w:rsidRDefault="00556526" w:rsidP="00B17E56">
      <w:pPr>
        <w:spacing w:line="240" w:lineRule="auto"/>
        <w:jc w:val="both"/>
        <w:rPr>
          <w:rFonts w:ascii="Times New Roman" w:hAnsi="Times New Roman" w:cs="Times New Roman"/>
          <w:b/>
          <w:bCs/>
          <w:i/>
          <w:iCs/>
          <w:sz w:val="24"/>
          <w:szCs w:val="24"/>
          <w:lang w:val="es-ES_tradnl"/>
        </w:rPr>
      </w:pPr>
    </w:p>
    <w:p w14:paraId="33E0FAB8" w14:textId="77777777" w:rsidR="00C671F5" w:rsidRPr="009849E6"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9849E6" w:rsidRDefault="00C671F5" w:rsidP="00C671F5">
      <w:pPr>
        <w:spacing w:line="240" w:lineRule="auto"/>
        <w:rPr>
          <w:rFonts w:ascii="Times New Roman" w:eastAsia="Arial Unicode MS" w:hAnsi="Times New Roman" w:cs="Times New Roman"/>
          <w:sz w:val="24"/>
          <w:szCs w:val="24"/>
          <w:lang w:val="es-ES" w:eastAsia="ar-SA"/>
        </w:rPr>
      </w:pPr>
    </w:p>
    <w:sectPr w:rsidR="00C671F5" w:rsidRPr="009849E6" w:rsidSect="00077B6F">
      <w:headerReference w:type="default" r:id="rId8"/>
      <w:footerReference w:type="default" r:id="rId9"/>
      <w:headerReference w:type="first" r:id="rId12"/>
      <w:footerReference w:type="first" r:id="rId13"/>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AEDB5" w14:textId="77777777" w:rsidR="0041535F" w:rsidRDefault="0041535F" w:rsidP="00784355">
      <w:pPr>
        <w:spacing w:after="0" w:line="240" w:lineRule="auto"/>
      </w:pPr>
      <w:r>
        <w:separator/>
      </w:r>
    </w:p>
  </w:endnote>
  <w:endnote w:type="continuationSeparator" w:id="0">
    <w:p w14:paraId="42AC695B" w14:textId="77777777" w:rsidR="0041535F" w:rsidRDefault="0041535F"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E714A" w14:textId="77777777" w:rsidR="0041535F" w:rsidRDefault="0041535F" w:rsidP="00784355">
      <w:pPr>
        <w:spacing w:after="0" w:line="240" w:lineRule="auto"/>
      </w:pPr>
      <w:r>
        <w:separator/>
      </w:r>
    </w:p>
  </w:footnote>
  <w:footnote w:type="continuationSeparator" w:id="0">
    <w:p w14:paraId="507F262B" w14:textId="77777777" w:rsidR="0041535F" w:rsidRDefault="0041535F"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4FDA"/>
    <w:multiLevelType w:val="hybridMultilevel"/>
    <w:tmpl w:val="DA1CE54A"/>
    <w:lvl w:ilvl="0" w:tplc="7BC48EC0">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4223664"/>
    <w:multiLevelType w:val="hybridMultilevel"/>
    <w:tmpl w:val="ADE6D76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0EDF3783"/>
    <w:multiLevelType w:val="hybridMultilevel"/>
    <w:tmpl w:val="6168461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5722F9"/>
    <w:multiLevelType w:val="hybridMultilevel"/>
    <w:tmpl w:val="6CF4460A"/>
    <w:lvl w:ilvl="0" w:tplc="786A0FB2">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CAF291C"/>
    <w:multiLevelType w:val="hybridMultilevel"/>
    <w:tmpl w:val="F30CD9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2E67CFF"/>
    <w:multiLevelType w:val="hybridMultilevel"/>
    <w:tmpl w:val="195AD7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0376E9A"/>
    <w:multiLevelType w:val="multilevel"/>
    <w:tmpl w:val="2084A86C"/>
    <w:lvl w:ilvl="0">
      <w:start w:val="2"/>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0"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2" w15:restartNumberingAfterBreak="0">
    <w:nsid w:val="35F82540"/>
    <w:multiLevelType w:val="hybridMultilevel"/>
    <w:tmpl w:val="E472A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7D7643D"/>
    <w:multiLevelType w:val="hybridMultilevel"/>
    <w:tmpl w:val="B20C16B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6"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2C94E54"/>
    <w:multiLevelType w:val="hybridMultilevel"/>
    <w:tmpl w:val="506E09A6"/>
    <w:lvl w:ilvl="0" w:tplc="5EE01CA2">
      <w:start w:val="1"/>
      <w:numFmt w:val="lowerLetter"/>
      <w:lvlText w:val="%1)"/>
      <w:lvlJc w:val="left"/>
      <w:pPr>
        <w:ind w:left="720" w:hanging="360"/>
      </w:pPr>
      <w:rPr>
        <w:rFonts w:ascii="Arial Narrow" w:eastAsia="Times New Roman" w:hAnsi="Arial Narrow" w:cs="Arial"/>
      </w:rPr>
    </w:lvl>
    <w:lvl w:ilvl="1" w:tplc="0C0A0003">
      <w:numFmt w:val="decimal"/>
      <w:lvlText w:val="o"/>
      <w:lvlJc w:val="left"/>
      <w:pPr>
        <w:ind w:left="1440" w:hanging="360"/>
      </w:pPr>
      <w:rPr>
        <w:rFonts w:ascii="Courier New" w:hAnsi="Courier New" w:cs="Courier New" w:hint="default"/>
      </w:rPr>
    </w:lvl>
    <w:lvl w:ilvl="2" w:tplc="0C0A0005">
      <w:numFmt w:val="decimal"/>
      <w:lvlText w:val=""/>
      <w:lvlJc w:val="left"/>
      <w:pPr>
        <w:ind w:left="2160" w:hanging="360"/>
      </w:pPr>
      <w:rPr>
        <w:rFonts w:ascii="Wingdings" w:hAnsi="Wingdings" w:hint="default"/>
      </w:rPr>
    </w:lvl>
    <w:lvl w:ilvl="3" w:tplc="0C0A0001">
      <w:numFmt w:val="decimal"/>
      <w:lvlText w:val=""/>
      <w:lvlJc w:val="left"/>
      <w:pPr>
        <w:ind w:left="2880" w:hanging="360"/>
      </w:pPr>
      <w:rPr>
        <w:rFonts w:ascii="Symbol" w:hAnsi="Symbol" w:hint="default"/>
      </w:rPr>
    </w:lvl>
    <w:lvl w:ilvl="4" w:tplc="0C0A0003">
      <w:numFmt w:val="decimal"/>
      <w:lvlText w:val="o"/>
      <w:lvlJc w:val="left"/>
      <w:pPr>
        <w:ind w:left="3600" w:hanging="360"/>
      </w:pPr>
      <w:rPr>
        <w:rFonts w:ascii="Courier New" w:hAnsi="Courier New" w:cs="Courier New" w:hint="default"/>
      </w:rPr>
    </w:lvl>
    <w:lvl w:ilvl="5" w:tplc="0C0A0005">
      <w:numFmt w:val="decimal"/>
      <w:lvlText w:val=""/>
      <w:lvlJc w:val="left"/>
      <w:pPr>
        <w:ind w:left="4320" w:hanging="360"/>
      </w:pPr>
      <w:rPr>
        <w:rFonts w:ascii="Wingdings" w:hAnsi="Wingdings" w:hint="default"/>
      </w:rPr>
    </w:lvl>
    <w:lvl w:ilvl="6" w:tplc="0C0A0001">
      <w:numFmt w:val="decimal"/>
      <w:lvlText w:val=""/>
      <w:lvlJc w:val="left"/>
      <w:pPr>
        <w:ind w:left="5040" w:hanging="360"/>
      </w:pPr>
      <w:rPr>
        <w:rFonts w:ascii="Symbol" w:hAnsi="Symbol" w:hint="default"/>
      </w:rPr>
    </w:lvl>
    <w:lvl w:ilvl="7" w:tplc="0C0A0003">
      <w:numFmt w:val="decimal"/>
      <w:lvlText w:val="o"/>
      <w:lvlJc w:val="left"/>
      <w:pPr>
        <w:ind w:left="5760" w:hanging="360"/>
      </w:pPr>
      <w:rPr>
        <w:rFonts w:ascii="Courier New" w:hAnsi="Courier New" w:cs="Courier New" w:hint="default"/>
      </w:rPr>
    </w:lvl>
    <w:lvl w:ilvl="8" w:tplc="0C0A0005">
      <w:numFmt w:val="decimal"/>
      <w:lvlText w:val=""/>
      <w:lvlJc w:val="left"/>
      <w:pPr>
        <w:ind w:left="6480" w:hanging="360"/>
      </w:pPr>
      <w:rPr>
        <w:rFonts w:ascii="Wingdings" w:hAnsi="Wingdings" w:hint="default"/>
      </w:rPr>
    </w:lvl>
  </w:abstractNum>
  <w:abstractNum w:abstractNumId="29" w15:restartNumberingAfterBreak="0">
    <w:nsid w:val="42CD7C71"/>
    <w:multiLevelType w:val="hybridMultilevel"/>
    <w:tmpl w:val="98766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3276DD0"/>
    <w:multiLevelType w:val="hybridMultilevel"/>
    <w:tmpl w:val="A56460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F773AEA"/>
    <w:multiLevelType w:val="hybridMultilevel"/>
    <w:tmpl w:val="7BB671D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5"/>
  </w:num>
  <w:num w:numId="2" w16cid:durableId="1929533434">
    <w:abstractNumId w:val="35"/>
  </w:num>
  <w:num w:numId="3" w16cid:durableId="333261791">
    <w:abstractNumId w:val="32"/>
  </w:num>
  <w:num w:numId="4" w16cid:durableId="1770345525">
    <w:abstractNumId w:val="31"/>
  </w:num>
  <w:num w:numId="5" w16cid:durableId="1816144979">
    <w:abstractNumId w:val="34"/>
  </w:num>
  <w:num w:numId="6" w16cid:durableId="1304313350">
    <w:abstractNumId w:val="1"/>
  </w:num>
  <w:num w:numId="7" w16cid:durableId="166828809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4"/>
  </w:num>
  <w:num w:numId="13" w16cid:durableId="16689044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21"/>
  </w:num>
  <w:num w:numId="17" w16cid:durableId="17998823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6"/>
  </w:num>
  <w:num w:numId="21" w16cid:durableId="19645742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8094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86054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04274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44504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7916714">
    <w:abstractNumId w:val="7"/>
  </w:num>
  <w:num w:numId="32" w16cid:durableId="710543418">
    <w:abstractNumId w:val="3"/>
  </w:num>
  <w:num w:numId="33" w16cid:durableId="93482823">
    <w:abstractNumId w:val="0"/>
  </w:num>
  <w:num w:numId="34" w16cid:durableId="2253347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9571147">
    <w:abstractNumId w:val="11"/>
  </w:num>
  <w:num w:numId="36" w16cid:durableId="4594240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52416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239218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038145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0188198">
    <w:abstractNumId w:val="28"/>
  </w:num>
  <w:num w:numId="41" w16cid:durableId="47252459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05E9"/>
    <w:rsid w:val="000512AD"/>
    <w:rsid w:val="0005357E"/>
    <w:rsid w:val="00053740"/>
    <w:rsid w:val="00053D16"/>
    <w:rsid w:val="00056D9F"/>
    <w:rsid w:val="00057D0A"/>
    <w:rsid w:val="0006153B"/>
    <w:rsid w:val="000619A2"/>
    <w:rsid w:val="00062301"/>
    <w:rsid w:val="00063183"/>
    <w:rsid w:val="0006548C"/>
    <w:rsid w:val="00065584"/>
    <w:rsid w:val="00070DB6"/>
    <w:rsid w:val="00071A25"/>
    <w:rsid w:val="0007301A"/>
    <w:rsid w:val="00073EC5"/>
    <w:rsid w:val="00076E73"/>
    <w:rsid w:val="00077B6F"/>
    <w:rsid w:val="000802ED"/>
    <w:rsid w:val="00080A9A"/>
    <w:rsid w:val="000835CB"/>
    <w:rsid w:val="00083D69"/>
    <w:rsid w:val="00083F50"/>
    <w:rsid w:val="00084148"/>
    <w:rsid w:val="0008486A"/>
    <w:rsid w:val="00091C09"/>
    <w:rsid w:val="00092684"/>
    <w:rsid w:val="0009404A"/>
    <w:rsid w:val="00095105"/>
    <w:rsid w:val="000969D2"/>
    <w:rsid w:val="00096CCA"/>
    <w:rsid w:val="000A1DAF"/>
    <w:rsid w:val="000A53CB"/>
    <w:rsid w:val="000A55BA"/>
    <w:rsid w:val="000A5666"/>
    <w:rsid w:val="000A5CAA"/>
    <w:rsid w:val="000B19A0"/>
    <w:rsid w:val="000B2CB1"/>
    <w:rsid w:val="000B58D8"/>
    <w:rsid w:val="000C0734"/>
    <w:rsid w:val="000C1AAB"/>
    <w:rsid w:val="000D5F00"/>
    <w:rsid w:val="000E11BA"/>
    <w:rsid w:val="000E3730"/>
    <w:rsid w:val="000F17DA"/>
    <w:rsid w:val="000F2FE5"/>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57A0"/>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81908"/>
    <w:rsid w:val="00181DCE"/>
    <w:rsid w:val="00185E11"/>
    <w:rsid w:val="00186D49"/>
    <w:rsid w:val="00187BFD"/>
    <w:rsid w:val="00190FBE"/>
    <w:rsid w:val="0019385F"/>
    <w:rsid w:val="00196365"/>
    <w:rsid w:val="001965DE"/>
    <w:rsid w:val="001A008A"/>
    <w:rsid w:val="001A3395"/>
    <w:rsid w:val="001A43EC"/>
    <w:rsid w:val="001A44E1"/>
    <w:rsid w:val="001A5178"/>
    <w:rsid w:val="001A555F"/>
    <w:rsid w:val="001A57AC"/>
    <w:rsid w:val="001B08C0"/>
    <w:rsid w:val="001B1E59"/>
    <w:rsid w:val="001B26F1"/>
    <w:rsid w:val="001B3EE9"/>
    <w:rsid w:val="001B58A3"/>
    <w:rsid w:val="001B75E0"/>
    <w:rsid w:val="001C052B"/>
    <w:rsid w:val="001C0A05"/>
    <w:rsid w:val="001C3A70"/>
    <w:rsid w:val="001D0EED"/>
    <w:rsid w:val="001D59D9"/>
    <w:rsid w:val="001D6136"/>
    <w:rsid w:val="001E119C"/>
    <w:rsid w:val="001E1C8C"/>
    <w:rsid w:val="001E6657"/>
    <w:rsid w:val="001F0F3A"/>
    <w:rsid w:val="00201C0D"/>
    <w:rsid w:val="00204407"/>
    <w:rsid w:val="00205C9E"/>
    <w:rsid w:val="00206718"/>
    <w:rsid w:val="0020749F"/>
    <w:rsid w:val="002108AD"/>
    <w:rsid w:val="00211482"/>
    <w:rsid w:val="00211977"/>
    <w:rsid w:val="002130B0"/>
    <w:rsid w:val="0021627D"/>
    <w:rsid w:val="00225288"/>
    <w:rsid w:val="00227D02"/>
    <w:rsid w:val="00231C58"/>
    <w:rsid w:val="002331C3"/>
    <w:rsid w:val="00234777"/>
    <w:rsid w:val="00234A33"/>
    <w:rsid w:val="00236B66"/>
    <w:rsid w:val="002370A8"/>
    <w:rsid w:val="00241719"/>
    <w:rsid w:val="00242425"/>
    <w:rsid w:val="00243F6B"/>
    <w:rsid w:val="002528B8"/>
    <w:rsid w:val="00253F42"/>
    <w:rsid w:val="00255C05"/>
    <w:rsid w:val="0026162A"/>
    <w:rsid w:val="00264D9A"/>
    <w:rsid w:val="0027261F"/>
    <w:rsid w:val="00272F4F"/>
    <w:rsid w:val="0027301E"/>
    <w:rsid w:val="00274985"/>
    <w:rsid w:val="002768C6"/>
    <w:rsid w:val="00276A92"/>
    <w:rsid w:val="00277667"/>
    <w:rsid w:val="002809AB"/>
    <w:rsid w:val="002830BC"/>
    <w:rsid w:val="00283E79"/>
    <w:rsid w:val="00286C15"/>
    <w:rsid w:val="00290CA4"/>
    <w:rsid w:val="00294D98"/>
    <w:rsid w:val="00295828"/>
    <w:rsid w:val="0029673E"/>
    <w:rsid w:val="002A31D3"/>
    <w:rsid w:val="002A3D36"/>
    <w:rsid w:val="002A7E2E"/>
    <w:rsid w:val="002B1654"/>
    <w:rsid w:val="002B726E"/>
    <w:rsid w:val="002C2A0F"/>
    <w:rsid w:val="002C2CEC"/>
    <w:rsid w:val="002C6367"/>
    <w:rsid w:val="002C7B97"/>
    <w:rsid w:val="002D0DB0"/>
    <w:rsid w:val="002D3318"/>
    <w:rsid w:val="002D3B01"/>
    <w:rsid w:val="002D4134"/>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1FA8"/>
    <w:rsid w:val="00334BF1"/>
    <w:rsid w:val="00335E5E"/>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E0091"/>
    <w:rsid w:val="003E0CC2"/>
    <w:rsid w:val="003E450C"/>
    <w:rsid w:val="003E6410"/>
    <w:rsid w:val="003F0C97"/>
    <w:rsid w:val="003F1149"/>
    <w:rsid w:val="003F1B5F"/>
    <w:rsid w:val="003F20C7"/>
    <w:rsid w:val="003F2DC2"/>
    <w:rsid w:val="00403814"/>
    <w:rsid w:val="00403B24"/>
    <w:rsid w:val="00404288"/>
    <w:rsid w:val="004049B9"/>
    <w:rsid w:val="00411866"/>
    <w:rsid w:val="00414A7B"/>
    <w:rsid w:val="0041535F"/>
    <w:rsid w:val="00417E23"/>
    <w:rsid w:val="0042236E"/>
    <w:rsid w:val="00425ACB"/>
    <w:rsid w:val="00425F75"/>
    <w:rsid w:val="00426C11"/>
    <w:rsid w:val="00440BC2"/>
    <w:rsid w:val="00442879"/>
    <w:rsid w:val="00444232"/>
    <w:rsid w:val="00444DE9"/>
    <w:rsid w:val="00460C30"/>
    <w:rsid w:val="00465FB9"/>
    <w:rsid w:val="00466302"/>
    <w:rsid w:val="0046647B"/>
    <w:rsid w:val="0047370C"/>
    <w:rsid w:val="0047522D"/>
    <w:rsid w:val="00476BA1"/>
    <w:rsid w:val="00490898"/>
    <w:rsid w:val="00494F04"/>
    <w:rsid w:val="0049581F"/>
    <w:rsid w:val="0049582C"/>
    <w:rsid w:val="00495D9A"/>
    <w:rsid w:val="00496A1A"/>
    <w:rsid w:val="00497091"/>
    <w:rsid w:val="004A183E"/>
    <w:rsid w:val="004A3E25"/>
    <w:rsid w:val="004A41F6"/>
    <w:rsid w:val="004A718F"/>
    <w:rsid w:val="004B155C"/>
    <w:rsid w:val="004B27E2"/>
    <w:rsid w:val="004B51ED"/>
    <w:rsid w:val="004C1C34"/>
    <w:rsid w:val="004C34ED"/>
    <w:rsid w:val="004C51EC"/>
    <w:rsid w:val="004C5A91"/>
    <w:rsid w:val="004C6A9B"/>
    <w:rsid w:val="004D05F2"/>
    <w:rsid w:val="004E65DD"/>
    <w:rsid w:val="004F0319"/>
    <w:rsid w:val="004F1255"/>
    <w:rsid w:val="004F549E"/>
    <w:rsid w:val="00504C79"/>
    <w:rsid w:val="005112A3"/>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2497"/>
    <w:rsid w:val="005A40A4"/>
    <w:rsid w:val="005A5D81"/>
    <w:rsid w:val="005A6FD4"/>
    <w:rsid w:val="005A782D"/>
    <w:rsid w:val="005B2924"/>
    <w:rsid w:val="005C11CD"/>
    <w:rsid w:val="005C3266"/>
    <w:rsid w:val="005C524E"/>
    <w:rsid w:val="005C5AB9"/>
    <w:rsid w:val="005C5FAC"/>
    <w:rsid w:val="005C6AB8"/>
    <w:rsid w:val="005D3E68"/>
    <w:rsid w:val="005D5F88"/>
    <w:rsid w:val="005E0EC2"/>
    <w:rsid w:val="005E17C2"/>
    <w:rsid w:val="005E2CBE"/>
    <w:rsid w:val="005E4870"/>
    <w:rsid w:val="005F220A"/>
    <w:rsid w:val="005F3495"/>
    <w:rsid w:val="005F4C97"/>
    <w:rsid w:val="00603D48"/>
    <w:rsid w:val="006043E9"/>
    <w:rsid w:val="00605902"/>
    <w:rsid w:val="00606105"/>
    <w:rsid w:val="00613A39"/>
    <w:rsid w:val="00622ABC"/>
    <w:rsid w:val="00623204"/>
    <w:rsid w:val="00624034"/>
    <w:rsid w:val="00627505"/>
    <w:rsid w:val="00631C06"/>
    <w:rsid w:val="00631C1D"/>
    <w:rsid w:val="006338AF"/>
    <w:rsid w:val="0064374C"/>
    <w:rsid w:val="006442E0"/>
    <w:rsid w:val="0064607A"/>
    <w:rsid w:val="00647AEA"/>
    <w:rsid w:val="00652672"/>
    <w:rsid w:val="00654FC9"/>
    <w:rsid w:val="0065542B"/>
    <w:rsid w:val="00655834"/>
    <w:rsid w:val="0065594D"/>
    <w:rsid w:val="00655A90"/>
    <w:rsid w:val="00655BA3"/>
    <w:rsid w:val="006578A4"/>
    <w:rsid w:val="00657AD2"/>
    <w:rsid w:val="00660D6F"/>
    <w:rsid w:val="00660E60"/>
    <w:rsid w:val="00664F22"/>
    <w:rsid w:val="00667A13"/>
    <w:rsid w:val="00671DB5"/>
    <w:rsid w:val="00680D8A"/>
    <w:rsid w:val="00686BB2"/>
    <w:rsid w:val="006878E1"/>
    <w:rsid w:val="0069304A"/>
    <w:rsid w:val="0069583E"/>
    <w:rsid w:val="00697D6C"/>
    <w:rsid w:val="006A2ADE"/>
    <w:rsid w:val="006A551F"/>
    <w:rsid w:val="006A5E39"/>
    <w:rsid w:val="006B5CAE"/>
    <w:rsid w:val="006B7A62"/>
    <w:rsid w:val="006C1704"/>
    <w:rsid w:val="006C1A65"/>
    <w:rsid w:val="006C29A7"/>
    <w:rsid w:val="006C2E60"/>
    <w:rsid w:val="006C6261"/>
    <w:rsid w:val="006D2BA9"/>
    <w:rsid w:val="006D397E"/>
    <w:rsid w:val="006E2366"/>
    <w:rsid w:val="006E4547"/>
    <w:rsid w:val="006E5BE6"/>
    <w:rsid w:val="006F300D"/>
    <w:rsid w:val="006F36EF"/>
    <w:rsid w:val="006F47A8"/>
    <w:rsid w:val="006F4986"/>
    <w:rsid w:val="006F646A"/>
    <w:rsid w:val="006F6CBD"/>
    <w:rsid w:val="0070030F"/>
    <w:rsid w:val="00701598"/>
    <w:rsid w:val="00701639"/>
    <w:rsid w:val="00701893"/>
    <w:rsid w:val="00703430"/>
    <w:rsid w:val="00704A95"/>
    <w:rsid w:val="00706392"/>
    <w:rsid w:val="00706EB2"/>
    <w:rsid w:val="00707C99"/>
    <w:rsid w:val="00714C48"/>
    <w:rsid w:val="0072050F"/>
    <w:rsid w:val="00720DBC"/>
    <w:rsid w:val="0072240A"/>
    <w:rsid w:val="007261FD"/>
    <w:rsid w:val="00727198"/>
    <w:rsid w:val="007300C4"/>
    <w:rsid w:val="00731154"/>
    <w:rsid w:val="00737844"/>
    <w:rsid w:val="00741A01"/>
    <w:rsid w:val="00743BA7"/>
    <w:rsid w:val="00744136"/>
    <w:rsid w:val="00744447"/>
    <w:rsid w:val="00744789"/>
    <w:rsid w:val="007543CD"/>
    <w:rsid w:val="00761F1D"/>
    <w:rsid w:val="007703E9"/>
    <w:rsid w:val="007708AB"/>
    <w:rsid w:val="00771625"/>
    <w:rsid w:val="00772376"/>
    <w:rsid w:val="00774D05"/>
    <w:rsid w:val="00775711"/>
    <w:rsid w:val="0077599F"/>
    <w:rsid w:val="00781235"/>
    <w:rsid w:val="00784355"/>
    <w:rsid w:val="00784708"/>
    <w:rsid w:val="00786117"/>
    <w:rsid w:val="007906AF"/>
    <w:rsid w:val="00794424"/>
    <w:rsid w:val="007950DD"/>
    <w:rsid w:val="007965C0"/>
    <w:rsid w:val="007965E2"/>
    <w:rsid w:val="00797191"/>
    <w:rsid w:val="007A09BB"/>
    <w:rsid w:val="007A4108"/>
    <w:rsid w:val="007A4EA9"/>
    <w:rsid w:val="007A7451"/>
    <w:rsid w:val="007A7E93"/>
    <w:rsid w:val="007A7F95"/>
    <w:rsid w:val="007B1018"/>
    <w:rsid w:val="007B2721"/>
    <w:rsid w:val="007B3518"/>
    <w:rsid w:val="007B3958"/>
    <w:rsid w:val="007C14D0"/>
    <w:rsid w:val="007C213D"/>
    <w:rsid w:val="007C4D67"/>
    <w:rsid w:val="007C4E10"/>
    <w:rsid w:val="007C69FE"/>
    <w:rsid w:val="007D13E3"/>
    <w:rsid w:val="007D13F3"/>
    <w:rsid w:val="007D2A4B"/>
    <w:rsid w:val="007D39D3"/>
    <w:rsid w:val="007D5BB1"/>
    <w:rsid w:val="007D7213"/>
    <w:rsid w:val="007E47CA"/>
    <w:rsid w:val="007E5917"/>
    <w:rsid w:val="007E7310"/>
    <w:rsid w:val="007F2000"/>
    <w:rsid w:val="007F38DF"/>
    <w:rsid w:val="007F74F1"/>
    <w:rsid w:val="008010D0"/>
    <w:rsid w:val="008020A1"/>
    <w:rsid w:val="0080698B"/>
    <w:rsid w:val="00812473"/>
    <w:rsid w:val="00816B3F"/>
    <w:rsid w:val="0081754D"/>
    <w:rsid w:val="008177B9"/>
    <w:rsid w:val="00817F65"/>
    <w:rsid w:val="00821801"/>
    <w:rsid w:val="00827313"/>
    <w:rsid w:val="00836831"/>
    <w:rsid w:val="00837DDE"/>
    <w:rsid w:val="008400B6"/>
    <w:rsid w:val="00845093"/>
    <w:rsid w:val="008523F5"/>
    <w:rsid w:val="008548F9"/>
    <w:rsid w:val="0085575C"/>
    <w:rsid w:val="0085791F"/>
    <w:rsid w:val="00857988"/>
    <w:rsid w:val="0086244F"/>
    <w:rsid w:val="008639D3"/>
    <w:rsid w:val="00867EB6"/>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2385"/>
    <w:rsid w:val="008B47F3"/>
    <w:rsid w:val="008B5C61"/>
    <w:rsid w:val="008B61EE"/>
    <w:rsid w:val="008B69A3"/>
    <w:rsid w:val="008B6A09"/>
    <w:rsid w:val="008B760D"/>
    <w:rsid w:val="008D1D39"/>
    <w:rsid w:val="008D26BA"/>
    <w:rsid w:val="008D5049"/>
    <w:rsid w:val="008D6DDF"/>
    <w:rsid w:val="008D721C"/>
    <w:rsid w:val="008E33FD"/>
    <w:rsid w:val="008F1161"/>
    <w:rsid w:val="008F479E"/>
    <w:rsid w:val="009011F1"/>
    <w:rsid w:val="00901835"/>
    <w:rsid w:val="009024E8"/>
    <w:rsid w:val="00902B75"/>
    <w:rsid w:val="009117F7"/>
    <w:rsid w:val="009127A6"/>
    <w:rsid w:val="0091528B"/>
    <w:rsid w:val="009157B1"/>
    <w:rsid w:val="00916028"/>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755C7"/>
    <w:rsid w:val="0098136F"/>
    <w:rsid w:val="009849E6"/>
    <w:rsid w:val="00986F0C"/>
    <w:rsid w:val="00992529"/>
    <w:rsid w:val="0099320E"/>
    <w:rsid w:val="009976D9"/>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4779"/>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9DB"/>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48E1"/>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D5481"/>
    <w:rsid w:val="00AD59A0"/>
    <w:rsid w:val="00AE3EA8"/>
    <w:rsid w:val="00AE4125"/>
    <w:rsid w:val="00AE4D37"/>
    <w:rsid w:val="00AE58A1"/>
    <w:rsid w:val="00AE6BD5"/>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7FD0"/>
    <w:rsid w:val="00B53696"/>
    <w:rsid w:val="00B56649"/>
    <w:rsid w:val="00B625F2"/>
    <w:rsid w:val="00B663DC"/>
    <w:rsid w:val="00B710D8"/>
    <w:rsid w:val="00B73566"/>
    <w:rsid w:val="00B73629"/>
    <w:rsid w:val="00B7466E"/>
    <w:rsid w:val="00B779BD"/>
    <w:rsid w:val="00B8021E"/>
    <w:rsid w:val="00B8028F"/>
    <w:rsid w:val="00B8209E"/>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6C46"/>
    <w:rsid w:val="00BF7815"/>
    <w:rsid w:val="00BF78BF"/>
    <w:rsid w:val="00C00BBF"/>
    <w:rsid w:val="00C00F54"/>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3FD0"/>
    <w:rsid w:val="00C47619"/>
    <w:rsid w:val="00C4792C"/>
    <w:rsid w:val="00C51445"/>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675B"/>
    <w:rsid w:val="00C86CD7"/>
    <w:rsid w:val="00C86F17"/>
    <w:rsid w:val="00C9376B"/>
    <w:rsid w:val="00C9581A"/>
    <w:rsid w:val="00C960BE"/>
    <w:rsid w:val="00C9791B"/>
    <w:rsid w:val="00CA27CB"/>
    <w:rsid w:val="00CA3682"/>
    <w:rsid w:val="00CA718D"/>
    <w:rsid w:val="00CB44BB"/>
    <w:rsid w:val="00CC4AEF"/>
    <w:rsid w:val="00CC6C0C"/>
    <w:rsid w:val="00CC719D"/>
    <w:rsid w:val="00CD4BE8"/>
    <w:rsid w:val="00CE2834"/>
    <w:rsid w:val="00CF158B"/>
    <w:rsid w:val="00CF31C5"/>
    <w:rsid w:val="00CF55D6"/>
    <w:rsid w:val="00CF6484"/>
    <w:rsid w:val="00CF7839"/>
    <w:rsid w:val="00CF78D3"/>
    <w:rsid w:val="00D10B27"/>
    <w:rsid w:val="00D12CFF"/>
    <w:rsid w:val="00D156AF"/>
    <w:rsid w:val="00D16367"/>
    <w:rsid w:val="00D202EA"/>
    <w:rsid w:val="00D206C0"/>
    <w:rsid w:val="00D2092C"/>
    <w:rsid w:val="00D228DE"/>
    <w:rsid w:val="00D22DC3"/>
    <w:rsid w:val="00D25683"/>
    <w:rsid w:val="00D26530"/>
    <w:rsid w:val="00D27042"/>
    <w:rsid w:val="00D3103B"/>
    <w:rsid w:val="00D322D9"/>
    <w:rsid w:val="00D422AF"/>
    <w:rsid w:val="00D4253A"/>
    <w:rsid w:val="00D43EB8"/>
    <w:rsid w:val="00D451C9"/>
    <w:rsid w:val="00D50B42"/>
    <w:rsid w:val="00D50BAF"/>
    <w:rsid w:val="00D57228"/>
    <w:rsid w:val="00D61C6D"/>
    <w:rsid w:val="00D6267A"/>
    <w:rsid w:val="00D64034"/>
    <w:rsid w:val="00D6797E"/>
    <w:rsid w:val="00D73109"/>
    <w:rsid w:val="00D76C43"/>
    <w:rsid w:val="00D810EC"/>
    <w:rsid w:val="00D835B6"/>
    <w:rsid w:val="00D84464"/>
    <w:rsid w:val="00D9001E"/>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E7053"/>
    <w:rsid w:val="00DF0424"/>
    <w:rsid w:val="00DF3781"/>
    <w:rsid w:val="00DF6E69"/>
    <w:rsid w:val="00DF719C"/>
    <w:rsid w:val="00E077A6"/>
    <w:rsid w:val="00E107CA"/>
    <w:rsid w:val="00E109E4"/>
    <w:rsid w:val="00E1216B"/>
    <w:rsid w:val="00E1477F"/>
    <w:rsid w:val="00E16C63"/>
    <w:rsid w:val="00E25D54"/>
    <w:rsid w:val="00E30B3A"/>
    <w:rsid w:val="00E30E76"/>
    <w:rsid w:val="00E3322A"/>
    <w:rsid w:val="00E341F5"/>
    <w:rsid w:val="00E41161"/>
    <w:rsid w:val="00E43D94"/>
    <w:rsid w:val="00E45B51"/>
    <w:rsid w:val="00E531B9"/>
    <w:rsid w:val="00E53BC5"/>
    <w:rsid w:val="00E556C7"/>
    <w:rsid w:val="00E57768"/>
    <w:rsid w:val="00E57869"/>
    <w:rsid w:val="00E61DBC"/>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C19C1"/>
    <w:rsid w:val="00EC283A"/>
    <w:rsid w:val="00EC3551"/>
    <w:rsid w:val="00EC60F5"/>
    <w:rsid w:val="00EC7271"/>
    <w:rsid w:val="00ED2086"/>
    <w:rsid w:val="00ED38AF"/>
    <w:rsid w:val="00ED4124"/>
    <w:rsid w:val="00ED60A1"/>
    <w:rsid w:val="00ED6123"/>
    <w:rsid w:val="00EE1C4A"/>
    <w:rsid w:val="00EE2E2E"/>
    <w:rsid w:val="00EE2F04"/>
    <w:rsid w:val="00EE3E0F"/>
    <w:rsid w:val="00EE556A"/>
    <w:rsid w:val="00EE6211"/>
    <w:rsid w:val="00EE6D21"/>
    <w:rsid w:val="00EF1116"/>
    <w:rsid w:val="00F0089C"/>
    <w:rsid w:val="00F01B55"/>
    <w:rsid w:val="00F0237B"/>
    <w:rsid w:val="00F06498"/>
    <w:rsid w:val="00F06E99"/>
    <w:rsid w:val="00F0723B"/>
    <w:rsid w:val="00F11E0A"/>
    <w:rsid w:val="00F13013"/>
    <w:rsid w:val="00F14F22"/>
    <w:rsid w:val="00F16104"/>
    <w:rsid w:val="00F16CF9"/>
    <w:rsid w:val="00F20B09"/>
    <w:rsid w:val="00F2149C"/>
    <w:rsid w:val="00F25216"/>
    <w:rsid w:val="00F3167E"/>
    <w:rsid w:val="00F3335E"/>
    <w:rsid w:val="00F33829"/>
    <w:rsid w:val="00F349E0"/>
    <w:rsid w:val="00F36BF0"/>
    <w:rsid w:val="00F40531"/>
    <w:rsid w:val="00F42F97"/>
    <w:rsid w:val="00F439B5"/>
    <w:rsid w:val="00F5087A"/>
    <w:rsid w:val="00F52E75"/>
    <w:rsid w:val="00F54BD0"/>
    <w:rsid w:val="00F54C75"/>
    <w:rsid w:val="00F57875"/>
    <w:rsid w:val="00F57DED"/>
    <w:rsid w:val="00F6058F"/>
    <w:rsid w:val="00F60A18"/>
    <w:rsid w:val="00F63F49"/>
    <w:rsid w:val="00F65837"/>
    <w:rsid w:val="00F713A4"/>
    <w:rsid w:val="00F72D00"/>
    <w:rsid w:val="00F7567C"/>
    <w:rsid w:val="00F76FC7"/>
    <w:rsid w:val="00F80B95"/>
    <w:rsid w:val="00F81150"/>
    <w:rsid w:val="00F833B7"/>
    <w:rsid w:val="00F839AB"/>
    <w:rsid w:val="00F83A22"/>
    <w:rsid w:val="00F84CF9"/>
    <w:rsid w:val="00F87C6C"/>
    <w:rsid w:val="00F87E38"/>
    <w:rsid w:val="00F91A73"/>
    <w:rsid w:val="00F97EA2"/>
    <w:rsid w:val="00FA1290"/>
    <w:rsid w:val="00FA155E"/>
    <w:rsid w:val="00FA2322"/>
    <w:rsid w:val="00FA31B9"/>
    <w:rsid w:val="00FA5102"/>
    <w:rsid w:val="00FB297F"/>
    <w:rsid w:val="00FB4B0C"/>
    <w:rsid w:val="00FC0D10"/>
    <w:rsid w:val="00FC1934"/>
    <w:rsid w:val="00FD2326"/>
    <w:rsid w:val="00FD2D0F"/>
    <w:rsid w:val="00FD7793"/>
    <w:rsid w:val="00FE38F0"/>
    <w:rsid w:val="00FE43A9"/>
    <w:rsid w:val="00FE6588"/>
    <w:rsid w:val="00FE69B1"/>
    <w:rsid w:val="00FE73F3"/>
    <w:rsid w:val="00FF11AC"/>
    <w:rsid w:val="00FF3F82"/>
    <w:rsid w:val="00FF41F3"/>
    <w:rsid w:val="00FF5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46954666">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21046241">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4924361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81227790">
      <w:bodyDiv w:val="1"/>
      <w:marLeft w:val="0"/>
      <w:marRight w:val="0"/>
      <w:marTop w:val="0"/>
      <w:marBottom w:val="0"/>
      <w:divBdr>
        <w:top w:val="none" w:sz="0" w:space="0" w:color="auto"/>
        <w:left w:val="none" w:sz="0" w:space="0" w:color="auto"/>
        <w:bottom w:val="none" w:sz="0" w:space="0" w:color="auto"/>
        <w:right w:val="none" w:sz="0" w:space="0" w:color="auto"/>
      </w:divBdr>
    </w:div>
    <w:div w:id="28647013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354620456">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81625886">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380845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533413">
      <w:bodyDiv w:val="1"/>
      <w:marLeft w:val="0"/>
      <w:marRight w:val="0"/>
      <w:marTop w:val="0"/>
      <w:marBottom w:val="0"/>
      <w:divBdr>
        <w:top w:val="none" w:sz="0" w:space="0" w:color="auto"/>
        <w:left w:val="none" w:sz="0" w:space="0" w:color="auto"/>
        <w:bottom w:val="none" w:sz="0" w:space="0" w:color="auto"/>
        <w:right w:val="none" w:sz="0" w:space="0" w:color="auto"/>
      </w:divBdr>
    </w:div>
    <w:div w:id="628051884">
      <w:bodyDiv w:val="1"/>
      <w:marLeft w:val="0"/>
      <w:marRight w:val="0"/>
      <w:marTop w:val="0"/>
      <w:marBottom w:val="0"/>
      <w:divBdr>
        <w:top w:val="none" w:sz="0" w:space="0" w:color="auto"/>
        <w:left w:val="none" w:sz="0" w:space="0" w:color="auto"/>
        <w:bottom w:val="none" w:sz="0" w:space="0" w:color="auto"/>
        <w:right w:val="none" w:sz="0" w:space="0" w:color="auto"/>
      </w:divBdr>
    </w:div>
    <w:div w:id="64540096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035850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0571412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8839765">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10909560">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86421270">
      <w:bodyDiv w:val="1"/>
      <w:marLeft w:val="0"/>
      <w:marRight w:val="0"/>
      <w:marTop w:val="0"/>
      <w:marBottom w:val="0"/>
      <w:divBdr>
        <w:top w:val="none" w:sz="0" w:space="0" w:color="auto"/>
        <w:left w:val="none" w:sz="0" w:space="0" w:color="auto"/>
        <w:bottom w:val="none" w:sz="0" w:space="0" w:color="auto"/>
        <w:right w:val="none" w:sz="0" w:space="0" w:color="auto"/>
      </w:divBdr>
    </w:div>
    <w:div w:id="1119689758">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58378301">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53126492">
      <w:bodyDiv w:val="1"/>
      <w:marLeft w:val="0"/>
      <w:marRight w:val="0"/>
      <w:marTop w:val="0"/>
      <w:marBottom w:val="0"/>
      <w:divBdr>
        <w:top w:val="none" w:sz="0" w:space="0" w:color="auto"/>
        <w:left w:val="none" w:sz="0" w:space="0" w:color="auto"/>
        <w:bottom w:val="none" w:sz="0" w:space="0" w:color="auto"/>
        <w:right w:val="none" w:sz="0" w:space="0" w:color="auto"/>
      </w:divBdr>
    </w:div>
    <w:div w:id="127679223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0230711">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34801563">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458374430">
      <w:bodyDiv w:val="1"/>
      <w:marLeft w:val="0"/>
      <w:marRight w:val="0"/>
      <w:marTop w:val="0"/>
      <w:marBottom w:val="0"/>
      <w:divBdr>
        <w:top w:val="none" w:sz="0" w:space="0" w:color="auto"/>
        <w:left w:val="none" w:sz="0" w:space="0" w:color="auto"/>
        <w:bottom w:val="none" w:sz="0" w:space="0" w:color="auto"/>
        <w:right w:val="none" w:sz="0" w:space="0" w:color="auto"/>
      </w:divBdr>
    </w:div>
    <w:div w:id="1477986928">
      <w:bodyDiv w:val="1"/>
      <w:marLeft w:val="0"/>
      <w:marRight w:val="0"/>
      <w:marTop w:val="0"/>
      <w:marBottom w:val="0"/>
      <w:divBdr>
        <w:top w:val="none" w:sz="0" w:space="0" w:color="auto"/>
        <w:left w:val="none" w:sz="0" w:space="0" w:color="auto"/>
        <w:bottom w:val="none" w:sz="0" w:space="0" w:color="auto"/>
        <w:right w:val="none" w:sz="0" w:space="0" w:color="auto"/>
      </w:divBdr>
    </w:div>
    <w:div w:id="151009766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6885158">
      <w:bodyDiv w:val="1"/>
      <w:marLeft w:val="0"/>
      <w:marRight w:val="0"/>
      <w:marTop w:val="0"/>
      <w:marBottom w:val="0"/>
      <w:divBdr>
        <w:top w:val="none" w:sz="0" w:space="0" w:color="auto"/>
        <w:left w:val="none" w:sz="0" w:space="0" w:color="auto"/>
        <w:bottom w:val="none" w:sz="0" w:space="0" w:color="auto"/>
        <w:right w:val="none" w:sz="0" w:space="0" w:color="auto"/>
      </w:divBdr>
    </w:div>
    <w:div w:id="1614676465">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9776946">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655921">
      <w:bodyDiv w:val="1"/>
      <w:marLeft w:val="0"/>
      <w:marRight w:val="0"/>
      <w:marTop w:val="0"/>
      <w:marBottom w:val="0"/>
      <w:divBdr>
        <w:top w:val="none" w:sz="0" w:space="0" w:color="auto"/>
        <w:left w:val="none" w:sz="0" w:space="0" w:color="auto"/>
        <w:bottom w:val="none" w:sz="0" w:space="0" w:color="auto"/>
        <w:right w:val="none" w:sz="0" w:space="0" w:color="auto"/>
      </w:divBdr>
    </w:div>
    <w:div w:id="2101675518">
      <w:bodyDiv w:val="1"/>
      <w:marLeft w:val="0"/>
      <w:marRight w:val="0"/>
      <w:marTop w:val="0"/>
      <w:marBottom w:val="0"/>
      <w:divBdr>
        <w:top w:val="none" w:sz="0" w:space="0" w:color="auto"/>
        <w:left w:val="none" w:sz="0" w:space="0" w:color="auto"/>
        <w:bottom w:val="none" w:sz="0" w:space="0" w:color="auto"/>
        <w:right w:val="none" w:sz="0" w:space="0" w:color="auto"/>
      </w:divBdr>
    </w:div>
    <w:div w:id="2105607157">
      <w:bodyDiv w:val="1"/>
      <w:marLeft w:val="0"/>
      <w:marRight w:val="0"/>
      <w:marTop w:val="0"/>
      <w:marBottom w:val="0"/>
      <w:divBdr>
        <w:top w:val="none" w:sz="0" w:space="0" w:color="auto"/>
        <w:left w:val="none" w:sz="0" w:space="0" w:color="auto"/>
        <w:bottom w:val="none" w:sz="0" w:space="0" w:color="auto"/>
        <w:right w:val="none" w:sz="0" w:space="0" w:color="auto"/>
      </w:divBdr>
    </w:div>
    <w:div w:id="2119062663">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B6C1B780-196A-459A-BE41-2683092FAAE3}"/>
</file>

<file path=customXml/itemProps3.xml><?xml version="1.0" encoding="utf-8"?>
<ds:datastoreItem xmlns:ds="http://schemas.openxmlformats.org/officeDocument/2006/customXml" ds:itemID="{DE27464C-4DA1-4F3C-B62B-19BC32926960}"/>
</file>

<file path=customXml/itemProps4.xml><?xml version="1.0" encoding="utf-8"?>
<ds:datastoreItem xmlns:ds="http://schemas.openxmlformats.org/officeDocument/2006/customXml" ds:itemID="{E2B41C60-2B66-40BE-BA5F-26E42E5CD78B}"/>
</file>

<file path=docProps/app.xml><?xml version="1.0" encoding="utf-8"?>
<Properties xmlns="http://schemas.openxmlformats.org/officeDocument/2006/extended-properties" xmlns:vt="http://schemas.openxmlformats.org/officeDocument/2006/docPropsVTypes">
  <Template>Normal</Template>
  <TotalTime>320</TotalTime>
  <Pages>3</Pages>
  <Words>1050</Words>
  <Characters>5776</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366</cp:revision>
  <cp:lastPrinted>2025-06-06T17:02:00Z</cp:lastPrinted>
  <dcterms:created xsi:type="dcterms:W3CDTF">2023-02-14T22:37:00Z</dcterms:created>
  <dcterms:modified xsi:type="dcterms:W3CDTF">2025-06-06T17:02:00Z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