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B8FD7" w14:textId="22770B00" w:rsidR="005A2497" w:rsidRPr="007E4E23" w:rsidRDefault="00201C0D" w:rsidP="009849E6">
      <w:pPr>
        <w:spacing w:after="0" w:line="240" w:lineRule="auto"/>
        <w:jc w:val="center"/>
        <w:rPr>
          <w:rFonts w:ascii="Times New Roman" w:hAnsi="Times New Roman" w:cs="Times New Roman"/>
          <w:b/>
          <w:sz w:val="23"/>
          <w:szCs w:val="23"/>
          <w:lang w:val="es-PE" w:eastAsia="ar-SA"/>
        </w:rPr>
      </w:pPr>
      <w:r w:rsidRPr="007E4E23">
        <w:rPr>
          <w:rFonts w:ascii="Times New Roman" w:hAnsi="Times New Roman" w:cs="Times New Roman"/>
          <w:b/>
          <w:sz w:val="24"/>
          <w:szCs w:val="23"/>
          <w:lang w:val="es-PE" w:eastAsia="ar-SA"/>
        </w:rPr>
        <w:t xml:space="preserve">RESOLUCIÓN DE RECURSO IMPUGNATIVO </w:t>
      </w:r>
      <w:r w:rsidR="00707C99" w:rsidRPr="007E4E23">
        <w:rPr>
          <w:rFonts w:ascii="Times New Roman" w:hAnsi="Times New Roman" w:cs="Times New Roman"/>
          <w:b/>
          <w:sz w:val="24"/>
          <w:szCs w:val="23"/>
          <w:lang w:val="es-PE" w:eastAsia="ar-SA"/>
        </w:rPr>
        <w:t xml:space="preserve">N° </w:t>
      </w:r>
      <w:r w:rsidR="00516293" w:rsidRPr="007E4E23">
        <w:rPr>
          <w:rFonts w:ascii="Times New Roman" w:hAnsi="Times New Roman" w:cs="Times New Roman"/>
          <w:b/>
          <w:sz w:val="24"/>
          <w:szCs w:val="23"/>
          <w:lang w:val="es-PE" w:eastAsia="ar-SA"/>
        </w:rPr>
        <w:t>0</w:t>
      </w:r>
      <w:r w:rsidR="000C321D" w:rsidRPr="007E4E23">
        <w:rPr>
          <w:rFonts w:ascii="Times New Roman" w:hAnsi="Times New Roman" w:cs="Times New Roman"/>
          <w:b/>
          <w:sz w:val="24"/>
          <w:szCs w:val="23"/>
          <w:lang w:val="es-PE" w:eastAsia="ar-SA"/>
        </w:rPr>
        <w:t>30</w:t>
      </w:r>
      <w:r w:rsidR="00C671F5" w:rsidRPr="007E4E23">
        <w:rPr>
          <w:rFonts w:ascii="Times New Roman" w:hAnsi="Times New Roman" w:cs="Times New Roman"/>
          <w:b/>
          <w:sz w:val="24"/>
          <w:szCs w:val="23"/>
          <w:lang w:val="es-PE" w:eastAsia="ar-SA"/>
        </w:rPr>
        <w:t>/2</w:t>
      </w:r>
      <w:r w:rsidR="00A74F96" w:rsidRPr="007E4E23">
        <w:rPr>
          <w:rFonts w:ascii="Times New Roman" w:hAnsi="Times New Roman" w:cs="Times New Roman"/>
          <w:b/>
          <w:sz w:val="24"/>
          <w:szCs w:val="23"/>
          <w:lang w:val="es-PE" w:eastAsia="ar-SA"/>
        </w:rPr>
        <w:t>5</w:t>
      </w:r>
    </w:p>
    <w:p w14:paraId="56DB191C" w14:textId="77777777" w:rsidR="005A2497" w:rsidRPr="007E4E23" w:rsidRDefault="005A2497" w:rsidP="00B46B01">
      <w:pPr>
        <w:spacing w:after="0" w:line="240" w:lineRule="auto"/>
        <w:jc w:val="both"/>
        <w:rPr>
          <w:rFonts w:ascii="Times New Roman" w:hAnsi="Times New Roman" w:cs="Times New Roman"/>
          <w:b/>
          <w:sz w:val="23"/>
          <w:szCs w:val="23"/>
          <w:lang w:val="es-PE" w:eastAsia="ar-SA"/>
        </w:rPr>
      </w:pPr>
    </w:p>
    <w:p w14:paraId="40CA9A92" w14:textId="77777777" w:rsidR="000A4C6A" w:rsidRPr="000A4C6A" w:rsidRDefault="000A4C6A" w:rsidP="000A4C6A">
      <w:pPr>
        <w:spacing w:line="240" w:lineRule="auto"/>
        <w:jc w:val="both"/>
        <w:rPr>
          <w:rFonts w:ascii="Times New Roman" w:eastAsia="Arial Unicode MS" w:hAnsi="Times New Roman" w:cs="Times New Roman"/>
          <w:b/>
          <w:bCs/>
          <w:sz w:val="23"/>
          <w:szCs w:val="23"/>
          <w:lang w:val="es-MX" w:eastAsia="ar-SA"/>
        </w:rPr>
      </w:pPr>
      <w:r w:rsidRPr="000A4C6A">
        <w:rPr>
          <w:rFonts w:ascii="Times New Roman" w:eastAsia="Arial Unicode MS" w:hAnsi="Times New Roman" w:cs="Times New Roman"/>
          <w:b/>
          <w:bCs/>
          <w:sz w:val="24"/>
          <w:szCs w:val="23"/>
          <w:lang w:val="es-MX" w:eastAsia="ar-SA"/>
        </w:rPr>
        <w:t>Vistos:</w:t>
      </w:r>
    </w:p>
    <w:p w14:paraId="757AF8EF" w14:textId="77777777" w:rsidR="000A4C6A" w:rsidRPr="000A4C6A" w:rsidRDefault="000A4C6A" w:rsidP="000A4C6A">
      <w:pPr>
        <w:spacing w:line="240" w:lineRule="auto"/>
        <w:jc w:val="both"/>
        <w:rPr>
          <w:rFonts w:ascii="Times New Roman" w:eastAsia="Arial Unicode MS" w:hAnsi="Times New Roman" w:cs="Times New Roman"/>
          <w:b/>
          <w:sz w:val="23"/>
          <w:szCs w:val="23"/>
          <w:lang w:val="es-MX" w:eastAsia="ar-SA"/>
        </w:rPr>
      </w:pPr>
      <w:r>
        <w:rPr>
          <w:rFonts w:ascii="Times New Roman" w:hAnsi="Times New Roman"/>
          <w:sz w:val="24"/>
        </w:rPr>
        <w:t xml:space="preserve">El Recurso de Impugnación presentado por ………………… respecto de la Resolución Nº 066/25 de fecha 30 de abril de 2025, que declara improcedente el reclamo presentado y nula la afiliación del asegurado señor…………………, al Seguro de Desgravamen CMAC Sullana, fallecido el 02 de marzo de 2024, dejando a salvo el derecho de la reclamante de acudir a las instancias que considere pertinentes.</w:t>
      </w:r>
    </w:p>
    <w:bookmarkEnd w:id="0"/>
    <w:p w14:paraId="4AA81587" w14:textId="60007272" w:rsidR="000A4C6A" w:rsidRPr="000A4C6A" w:rsidRDefault="000A4C6A" w:rsidP="000A4C6A">
      <w:pPr>
        <w:spacing w:line="240" w:lineRule="auto"/>
        <w:jc w:val="both"/>
        <w:rPr>
          <w:rFonts w:ascii="Times New Roman" w:eastAsia="Arial Unicode MS" w:hAnsi="Times New Roman" w:cs="Times New Roman"/>
          <w:bCs/>
          <w:sz w:val="23"/>
          <w:szCs w:val="23"/>
          <w:lang w:val="es-MX" w:eastAsia="ar-SA"/>
        </w:rPr>
      </w:pPr>
      <w:r>
        <w:rPr>
          <w:rFonts w:ascii="Times New Roman" w:hAnsi="Times New Roman"/>
          <w:sz w:val="24"/>
        </w:rPr>
        <w:t xml:space="preserve">Que, a través del señalado recurso la reclamante manifiesta su disconformidad con lo resuelto señalando resumidamente lo siguiente: a) ausencia del dolo o culpa inexcusable y vulneración de la carga probatoria de la aseguradora, por cuanto considera que la culpa inexcusable no puede presumirse por una simple respuesta negativa; pues se pudo tratar de un error no intencional, un olvido o una falta de comprensión; que la carga de probar dicho dolo o culpa inexcusable recae en el aseguradora lo que no ha cumplido; b) que el artículo 15 de la ley 29946 establece los supuestos en los que la reticencia o declaración inexacta no conlleva la nulidad como son que el asegurador conocía o debía conocer el verdadero estado de riesgo, consideran que la aseguradora debió implementar mecanismos para evaluar el riesgo, tales como cuestionarios más específicos, por lo que debía conocer el riesgo; siendo que en este caso la inexactitud no dolosa no influyó en la producción del siniestro ni en la medida de la indemnización por cuanto están presentando un informe médico aclaratorio del profesional que suscribió el certificado de defunción que desvirtúa de manera categórica la presunción de influencia causal establecida por la DEFASEG; c) que la diabetes era una condición crónica preexistente pero no un causa directa única ni suficiente para explicar el evento fatal; por lo que no puede afirmarse médicamente que el fallecimiento haya ocurrido a consecuencia de la diabetes; d) que se han vulnerado los principios de protección al consumidor y configuración de práctica abusiva; la aseguradora aceptó la Declaración de Salud sin requerir exámenes médicos (lo cual, si bien no era una obligación legal según la resolución, sí puede ser parte de una diligencia razonable) y ahora pretende liberarse completamente de su obligación basándose en una inexactitud sobre una condición que no fue la causa directa del deceso, lo cual genera un desequilibro importante en perjuicio de la beneficiaria, quien queda desprotegida ante el cumplimiento del riesgo principal, el fallecimiento del asegurado, lo que contraviene principios de buena fe y de protección al consumidor; e) que no se ha observado el principio de interpretación favorable al asegurado; f) aunque la Resolución Impugnada se decantó por la nulidad, la aseguradora invocó inicialmente la exclusión por enfermedades preexistentes lo cual no está probado y ha quedado desvirtuado con el informe médico aclaratorio que adjuntan a su recurso;</w:t>
      </w:r>
    </w:p>
    <w:p w14:paraId="3ED29A37" w14:textId="77777777" w:rsidR="000A4C6A" w:rsidRPr="000A4C6A" w:rsidRDefault="000A4C6A" w:rsidP="000A4C6A">
      <w:pPr>
        <w:spacing w:line="240" w:lineRule="auto"/>
        <w:jc w:val="both"/>
        <w:rPr>
          <w:rFonts w:ascii="Times New Roman" w:eastAsia="Arial Unicode MS" w:hAnsi="Times New Roman" w:cs="Times New Roman"/>
          <w:bCs/>
          <w:sz w:val="23"/>
          <w:szCs w:val="23"/>
          <w:lang w:val="es-MX" w:eastAsia="ar-SA"/>
        </w:rPr>
      </w:pPr>
      <w:r w:rsidRPr="000A4C6A">
        <w:rPr>
          <w:rFonts w:ascii="Times New Roman" w:eastAsia="Arial Unicode MS" w:hAnsi="Times New Roman" w:cs="Times New Roman"/>
          <w:bCs/>
          <w:sz w:val="24"/>
          <w:szCs w:val="23"/>
          <w:lang w:val="es-MX" w:eastAsia="ar-SA"/>
        </w:rPr>
        <w:t>Que, habiéndose corrido traslado de la impugnación a la aseguradora, esta señala resumidamente lo siguiente: a) el certificado médico es el documento oficial que debe ser considerado; el informe médico aclaratorio trata de contradecir el certificado de defunción, pero aquel tiene la aprobación del Misterio de Salud; y no se encuentra sustentado con historias clínicas que lo respalden; b) respecto a la nulidad por reticencia, es irrefutable que existió dolo o culpa inexcusable porque asegurado contestó negativamente a la pregunta sobre diabetes cuando estaba diagnosticado desde antes de la contratación de la póliza; se ha evidenciado reticencia dolosa al omitir información relevante sobre su diagnóstico previo, lo cual constituye una casual objetiva de nulidad del contrato de seguro por declaraciones inexactas.</w:t>
      </w:r>
    </w:p>
    <w:p w14:paraId="47527A36" w14:textId="0C3372F5" w:rsidR="000A4C6A" w:rsidRPr="000A4C6A" w:rsidRDefault="000A4C6A" w:rsidP="000A4C6A">
      <w:pPr>
        <w:spacing w:line="240" w:lineRule="auto"/>
        <w:jc w:val="both"/>
        <w:rPr>
          <w:rFonts w:ascii="Times New Roman" w:eastAsia="Arial Unicode MS" w:hAnsi="Times New Roman" w:cs="Times New Roman"/>
          <w:sz w:val="23"/>
          <w:szCs w:val="23"/>
          <w:lang w:val="es-MX" w:eastAsia="ar-SA"/>
        </w:rPr>
      </w:pPr>
      <w:r w:rsidRPr="000A4C6A">
        <w:rPr>
          <w:rFonts w:ascii="Times New Roman" w:eastAsia="Arial Unicode MS" w:hAnsi="Times New Roman" w:cs="Times New Roman"/>
          <w:sz w:val="24"/>
          <w:szCs w:val="23"/>
          <w:lang w:val="es-MX" w:eastAsia="ar-SA"/>
        </w:rPr>
        <w:lastRenderedPageBreak/>
        <w:t xml:space="preserve">Que la reclamante presentó un escrito adicional en respuesta a los </w:t>
      </w:r>
      <w:proofErr w:type="spellStart"/>
      <w:r w:rsidRPr="000A4C6A">
        <w:rPr>
          <w:rFonts w:ascii="Times New Roman" w:eastAsia="Arial Unicode MS" w:hAnsi="Times New Roman" w:cs="Times New Roman"/>
          <w:sz w:val="24"/>
          <w:szCs w:val="23"/>
          <w:lang w:val="es-MX" w:eastAsia="ar-SA"/>
        </w:rPr>
        <w:t>argumenos</w:t>
      </w:r>
      <w:proofErr w:type="spellEnd"/>
      <w:r w:rsidRPr="000A4C6A">
        <w:rPr>
          <w:rFonts w:ascii="Times New Roman" w:eastAsia="Arial Unicode MS" w:hAnsi="Times New Roman" w:cs="Times New Roman"/>
          <w:sz w:val="24"/>
          <w:szCs w:val="23"/>
          <w:lang w:val="es-MX" w:eastAsia="ar-SA"/>
        </w:rPr>
        <w:t xml:space="preserve"> de la aseguradora reiterando su posición por la cual considera no existe nexo causal directo y se estaría vulnerando la protección al asegurado y principios legales fundamentales</w:t>
      </w:r>
    </w:p>
    <w:p w14:paraId="793F3B0F" w14:textId="77777777" w:rsidR="000A4C6A" w:rsidRPr="000A4C6A" w:rsidRDefault="000A4C6A" w:rsidP="000A4C6A">
      <w:pPr>
        <w:spacing w:line="240" w:lineRule="auto"/>
        <w:jc w:val="both"/>
        <w:rPr>
          <w:rFonts w:ascii="Times New Roman" w:eastAsia="Arial Unicode MS" w:hAnsi="Times New Roman" w:cs="Times New Roman"/>
          <w:bCs/>
          <w:sz w:val="23"/>
          <w:szCs w:val="23"/>
          <w:lang w:val="es-MX" w:eastAsia="ar-SA"/>
        </w:rPr>
      </w:pPr>
      <w:r w:rsidRPr="000A4C6A">
        <w:rPr>
          <w:rFonts w:ascii="Times New Roman" w:eastAsia="Arial Unicode MS" w:hAnsi="Times New Roman" w:cs="Times New Roman"/>
          <w:b/>
          <w:bCs/>
          <w:sz w:val="24"/>
          <w:szCs w:val="23"/>
          <w:lang w:val="es-MX" w:eastAsia="ar-SA"/>
        </w:rPr>
        <w:t>Considerando:</w:t>
      </w:r>
    </w:p>
    <w:p w14:paraId="170D8790" w14:textId="77777777" w:rsidR="000A4C6A" w:rsidRPr="000A4C6A" w:rsidRDefault="000A4C6A" w:rsidP="000A4C6A">
      <w:pPr>
        <w:spacing w:line="240" w:lineRule="auto"/>
        <w:jc w:val="both"/>
        <w:rPr>
          <w:rFonts w:ascii="Times New Roman" w:eastAsia="Arial Unicode MS" w:hAnsi="Times New Roman" w:cs="Times New Roman"/>
          <w:bCs/>
          <w:sz w:val="23"/>
          <w:szCs w:val="23"/>
          <w:lang w:val="es-PE" w:eastAsia="ar-SA"/>
        </w:rPr>
      </w:pPr>
      <w:r>
        <w:rPr>
          <w:rFonts w:ascii="Times New Roman" w:hAnsi="Times New Roman"/>
          <w:sz w:val="24"/>
        </w:rPr>
        <w:t xml:space="preserve">Primero: El Reglamento de la DEFASEG (http://www.defaseg.com.pe/reglamento) establece que la parte que no se encuentre de acuerdo con lo resuelto en su oportunidad podrá impugnarlo, interponiendo el correspondiente recurso. Conforme a ello, en el caso concreto, al interponer el Recurso de Impugnación la reclamante ha ejercido formalmente su derecho a contradecir lo resuelto por la Defensoría.</w:t>
      </w:r>
    </w:p>
    <w:p w14:paraId="5C140552" w14:textId="2CCDD7EE" w:rsidR="000A4C6A" w:rsidRPr="000A4C6A" w:rsidRDefault="000A4C6A" w:rsidP="000A4C6A">
      <w:pPr>
        <w:spacing w:line="240" w:lineRule="auto"/>
        <w:jc w:val="both"/>
        <w:rPr>
          <w:rFonts w:ascii="Times New Roman" w:eastAsia="Arial Unicode MS" w:hAnsi="Times New Roman" w:cs="Times New Roman"/>
          <w:sz w:val="23"/>
          <w:szCs w:val="23"/>
          <w:lang w:val="es-PE" w:eastAsia="ar-SA"/>
        </w:rPr>
      </w:pPr>
      <w:r w:rsidRPr="000A4C6A">
        <w:rPr>
          <w:rFonts w:ascii="Times New Roman" w:eastAsia="Arial Unicode MS" w:hAnsi="Times New Roman" w:cs="Times New Roman"/>
          <w:b/>
          <w:sz w:val="24"/>
          <w:szCs w:val="23"/>
          <w:u w:val="single"/>
          <w:lang w:val="es-PE" w:eastAsia="ar-SA"/>
        </w:rPr>
        <w:t>Segundo</w:t>
      </w:r>
      <w:r w:rsidRPr="000A4C6A">
        <w:rPr>
          <w:rFonts w:ascii="Times New Roman" w:eastAsia="Arial Unicode MS" w:hAnsi="Times New Roman" w:cs="Times New Roman"/>
          <w:b/>
          <w:sz w:val="24"/>
          <w:szCs w:val="23"/>
          <w:lang w:val="es-PE" w:eastAsia="ar-SA"/>
        </w:rPr>
        <w:t>:</w:t>
      </w:r>
      <w:r w:rsidRPr="000A4C6A">
        <w:rPr>
          <w:rFonts w:ascii="Times New Roman" w:eastAsia="Arial Unicode MS" w:hAnsi="Times New Roman" w:cs="Times New Roman"/>
          <w:sz w:val="24"/>
          <w:szCs w:val="23"/>
          <w:lang w:val="es-PE" w:eastAsia="ar-SA"/>
        </w:rPr>
        <w:t xml:space="preserve"> Atendiendo a los fundamentos de la impugnación interpuesta, se advierte que la reclamante insiste en sus argumentos ya analizados, fundamentando su recurso en un informe médico aclaratorio que da cuenta que la diabetes que el asegurado presentaba no fue la causa determinante del infarto, que produjo su fallecimiento.</w:t>
      </w:r>
    </w:p>
    <w:p w14:paraId="7FF532B9" w14:textId="77777777" w:rsidR="000A4C6A" w:rsidRPr="000A4C6A" w:rsidRDefault="000A4C6A" w:rsidP="000A4C6A">
      <w:pPr>
        <w:spacing w:line="240" w:lineRule="auto"/>
        <w:jc w:val="both"/>
        <w:rPr>
          <w:rFonts w:ascii="Times New Roman" w:eastAsia="Arial Unicode MS" w:hAnsi="Times New Roman" w:cs="Times New Roman"/>
          <w:sz w:val="23"/>
          <w:szCs w:val="23"/>
          <w:lang w:val="es-PE" w:eastAsia="ar-SA"/>
        </w:rPr>
      </w:pPr>
      <w:r w:rsidRPr="000A4C6A">
        <w:rPr>
          <w:rFonts w:ascii="Times New Roman" w:eastAsia="Arial Unicode MS" w:hAnsi="Times New Roman" w:cs="Times New Roman"/>
          <w:sz w:val="24"/>
          <w:szCs w:val="23"/>
          <w:lang w:val="es-PE" w:eastAsia="ar-SA"/>
        </w:rPr>
        <w:t>Al respecto, este colegiado tiene a bien reiterar que la resolución emitida, no se sustenta en la preexistencia de la diabetes como causa del fallecimiento; sino en la declaración inexacta del asegurado al momento de contratar el seguro, la cual en aplicación del artículo 8 de la Ley del Contrato de Seguro, hace nulo el contrato de seguro, si media dolo o culpa inexcusable del contratante y/o asegurado.</w:t>
      </w:r>
    </w:p>
    <w:p w14:paraId="4D3CA261" w14:textId="77777777" w:rsidR="000A4C6A" w:rsidRPr="000A4C6A" w:rsidRDefault="000A4C6A" w:rsidP="000A4C6A">
      <w:pPr>
        <w:spacing w:line="240" w:lineRule="auto"/>
        <w:jc w:val="both"/>
        <w:rPr>
          <w:rFonts w:ascii="Times New Roman" w:eastAsia="Arial Unicode MS" w:hAnsi="Times New Roman" w:cs="Times New Roman"/>
          <w:sz w:val="23"/>
          <w:szCs w:val="23"/>
          <w:lang w:val="es-PE" w:eastAsia="ar-SA"/>
        </w:rPr>
      </w:pPr>
      <w:r w:rsidRPr="000A4C6A">
        <w:rPr>
          <w:rFonts w:ascii="Times New Roman" w:eastAsia="Arial Unicode MS" w:hAnsi="Times New Roman" w:cs="Times New Roman"/>
          <w:sz w:val="24"/>
          <w:szCs w:val="23"/>
          <w:lang w:val="es-PE" w:eastAsia="ar-SA"/>
        </w:rPr>
        <w:t>La reclamante considera que la culpa inexcusable implica una negligencia grave, notoria, una omisión de la diligencia mínima exigible, y que no puede presumirse por una simple respuesta negativa que pudo ser un error intencional, olvido o falta de comprensión; que la aseguradora debió haber implementado mecanismos más detallados o proactivos para evaluar el riesgo conocido.</w:t>
      </w:r>
    </w:p>
    <w:p w14:paraId="48FB902E" w14:textId="77777777" w:rsidR="000A4C6A" w:rsidRPr="000A4C6A" w:rsidRDefault="000A4C6A" w:rsidP="000A4C6A">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Este colegiado respeta, pero no comparte dicha interpretación por las razones expuestas en la Resolución Impugnada.  En este caso no estamos ante la inexactitud respecto de un aspecto que no era relevante para la estimación del riego, sino ante una condición crónica coexistente -como el propio informe médico aclaratorio señala- que aún cuando pudo no ser una causa directa, única ni suficiente para explicar el evento fatal, es una condición que de haber sido conocida pudo determinar que la aseguradora cobrara una extraprima o hubiera decidido no tomar el riesgo. Dicha declaración inexacta ante una pregunta expresa es prueba suficiente de la configuración del supuesto que el artículo 8 de la Ley del Contrato de Seguro sanciona con la nulidad del contrato de seguro</w:t>
      </w:r>
    </w:p>
    <w:p w14:paraId="59022A1D" w14:textId="77777777" w:rsidR="000A4C6A" w:rsidRPr="000A4C6A" w:rsidRDefault="000A4C6A" w:rsidP="000A4C6A">
      <w:pPr>
        <w:spacing w:line="240" w:lineRule="auto"/>
        <w:jc w:val="both"/>
        <w:rPr>
          <w:rFonts w:ascii="Times New Roman" w:eastAsia="Arial Unicode MS" w:hAnsi="Times New Roman" w:cs="Times New Roman"/>
          <w:sz w:val="23"/>
          <w:szCs w:val="23"/>
          <w:lang w:val="es-PE" w:eastAsia="ar-SA"/>
        </w:rPr>
      </w:pPr>
      <w:r w:rsidRPr="000A4C6A">
        <w:rPr>
          <w:rFonts w:ascii="Times New Roman" w:eastAsia="Arial Unicode MS" w:hAnsi="Times New Roman" w:cs="Times New Roman"/>
          <w:sz w:val="24"/>
          <w:szCs w:val="23"/>
          <w:lang w:val="es-PE" w:eastAsia="ar-SA"/>
        </w:rPr>
        <w:t xml:space="preserve">Las aseguradoras no están obligadas a tomar exámenes médicos, y se basan en los cuestionarios de salud que formulan para evaluar el riesgo, por ello la mínima diligencia que pueden esperar de quien solicita un seguro, es que brinde información sobre sus antecedentes médicos. No estamos ante una pregunta genérica en la que se solicita información sobre las enfermedades que hubiera padecido y el asegurado omite alguna; sino ante preguntas expresas sobre determinadas enfermedades y condicione que son relevantes para la estimación del riesgo, información que </w:t>
      </w:r>
      <w:proofErr w:type="spellStart"/>
      <w:r w:rsidRPr="000A4C6A">
        <w:rPr>
          <w:rFonts w:ascii="Times New Roman" w:eastAsia="Arial Unicode MS" w:hAnsi="Times New Roman" w:cs="Times New Roman"/>
          <w:sz w:val="24"/>
          <w:szCs w:val="23"/>
          <w:lang w:val="es-PE" w:eastAsia="ar-SA"/>
        </w:rPr>
        <w:t>esta</w:t>
      </w:r>
      <w:proofErr w:type="spellEnd"/>
      <w:r w:rsidRPr="000A4C6A">
        <w:rPr>
          <w:rFonts w:ascii="Times New Roman" w:eastAsia="Arial Unicode MS" w:hAnsi="Times New Roman" w:cs="Times New Roman"/>
          <w:sz w:val="24"/>
          <w:szCs w:val="23"/>
          <w:lang w:val="es-PE" w:eastAsia="ar-SA"/>
        </w:rPr>
        <w:t xml:space="preserve"> en la esfera de dominio del asegurado, por lo que las graves consecuencias de dicha inexactitud (no hablamos de una omisión sino de información inexacta, es decir, que no corresponde a la realidad) son informadas al momento de la contratación del seguro.</w:t>
      </w:r>
    </w:p>
    <w:p w14:paraId="51E83C9D" w14:textId="77777777" w:rsidR="000A4C6A" w:rsidRPr="000A4C6A" w:rsidRDefault="000A4C6A" w:rsidP="000A4C6A">
      <w:pPr>
        <w:spacing w:line="240" w:lineRule="auto"/>
        <w:jc w:val="both"/>
        <w:rPr>
          <w:rFonts w:ascii="Times New Roman" w:eastAsia="Arial Unicode MS" w:hAnsi="Times New Roman" w:cs="Times New Roman"/>
          <w:sz w:val="23"/>
          <w:szCs w:val="23"/>
          <w:lang w:val="es-PE" w:eastAsia="ar-SA"/>
        </w:rPr>
      </w:pPr>
      <w:r w:rsidRPr="000A4C6A">
        <w:rPr>
          <w:rFonts w:ascii="Times New Roman" w:eastAsia="Arial Unicode MS" w:hAnsi="Times New Roman" w:cs="Times New Roman"/>
          <w:sz w:val="24"/>
          <w:szCs w:val="23"/>
          <w:lang w:val="es-PE" w:eastAsia="ar-SA"/>
        </w:rPr>
        <w:t xml:space="preserve">El principio de interpretación favorable al asegurado requiere de una disposición ambigua o poco clara, lo que no ocurre en este caso, pues reiteramos, la nulidad no se fundamenta en la relación </w:t>
      </w:r>
      <w:r w:rsidRPr="000A4C6A">
        <w:rPr>
          <w:rFonts w:ascii="Times New Roman" w:eastAsia="Arial Unicode MS" w:hAnsi="Times New Roman" w:cs="Times New Roman"/>
          <w:sz w:val="24"/>
          <w:szCs w:val="23"/>
          <w:lang w:val="es-PE" w:eastAsia="ar-SA"/>
        </w:rPr>
        <w:lastRenderedPageBreak/>
        <w:t>entre la información inexacta y la causa del fallecimiento, sino en la declaración inexacta de circunstancias conocidas por el asegurado que hubiera impedido el contrato o modificado sus condiciones si el asegurador hubieses sido informado del verdadero estado del riesgo. No es por tanto un hecho que se produce u ocurre luego de la celebración del contrato, sino un hecho que se produce durante la celebración del contrato, impidiendo a la aseguradora evaluar adecuadamente el riego y viciando su voluntad de celebrar el contrato en distintas condiciones o de no celebrarlo.</w:t>
      </w:r>
    </w:p>
    <w:p w14:paraId="640C2D45" w14:textId="6FE17E67" w:rsidR="000A4C6A" w:rsidRPr="000A4C6A" w:rsidRDefault="000A4C6A" w:rsidP="000A4C6A">
      <w:pPr>
        <w:spacing w:line="240" w:lineRule="auto"/>
        <w:jc w:val="both"/>
        <w:rPr>
          <w:rFonts w:ascii="Times New Roman" w:eastAsia="Arial Unicode MS" w:hAnsi="Times New Roman" w:cs="Times New Roman"/>
          <w:sz w:val="23"/>
          <w:szCs w:val="23"/>
          <w:lang w:val="es-PE" w:eastAsia="ar-SA"/>
        </w:rPr>
      </w:pPr>
      <w:r w:rsidRPr="000A4C6A">
        <w:rPr>
          <w:rFonts w:ascii="Times New Roman" w:eastAsia="Arial Unicode MS" w:hAnsi="Times New Roman" w:cs="Times New Roman"/>
          <w:b/>
          <w:sz w:val="24"/>
          <w:szCs w:val="23"/>
          <w:u w:val="single"/>
          <w:lang w:val="es-PE" w:eastAsia="ar-SA"/>
        </w:rPr>
        <w:t>Tercero</w:t>
      </w:r>
      <w:r w:rsidRPr="000A4C6A">
        <w:rPr>
          <w:rFonts w:ascii="Times New Roman" w:eastAsia="Arial Unicode MS" w:hAnsi="Times New Roman" w:cs="Times New Roman"/>
          <w:b/>
          <w:sz w:val="24"/>
          <w:szCs w:val="23"/>
          <w:lang w:val="es-PE" w:eastAsia="ar-SA"/>
        </w:rPr>
        <w:t>:</w:t>
      </w:r>
      <w:r w:rsidRPr="000A4C6A">
        <w:rPr>
          <w:rFonts w:ascii="Times New Roman" w:eastAsia="Arial Unicode MS" w:hAnsi="Times New Roman" w:cs="Times New Roman"/>
          <w:sz w:val="24"/>
          <w:szCs w:val="23"/>
          <w:lang w:val="es-PE" w:eastAsia="ar-SA"/>
        </w:rPr>
        <w:t xml:space="preserve"> Ese colegiado tiene a bien precisar que, </w:t>
      </w:r>
      <w:r w:rsidRPr="000A4C6A">
        <w:rPr>
          <w:rFonts w:ascii="Times New Roman" w:eastAsia="Arial Unicode MS" w:hAnsi="Times New Roman" w:cs="Times New Roman"/>
          <w:sz w:val="24"/>
          <w:szCs w:val="23"/>
          <w:lang w:val="es-419" w:eastAsia="ar-SA"/>
        </w:rPr>
        <w:t xml:space="preserve">conforme al reglamento de la DEFASEG, </w:t>
      </w:r>
      <w:r w:rsidRPr="000A4C6A">
        <w:rPr>
          <w:rFonts w:ascii="Times New Roman" w:eastAsia="Arial Unicode MS" w:hAnsi="Times New Roman" w:cs="Times New Roman"/>
          <w:sz w:val="24"/>
          <w:szCs w:val="23"/>
          <w:lang w:val="es-ES" w:eastAsia="ar-SA"/>
        </w:rPr>
        <w:t>el sometimiento voluntario a esta instancia como medio de resolución de conflictos, no afecta el derecho a la tutela jurisdiccional del asegurado, toda vez que lo resuelto por esta Defensoría no limita su derecho a iniciar procesos ante las instancias administrativas o jurisdiccionales que considere pertinentes, sin que sea necesario que la DEFASEG revoque previamente la resolución emitida. Ello debido a que las resoluciones que expide esta Defensoría no son vinculantes para el asegurado o reclamante cuando éstas les son desfavorables, siendo vinculantes para las aseguradoras cuando el fallo es favorable para el asegurado.</w:t>
      </w:r>
    </w:p>
    <w:p w14:paraId="0624A5AD" w14:textId="77777777" w:rsidR="000A4C6A" w:rsidRPr="000A4C6A" w:rsidRDefault="000A4C6A" w:rsidP="000A4C6A">
      <w:pPr>
        <w:spacing w:line="240" w:lineRule="auto"/>
        <w:jc w:val="both"/>
        <w:rPr>
          <w:rFonts w:ascii="Times New Roman" w:eastAsia="Arial Unicode MS" w:hAnsi="Times New Roman" w:cs="Times New Roman"/>
          <w:sz w:val="23"/>
          <w:szCs w:val="23"/>
          <w:lang w:val="es-ES" w:eastAsia="ar-SA"/>
        </w:rPr>
      </w:pPr>
      <w:r w:rsidRPr="000A4C6A">
        <w:rPr>
          <w:rFonts w:ascii="Times New Roman" w:eastAsia="Arial Unicode MS" w:hAnsi="Times New Roman" w:cs="Times New Roman"/>
          <w:sz w:val="24"/>
          <w:szCs w:val="23"/>
          <w:lang w:val="es-ES" w:eastAsia="ar-SA"/>
        </w:rPr>
        <w:t>En atención a las consideraciones precedentes, ratificando el análisis y conclusión contenidos en la resolución recurrida, este colegiado aprecia que no existe mérito, argumento ni prueba que justifique revocar la resolución recurrida; por lo tanto, conforme a su reglamente este colegiado</w:t>
      </w:r>
    </w:p>
    <w:p w14:paraId="2DEB40AC" w14:textId="38BB376B" w:rsidR="000A4C6A" w:rsidRPr="000A4C6A" w:rsidRDefault="000A4C6A" w:rsidP="000A4C6A">
      <w:pPr>
        <w:spacing w:line="240" w:lineRule="auto"/>
        <w:jc w:val="both"/>
        <w:rPr>
          <w:rFonts w:ascii="Times New Roman" w:eastAsia="Arial Unicode MS" w:hAnsi="Times New Roman" w:cs="Times New Roman"/>
          <w:b/>
          <w:bCs/>
          <w:sz w:val="23"/>
          <w:szCs w:val="23"/>
          <w:lang w:val="es-PE" w:eastAsia="ar-SA"/>
        </w:rPr>
      </w:pPr>
      <w:r w:rsidRPr="000A4C6A">
        <w:rPr>
          <w:rFonts w:ascii="Times New Roman" w:eastAsia="Arial Unicode MS" w:hAnsi="Times New Roman" w:cs="Times New Roman"/>
          <w:b/>
          <w:bCs/>
          <w:sz w:val="24"/>
          <w:szCs w:val="23"/>
          <w:lang w:val="es-ES" w:eastAsia="ar-SA"/>
        </w:rPr>
        <w:t>RESUELVE:</w:t>
      </w:r>
    </w:p>
    <w:p w14:paraId="2EC2AE3E" w14:textId="77777777" w:rsidR="000A4C6A" w:rsidRPr="000A4C6A" w:rsidRDefault="000A4C6A" w:rsidP="000A4C6A">
      <w:pPr>
        <w:spacing w:line="240" w:lineRule="auto"/>
        <w:jc w:val="both"/>
        <w:rPr>
          <w:rFonts w:ascii="Times New Roman" w:eastAsia="Arial Unicode MS" w:hAnsi="Times New Roman" w:cs="Times New Roman"/>
          <w:sz w:val="23"/>
          <w:szCs w:val="23"/>
          <w:lang w:val="es-ES" w:eastAsia="ar-SA"/>
        </w:rPr>
      </w:pPr>
      <w:r w:rsidRPr="000A4C6A">
        <w:rPr>
          <w:rFonts w:ascii="Times New Roman" w:eastAsia="Arial Unicode MS" w:hAnsi="Times New Roman" w:cs="Times New Roman"/>
          <w:bCs/>
          <w:sz w:val="24"/>
          <w:szCs w:val="23"/>
          <w:lang w:val="es-PE" w:eastAsia="ar-SA"/>
        </w:rPr>
        <w:t xml:space="preserve">Declarar </w:t>
      </w:r>
      <w:r w:rsidRPr="000A4C6A">
        <w:rPr>
          <w:rFonts w:ascii="Times New Roman" w:eastAsia="Arial Unicode MS" w:hAnsi="Times New Roman" w:cs="Times New Roman"/>
          <w:b/>
          <w:sz w:val="24"/>
          <w:szCs w:val="23"/>
          <w:lang w:val="es-PE" w:eastAsia="ar-SA"/>
        </w:rPr>
        <w:t xml:space="preserve">INFUNDADO </w:t>
      </w:r>
      <w:r w:rsidRPr="000A4C6A">
        <w:rPr>
          <w:rFonts w:ascii="Times New Roman" w:eastAsia="Arial Unicode MS" w:hAnsi="Times New Roman" w:cs="Times New Roman"/>
          <w:bCs/>
          <w:sz w:val="24"/>
          <w:szCs w:val="23"/>
          <w:lang w:val="es-PE" w:eastAsia="ar-SA"/>
        </w:rPr>
        <w:t>el recurso impugnativo</w:t>
      </w:r>
      <w:r w:rsidRPr="000A4C6A">
        <w:rPr>
          <w:rFonts w:ascii="Times New Roman" w:eastAsia="Arial Unicode MS" w:hAnsi="Times New Roman" w:cs="Times New Roman"/>
          <w:b/>
          <w:sz w:val="24"/>
          <w:szCs w:val="23"/>
          <w:lang w:val="es-PE" w:eastAsia="ar-SA"/>
        </w:rPr>
        <w:t xml:space="preserve"> </w:t>
      </w:r>
      <w:r w:rsidRPr="000A4C6A">
        <w:rPr>
          <w:rFonts w:ascii="Times New Roman" w:eastAsia="Arial Unicode MS" w:hAnsi="Times New Roman" w:cs="Times New Roman"/>
          <w:sz w:val="24"/>
          <w:szCs w:val="23"/>
          <w:lang w:val="es-PE" w:eastAsia="ar-SA"/>
        </w:rPr>
        <w:t>interpuesto y,</w:t>
      </w:r>
      <w:r w:rsidRPr="000A4C6A">
        <w:rPr>
          <w:rFonts w:ascii="Times New Roman" w:eastAsia="Arial Unicode MS" w:hAnsi="Times New Roman" w:cs="Times New Roman"/>
          <w:bCs/>
          <w:sz w:val="24"/>
          <w:szCs w:val="23"/>
          <w:lang w:val="es-ES" w:eastAsia="ar-SA"/>
        </w:rPr>
        <w:t xml:space="preserve"> por consiguiente, ratificar</w:t>
      </w:r>
      <w:r w:rsidRPr="000A4C6A">
        <w:rPr>
          <w:rFonts w:ascii="Times New Roman" w:eastAsia="Arial Unicode MS" w:hAnsi="Times New Roman" w:cs="Times New Roman"/>
          <w:sz w:val="24"/>
          <w:szCs w:val="23"/>
          <w:lang w:val="es-ES" w:eastAsia="ar-SA"/>
        </w:rPr>
        <w:t xml:space="preserve"> la Resolución </w:t>
      </w:r>
      <w:proofErr w:type="spellStart"/>
      <w:r w:rsidRPr="000A4C6A">
        <w:rPr>
          <w:rFonts w:ascii="Times New Roman" w:eastAsia="Arial Unicode MS" w:hAnsi="Times New Roman" w:cs="Times New Roman"/>
          <w:sz w:val="24"/>
          <w:szCs w:val="23"/>
          <w:lang w:val="es-ES" w:eastAsia="ar-SA"/>
        </w:rPr>
        <w:t>Nº</w:t>
      </w:r>
      <w:proofErr w:type="spellEnd"/>
      <w:r w:rsidRPr="000A4C6A">
        <w:rPr>
          <w:rFonts w:ascii="Times New Roman" w:eastAsia="Arial Unicode MS" w:hAnsi="Times New Roman" w:cs="Times New Roman"/>
          <w:sz w:val="24"/>
          <w:szCs w:val="23"/>
          <w:lang w:val="es-ES" w:eastAsia="ar-SA"/>
        </w:rPr>
        <w:t xml:space="preserve"> 066/25 de fecha 30 de abril de 2025, dejando a salvo el derecho de la reclamante de acudir ante las instancias que estime pertinente.</w:t>
      </w:r>
    </w:p>
    <w:p w14:paraId="51EDAB4B" w14:textId="78E7A3DC" w:rsidR="00B32E8A" w:rsidRPr="007E4E23" w:rsidRDefault="0091528B" w:rsidP="00EE2E2E">
      <w:pPr>
        <w:spacing w:line="240" w:lineRule="auto"/>
        <w:jc w:val="right"/>
        <w:rPr>
          <w:rFonts w:ascii="Times New Roman" w:hAnsi="Times New Roman" w:cs="Times New Roman"/>
          <w:sz w:val="23"/>
          <w:szCs w:val="23"/>
          <w:lang w:val="es-PE"/>
        </w:rPr>
      </w:pPr>
      <w:r w:rsidRPr="007E4E23">
        <w:rPr>
          <w:rFonts w:ascii="Times New Roman" w:eastAsia="Arial Unicode MS" w:hAnsi="Times New Roman" w:cs="Times New Roman"/>
          <w:sz w:val="24"/>
          <w:szCs w:val="23"/>
          <w:lang w:val="es-PE" w:eastAsia="ar-SA"/>
        </w:rPr>
        <w:t>Lima,</w:t>
      </w:r>
      <w:r w:rsidR="00774D05" w:rsidRPr="007E4E23">
        <w:rPr>
          <w:rFonts w:ascii="Times New Roman" w:eastAsia="Arial Unicode MS" w:hAnsi="Times New Roman" w:cs="Times New Roman"/>
          <w:sz w:val="24"/>
          <w:szCs w:val="23"/>
          <w:lang w:val="es-PE" w:eastAsia="ar-SA"/>
        </w:rPr>
        <w:t xml:space="preserve"> </w:t>
      </w:r>
      <w:r w:rsidR="00FF5223" w:rsidRPr="007E4E23">
        <w:rPr>
          <w:rFonts w:ascii="Times New Roman" w:eastAsia="Arial Unicode MS" w:hAnsi="Times New Roman" w:cs="Times New Roman"/>
          <w:sz w:val="24"/>
          <w:szCs w:val="23"/>
          <w:lang w:val="es-PE" w:eastAsia="ar-SA"/>
        </w:rPr>
        <w:t>0</w:t>
      </w:r>
      <w:r w:rsidR="000C321D" w:rsidRPr="007E4E23">
        <w:rPr>
          <w:rFonts w:ascii="Times New Roman" w:eastAsia="Arial Unicode MS" w:hAnsi="Times New Roman" w:cs="Times New Roman"/>
          <w:sz w:val="24"/>
          <w:szCs w:val="23"/>
          <w:lang w:val="es-PE" w:eastAsia="ar-SA"/>
        </w:rPr>
        <w:t>9</w:t>
      </w:r>
      <w:r w:rsidR="00B8209E" w:rsidRPr="007E4E23">
        <w:rPr>
          <w:rFonts w:ascii="Times New Roman" w:eastAsia="Arial Unicode MS" w:hAnsi="Times New Roman" w:cs="Times New Roman"/>
          <w:sz w:val="24"/>
          <w:szCs w:val="23"/>
          <w:lang w:val="es-PE" w:eastAsia="ar-SA"/>
        </w:rPr>
        <w:t xml:space="preserve"> </w:t>
      </w:r>
      <w:r w:rsidR="00707C99" w:rsidRPr="007E4E23">
        <w:rPr>
          <w:rFonts w:ascii="Times New Roman" w:eastAsia="Arial Unicode MS" w:hAnsi="Times New Roman" w:cs="Times New Roman"/>
          <w:sz w:val="24"/>
          <w:szCs w:val="23"/>
          <w:lang w:val="es-PE" w:eastAsia="ar-SA"/>
        </w:rPr>
        <w:t xml:space="preserve">de </w:t>
      </w:r>
      <w:r w:rsidR="00FF5223" w:rsidRPr="007E4E23">
        <w:rPr>
          <w:rFonts w:ascii="Times New Roman" w:eastAsia="Arial Unicode MS" w:hAnsi="Times New Roman" w:cs="Times New Roman"/>
          <w:sz w:val="24"/>
          <w:szCs w:val="23"/>
          <w:lang w:val="es-PE" w:eastAsia="ar-SA"/>
        </w:rPr>
        <w:t>junio</w:t>
      </w:r>
      <w:r w:rsidR="002F478E" w:rsidRPr="007E4E23">
        <w:rPr>
          <w:rFonts w:ascii="Times New Roman" w:eastAsia="Arial Unicode MS" w:hAnsi="Times New Roman" w:cs="Times New Roman"/>
          <w:sz w:val="24"/>
          <w:szCs w:val="23"/>
          <w:lang w:val="es-PE" w:eastAsia="ar-SA"/>
        </w:rPr>
        <w:t xml:space="preserve"> </w:t>
      </w:r>
      <w:r w:rsidR="00F06498" w:rsidRPr="007E4E23">
        <w:rPr>
          <w:rFonts w:ascii="Times New Roman" w:eastAsia="Arial Unicode MS" w:hAnsi="Times New Roman" w:cs="Times New Roman"/>
          <w:sz w:val="24"/>
          <w:szCs w:val="23"/>
          <w:lang w:val="es-PE" w:eastAsia="ar-SA"/>
        </w:rPr>
        <w:t>de 202</w:t>
      </w:r>
      <w:r w:rsidR="00AE4D37" w:rsidRPr="007E4E23">
        <w:rPr>
          <w:rFonts w:ascii="Times New Roman" w:eastAsia="Arial Unicode MS" w:hAnsi="Times New Roman" w:cs="Times New Roman"/>
          <w:sz w:val="24"/>
          <w:szCs w:val="23"/>
          <w:lang w:val="es-PE" w:eastAsia="ar-SA"/>
        </w:rPr>
        <w:t>5</w:t>
      </w:r>
      <w:r w:rsidR="00707C99" w:rsidRPr="007E4E23">
        <w:rPr>
          <w:rFonts w:ascii="Times New Roman" w:eastAsia="Times New Roman" w:hAnsi="Times New Roman" w:cs="Times New Roman"/>
          <w:sz w:val="24"/>
          <w:szCs w:val="23"/>
          <w:lang w:val="es-PE" w:eastAsia="ar-SA"/>
        </w:rPr>
        <w:t xml:space="preserve"> </w:t>
      </w:r>
    </w:p>
    <w:p w14:paraId="1B6988F6" w14:textId="77777777" w:rsidR="00A323F4" w:rsidRPr="007E4E23" w:rsidRDefault="00A323F4" w:rsidP="00A323F4">
      <w:pPr>
        <w:spacing w:after="0" w:line="240" w:lineRule="auto"/>
        <w:jc w:val="both"/>
        <w:rPr>
          <w:rFonts w:ascii="Times New Roman" w:hAnsi="Times New Roman" w:cs="Times New Roman"/>
          <w:b/>
          <w:bCs/>
          <w:i/>
          <w:iCs/>
          <w:sz w:val="23"/>
          <w:szCs w:val="23"/>
          <w:lang w:val="es-PE"/>
        </w:rPr>
      </w:pPr>
      <w:r w:rsidRPr="007E4E23">
        <w:rPr>
          <w:rFonts w:ascii="Times New Roman" w:hAnsi="Times New Roman" w:cs="Times New Roman"/>
          <w:b/>
          <w:bCs/>
          <w:i/>
          <w:iCs/>
          <w:sz w:val="24"/>
          <w:szCs w:val="23"/>
          <w:lang w:val="es-PE"/>
        </w:rPr>
        <w:t>La Secretaría Técnica certifica que la presente resolución cuenta con el voto de los vocales cuyos nombres figuran en el presente documento.</w:t>
      </w:r>
    </w:p>
    <w:p w14:paraId="2B24FCBE" w14:textId="77777777" w:rsidR="008D26BA" w:rsidRPr="007E4E23" w:rsidRDefault="008D26BA" w:rsidP="00A323F4">
      <w:pPr>
        <w:spacing w:after="0" w:line="360" w:lineRule="auto"/>
        <w:jc w:val="both"/>
        <w:rPr>
          <w:rFonts w:ascii="Times New Roman" w:hAnsi="Times New Roman" w:cs="Times New Roman"/>
          <w:b/>
          <w:bCs/>
          <w:i/>
          <w:iCs/>
          <w:sz w:val="23"/>
          <w:szCs w:val="23"/>
          <w:lang w:val="es-PE"/>
        </w:rPr>
      </w:pPr>
    </w:p>
    <w:p w14:paraId="220AA7AD" w14:textId="4331E0E4" w:rsidR="007543CD" w:rsidRPr="007E4E23" w:rsidRDefault="008D26BA" w:rsidP="008D26BA">
      <w:pPr>
        <w:spacing w:after="0" w:line="360" w:lineRule="auto"/>
        <w:jc w:val="center"/>
        <w:rPr>
          <w:rFonts w:ascii="Times New Roman" w:hAnsi="Times New Roman" w:cs="Times New Roman"/>
          <w:b/>
          <w:bCs/>
          <w:sz w:val="23"/>
          <w:szCs w:val="23"/>
          <w:lang w:val="es-PE"/>
        </w:rPr>
      </w:pPr>
      <w:r w:rsidRPr="007E4E23">
        <w:rPr>
          <w:rFonts w:ascii="Times New Roman" w:hAnsi="Times New Roman" w:cs="Times New Roman"/>
          <w:b/>
          <w:bCs/>
          <w:sz w:val="24"/>
          <w:szCs w:val="23"/>
          <w:lang w:val="es-PE"/>
        </w:rPr>
        <w:t xml:space="preserve">Rolando Eyzaguirre </w:t>
      </w:r>
      <w:proofErr w:type="spellStart"/>
      <w:r w:rsidRPr="007E4E23">
        <w:rPr>
          <w:rFonts w:ascii="Times New Roman" w:hAnsi="Times New Roman" w:cs="Times New Roman"/>
          <w:b/>
          <w:bCs/>
          <w:sz w:val="24"/>
          <w:szCs w:val="23"/>
          <w:lang w:val="es-PE"/>
        </w:rPr>
        <w:t>Maccan</w:t>
      </w:r>
      <w:proofErr w:type="spellEnd"/>
      <w:r w:rsidRPr="007E4E23">
        <w:rPr>
          <w:rFonts w:ascii="Times New Roman" w:hAnsi="Times New Roman" w:cs="Times New Roman"/>
          <w:b/>
          <w:bCs/>
          <w:sz w:val="24"/>
          <w:szCs w:val="23"/>
          <w:lang w:val="es-PE"/>
        </w:rPr>
        <w:t xml:space="preserve"> </w:t>
      </w:r>
      <w:r w:rsidR="007543CD" w:rsidRPr="007E4E23">
        <w:rPr>
          <w:rFonts w:ascii="Times New Roman" w:hAnsi="Times New Roman" w:cs="Times New Roman"/>
          <w:b/>
          <w:bCs/>
          <w:sz w:val="24"/>
          <w:szCs w:val="23"/>
          <w:lang w:val="es-PE"/>
        </w:rPr>
        <w:t xml:space="preserve">– </w:t>
      </w:r>
      <w:proofErr w:type="gramStart"/>
      <w:r w:rsidR="007543CD" w:rsidRPr="007E4E23">
        <w:rPr>
          <w:rFonts w:ascii="Times New Roman" w:hAnsi="Times New Roman" w:cs="Times New Roman"/>
          <w:b/>
          <w:bCs/>
          <w:sz w:val="24"/>
          <w:szCs w:val="23"/>
          <w:lang w:val="es-PE"/>
        </w:rPr>
        <w:t>Presidente</w:t>
      </w:r>
      <w:proofErr w:type="gramEnd"/>
    </w:p>
    <w:p w14:paraId="5B7063E0" w14:textId="43329098" w:rsidR="008D26BA" w:rsidRPr="007E4E23" w:rsidRDefault="008D26BA" w:rsidP="008D26BA">
      <w:pPr>
        <w:spacing w:after="0" w:line="360" w:lineRule="auto"/>
        <w:jc w:val="center"/>
        <w:rPr>
          <w:rFonts w:ascii="Times New Roman" w:hAnsi="Times New Roman" w:cs="Times New Roman"/>
          <w:b/>
          <w:bCs/>
          <w:sz w:val="23"/>
          <w:szCs w:val="23"/>
          <w:lang w:val="es-PE"/>
        </w:rPr>
      </w:pPr>
      <w:r w:rsidRPr="007E4E23">
        <w:rPr>
          <w:rFonts w:ascii="Times New Roman" w:hAnsi="Times New Roman" w:cs="Times New Roman"/>
          <w:b/>
          <w:bCs/>
          <w:sz w:val="24"/>
          <w:szCs w:val="23"/>
          <w:lang w:val="es-PE"/>
        </w:rPr>
        <w:t>María Eugenia Valdez Fernández Baca – Vocal</w:t>
      </w:r>
    </w:p>
    <w:p w14:paraId="69BFE54F" w14:textId="628D5C27" w:rsidR="007543CD" w:rsidRPr="007E4E23" w:rsidRDefault="001B08C0" w:rsidP="007543CD">
      <w:pPr>
        <w:spacing w:after="0" w:line="360" w:lineRule="auto"/>
        <w:jc w:val="center"/>
        <w:rPr>
          <w:rFonts w:ascii="Times New Roman" w:hAnsi="Times New Roman" w:cs="Times New Roman"/>
          <w:sz w:val="23"/>
          <w:szCs w:val="23"/>
          <w:lang w:val="es-PE"/>
        </w:rPr>
      </w:pPr>
      <w:r w:rsidRPr="007E4E23">
        <w:rPr>
          <w:rFonts w:ascii="Times New Roman" w:hAnsi="Times New Roman" w:cs="Times New Roman"/>
          <w:b/>
          <w:bCs/>
          <w:sz w:val="24"/>
          <w:szCs w:val="23"/>
        </w:rPr>
        <w:t>Antonio José Rodríguez Lobatón</w:t>
      </w:r>
      <w:r w:rsidRPr="007E4E23">
        <w:rPr>
          <w:rFonts w:ascii="Times New Roman" w:hAnsi="Times New Roman" w:cs="Times New Roman"/>
          <w:b/>
          <w:bCs/>
          <w:sz w:val="24"/>
          <w:szCs w:val="23"/>
          <w:lang w:val="es-PE"/>
        </w:rPr>
        <w:t xml:space="preserve"> </w:t>
      </w:r>
      <w:r w:rsidR="007543CD" w:rsidRPr="007E4E23">
        <w:rPr>
          <w:rFonts w:ascii="Times New Roman" w:hAnsi="Times New Roman" w:cs="Times New Roman"/>
          <w:b/>
          <w:bCs/>
          <w:sz w:val="24"/>
          <w:szCs w:val="23"/>
          <w:lang w:val="es-PE"/>
        </w:rPr>
        <w:t>– Vocal</w:t>
      </w:r>
    </w:p>
    <w:p w14:paraId="412CCBAA" w14:textId="77777777" w:rsidR="00986F0C" w:rsidRPr="009849E6"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9849E6"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9849E6"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9849E6"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9849E6" w:rsidRDefault="00C671F5" w:rsidP="00C671F5">
      <w:pPr>
        <w:spacing w:line="240" w:lineRule="auto"/>
        <w:rPr>
          <w:rFonts w:ascii="Times New Roman" w:eastAsia="Arial Unicode MS" w:hAnsi="Times New Roman" w:cs="Times New Roman"/>
          <w:sz w:val="24"/>
          <w:szCs w:val="24"/>
          <w:lang w:val="es-ES" w:eastAsia="ar-SA"/>
        </w:rPr>
      </w:pPr>
    </w:p>
    <w:sectPr w:rsidR="00C671F5" w:rsidRPr="009849E6" w:rsidSect="00077B6F">
      <w:headerReference w:type="default" r:id="rId9"/>
      <w:footerReference w:type="default" r:id="rId10"/>
      <w:headerReference w:type="first" r:id="rId13"/>
      <w:footerReference w:type="first" r:id="rId14"/>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B7D25" w14:textId="77777777" w:rsidR="00D4286C" w:rsidRDefault="00D4286C" w:rsidP="00784355">
      <w:pPr>
        <w:spacing w:after="0" w:line="240" w:lineRule="auto"/>
      </w:pPr>
      <w:r>
        <w:separator/>
      </w:r>
    </w:p>
  </w:endnote>
  <w:endnote w:type="continuationSeparator" w:id="0">
    <w:p w14:paraId="1E614001" w14:textId="77777777" w:rsidR="00D4286C" w:rsidRDefault="00D4286C"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9463A" w14:textId="77777777" w:rsidR="00D4286C" w:rsidRDefault="00D4286C" w:rsidP="00784355">
      <w:pPr>
        <w:spacing w:after="0" w:line="240" w:lineRule="auto"/>
      </w:pPr>
      <w:r>
        <w:separator/>
      </w:r>
    </w:p>
  </w:footnote>
  <w:footnote w:type="continuationSeparator" w:id="0">
    <w:p w14:paraId="04E933CE" w14:textId="77777777" w:rsidR="00D4286C" w:rsidRDefault="00D4286C"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141"/>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91C09"/>
    <w:rsid w:val="00092684"/>
    <w:rsid w:val="0009404A"/>
    <w:rsid w:val="00095105"/>
    <w:rsid w:val="000969D2"/>
    <w:rsid w:val="00096CCA"/>
    <w:rsid w:val="000A1DAF"/>
    <w:rsid w:val="000A4C6A"/>
    <w:rsid w:val="000A53CB"/>
    <w:rsid w:val="000A55BA"/>
    <w:rsid w:val="000A5666"/>
    <w:rsid w:val="000A5CAA"/>
    <w:rsid w:val="000B19A0"/>
    <w:rsid w:val="000B2CB1"/>
    <w:rsid w:val="000B58D8"/>
    <w:rsid w:val="000C0734"/>
    <w:rsid w:val="000C1AAB"/>
    <w:rsid w:val="000C321D"/>
    <w:rsid w:val="000D5F00"/>
    <w:rsid w:val="000E11BA"/>
    <w:rsid w:val="000E3730"/>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26F1"/>
    <w:rsid w:val="001B3EE9"/>
    <w:rsid w:val="001B58A3"/>
    <w:rsid w:val="001B75E0"/>
    <w:rsid w:val="001C052B"/>
    <w:rsid w:val="001C0A05"/>
    <w:rsid w:val="001C3A70"/>
    <w:rsid w:val="001C4A47"/>
    <w:rsid w:val="001D0EED"/>
    <w:rsid w:val="001D59D9"/>
    <w:rsid w:val="001D6136"/>
    <w:rsid w:val="001E119C"/>
    <w:rsid w:val="001E1C8C"/>
    <w:rsid w:val="001E6657"/>
    <w:rsid w:val="001F0F3A"/>
    <w:rsid w:val="00201C0D"/>
    <w:rsid w:val="00204407"/>
    <w:rsid w:val="00205C9E"/>
    <w:rsid w:val="00206718"/>
    <w:rsid w:val="0020749F"/>
    <w:rsid w:val="002108AD"/>
    <w:rsid w:val="00211482"/>
    <w:rsid w:val="00211977"/>
    <w:rsid w:val="002130B0"/>
    <w:rsid w:val="0021627D"/>
    <w:rsid w:val="00225288"/>
    <w:rsid w:val="00227D02"/>
    <w:rsid w:val="00231C58"/>
    <w:rsid w:val="002331C3"/>
    <w:rsid w:val="00234777"/>
    <w:rsid w:val="00234A33"/>
    <w:rsid w:val="00236B66"/>
    <w:rsid w:val="002370A8"/>
    <w:rsid w:val="00241719"/>
    <w:rsid w:val="00242425"/>
    <w:rsid w:val="00243F6B"/>
    <w:rsid w:val="002528B8"/>
    <w:rsid w:val="00253F42"/>
    <w:rsid w:val="00255C05"/>
    <w:rsid w:val="0026162A"/>
    <w:rsid w:val="00264D9A"/>
    <w:rsid w:val="0027261F"/>
    <w:rsid w:val="00272F4F"/>
    <w:rsid w:val="0027301E"/>
    <w:rsid w:val="00274985"/>
    <w:rsid w:val="002768C6"/>
    <w:rsid w:val="00276A92"/>
    <w:rsid w:val="00277667"/>
    <w:rsid w:val="002809AB"/>
    <w:rsid w:val="002830BC"/>
    <w:rsid w:val="00283E79"/>
    <w:rsid w:val="00286C15"/>
    <w:rsid w:val="002905EB"/>
    <w:rsid w:val="00290CA4"/>
    <w:rsid w:val="00294D98"/>
    <w:rsid w:val="00295828"/>
    <w:rsid w:val="0029673E"/>
    <w:rsid w:val="002A31D3"/>
    <w:rsid w:val="002A3D36"/>
    <w:rsid w:val="002A7E2E"/>
    <w:rsid w:val="002B1654"/>
    <w:rsid w:val="002B726E"/>
    <w:rsid w:val="002C2A0F"/>
    <w:rsid w:val="002C2CEC"/>
    <w:rsid w:val="002C6367"/>
    <w:rsid w:val="002C7B97"/>
    <w:rsid w:val="002D0DB0"/>
    <w:rsid w:val="002D3318"/>
    <w:rsid w:val="002D3B01"/>
    <w:rsid w:val="002D4134"/>
    <w:rsid w:val="002D4977"/>
    <w:rsid w:val="002E0275"/>
    <w:rsid w:val="002E1221"/>
    <w:rsid w:val="002E17CF"/>
    <w:rsid w:val="002E17F9"/>
    <w:rsid w:val="002F09CA"/>
    <w:rsid w:val="002F35F0"/>
    <w:rsid w:val="002F478E"/>
    <w:rsid w:val="00300DDA"/>
    <w:rsid w:val="003045E3"/>
    <w:rsid w:val="00314603"/>
    <w:rsid w:val="00317805"/>
    <w:rsid w:val="0032132E"/>
    <w:rsid w:val="00321EC9"/>
    <w:rsid w:val="00327AEB"/>
    <w:rsid w:val="00331FA8"/>
    <w:rsid w:val="00334BF1"/>
    <w:rsid w:val="00335E5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D7247"/>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4F04"/>
    <w:rsid w:val="0049581F"/>
    <w:rsid w:val="0049582C"/>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65DD"/>
    <w:rsid w:val="004F0319"/>
    <w:rsid w:val="004F1255"/>
    <w:rsid w:val="004F549E"/>
    <w:rsid w:val="00504C79"/>
    <w:rsid w:val="005112A3"/>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667"/>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3D48"/>
    <w:rsid w:val="006043E9"/>
    <w:rsid w:val="00605902"/>
    <w:rsid w:val="00606105"/>
    <w:rsid w:val="00613A39"/>
    <w:rsid w:val="00622ABC"/>
    <w:rsid w:val="00623204"/>
    <w:rsid w:val="00624034"/>
    <w:rsid w:val="00627505"/>
    <w:rsid w:val="00631C06"/>
    <w:rsid w:val="00631C1D"/>
    <w:rsid w:val="006338AF"/>
    <w:rsid w:val="0064374C"/>
    <w:rsid w:val="006442E0"/>
    <w:rsid w:val="0064607A"/>
    <w:rsid w:val="00647AEA"/>
    <w:rsid w:val="00652672"/>
    <w:rsid w:val="00654FC9"/>
    <w:rsid w:val="0065542B"/>
    <w:rsid w:val="00655834"/>
    <w:rsid w:val="0065594D"/>
    <w:rsid w:val="00655A90"/>
    <w:rsid w:val="00655BA3"/>
    <w:rsid w:val="006578A4"/>
    <w:rsid w:val="00657AD2"/>
    <w:rsid w:val="00660D6F"/>
    <w:rsid w:val="00660E60"/>
    <w:rsid w:val="00664F22"/>
    <w:rsid w:val="00667A13"/>
    <w:rsid w:val="00671DB5"/>
    <w:rsid w:val="006768BB"/>
    <w:rsid w:val="00680D8A"/>
    <w:rsid w:val="00686BB2"/>
    <w:rsid w:val="006878E1"/>
    <w:rsid w:val="0069304A"/>
    <w:rsid w:val="0069583E"/>
    <w:rsid w:val="00697D6C"/>
    <w:rsid w:val="006A2ADE"/>
    <w:rsid w:val="006A551F"/>
    <w:rsid w:val="006A5E39"/>
    <w:rsid w:val="006B5CAE"/>
    <w:rsid w:val="006B7A62"/>
    <w:rsid w:val="006C1704"/>
    <w:rsid w:val="006C1A65"/>
    <w:rsid w:val="006C29A7"/>
    <w:rsid w:val="006C2E60"/>
    <w:rsid w:val="006C6261"/>
    <w:rsid w:val="006D2BA9"/>
    <w:rsid w:val="006D397E"/>
    <w:rsid w:val="006E2366"/>
    <w:rsid w:val="006E4547"/>
    <w:rsid w:val="006E5BE6"/>
    <w:rsid w:val="006F300D"/>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14C48"/>
    <w:rsid w:val="0072050F"/>
    <w:rsid w:val="00720DBC"/>
    <w:rsid w:val="0072240A"/>
    <w:rsid w:val="007261FD"/>
    <w:rsid w:val="00727198"/>
    <w:rsid w:val="007300C4"/>
    <w:rsid w:val="00731154"/>
    <w:rsid w:val="00737844"/>
    <w:rsid w:val="00741A01"/>
    <w:rsid w:val="00743BA7"/>
    <w:rsid w:val="00744136"/>
    <w:rsid w:val="00744447"/>
    <w:rsid w:val="00744789"/>
    <w:rsid w:val="007543CD"/>
    <w:rsid w:val="00761F1D"/>
    <w:rsid w:val="007703E9"/>
    <w:rsid w:val="007708AB"/>
    <w:rsid w:val="00771625"/>
    <w:rsid w:val="00772376"/>
    <w:rsid w:val="00774D05"/>
    <w:rsid w:val="00775711"/>
    <w:rsid w:val="0077599F"/>
    <w:rsid w:val="00781235"/>
    <w:rsid w:val="00784355"/>
    <w:rsid w:val="00784708"/>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518"/>
    <w:rsid w:val="007B3958"/>
    <w:rsid w:val="007C14D0"/>
    <w:rsid w:val="007C213D"/>
    <w:rsid w:val="007C4D67"/>
    <w:rsid w:val="007C4E10"/>
    <w:rsid w:val="007C69FE"/>
    <w:rsid w:val="007D13E3"/>
    <w:rsid w:val="007D13F3"/>
    <w:rsid w:val="007D2A4B"/>
    <w:rsid w:val="007D39D3"/>
    <w:rsid w:val="007D5BB1"/>
    <w:rsid w:val="007D7213"/>
    <w:rsid w:val="007E47CA"/>
    <w:rsid w:val="007E4E23"/>
    <w:rsid w:val="007E5917"/>
    <w:rsid w:val="007E7310"/>
    <w:rsid w:val="007F2000"/>
    <w:rsid w:val="007F38DF"/>
    <w:rsid w:val="007F74F1"/>
    <w:rsid w:val="008010D0"/>
    <w:rsid w:val="008020A1"/>
    <w:rsid w:val="0080698B"/>
    <w:rsid w:val="00812473"/>
    <w:rsid w:val="00816B3F"/>
    <w:rsid w:val="0081754D"/>
    <w:rsid w:val="008177B9"/>
    <w:rsid w:val="00817F65"/>
    <w:rsid w:val="00821801"/>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479E"/>
    <w:rsid w:val="009011F1"/>
    <w:rsid w:val="00901835"/>
    <w:rsid w:val="009024E8"/>
    <w:rsid w:val="00902B75"/>
    <w:rsid w:val="009117F7"/>
    <w:rsid w:val="009127A6"/>
    <w:rsid w:val="0091528B"/>
    <w:rsid w:val="009157B1"/>
    <w:rsid w:val="00916028"/>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755C7"/>
    <w:rsid w:val="0098136F"/>
    <w:rsid w:val="009849E6"/>
    <w:rsid w:val="00986F0C"/>
    <w:rsid w:val="00992529"/>
    <w:rsid w:val="0099320E"/>
    <w:rsid w:val="009976D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4779"/>
    <w:rsid w:val="009C4791"/>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E3EA8"/>
    <w:rsid w:val="00AE4125"/>
    <w:rsid w:val="00AE4D37"/>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6B01"/>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17B4"/>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31C5"/>
    <w:rsid w:val="00CF55D6"/>
    <w:rsid w:val="00CF6484"/>
    <w:rsid w:val="00CF7839"/>
    <w:rsid w:val="00CF78D3"/>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286C"/>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DF719C"/>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3E47"/>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60F5"/>
    <w:rsid w:val="00EC7271"/>
    <w:rsid w:val="00ED2086"/>
    <w:rsid w:val="00ED38AF"/>
    <w:rsid w:val="00ED4124"/>
    <w:rsid w:val="00ED60A1"/>
    <w:rsid w:val="00ED6123"/>
    <w:rsid w:val="00EE1C4A"/>
    <w:rsid w:val="00EE2E2E"/>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149C"/>
    <w:rsid w:val="00F25216"/>
    <w:rsid w:val="00F3167E"/>
    <w:rsid w:val="00F3335E"/>
    <w:rsid w:val="00F33829"/>
    <w:rsid w:val="00F349E0"/>
    <w:rsid w:val="00F36BF0"/>
    <w:rsid w:val="00F40531"/>
    <w:rsid w:val="00F42F97"/>
    <w:rsid w:val="00F439B5"/>
    <w:rsid w:val="00F5087A"/>
    <w:rsid w:val="00F52E75"/>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C6C"/>
    <w:rsid w:val="00F87E38"/>
    <w:rsid w:val="00F91A73"/>
    <w:rsid w:val="00F97EA2"/>
    <w:rsid w:val="00FA1290"/>
    <w:rsid w:val="00FA155E"/>
    <w:rsid w:val="00FA2322"/>
    <w:rsid w:val="00FA31B9"/>
    <w:rsid w:val="00FA5102"/>
    <w:rsid w:val="00FB297F"/>
    <w:rsid w:val="00FB4B0C"/>
    <w:rsid w:val="00FC0D10"/>
    <w:rsid w:val="00FC1934"/>
    <w:rsid w:val="00FD2326"/>
    <w:rsid w:val="00FD7793"/>
    <w:rsid w:val="00FE38F0"/>
    <w:rsid w:val="00FE43A9"/>
    <w:rsid w:val="00FE6588"/>
    <w:rsid w:val="00FE69B1"/>
    <w:rsid w:val="00FE73F3"/>
    <w:rsid w:val="00FF11AC"/>
    <w:rsid w:val="00FF3F82"/>
    <w:rsid w:val="00FF41F3"/>
    <w:rsid w:val="00FF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uiPriority w:val="99"/>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21046241">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1227790">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23843484">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58915126">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28051884">
      <w:bodyDiv w:val="1"/>
      <w:marLeft w:val="0"/>
      <w:marRight w:val="0"/>
      <w:marTop w:val="0"/>
      <w:marBottom w:val="0"/>
      <w:divBdr>
        <w:top w:val="none" w:sz="0" w:space="0" w:color="auto"/>
        <w:left w:val="none" w:sz="0" w:space="0" w:color="auto"/>
        <w:bottom w:val="none" w:sz="0" w:space="0" w:color="auto"/>
        <w:right w:val="none" w:sz="0" w:space="0" w:color="auto"/>
      </w:divBdr>
    </w:div>
    <w:div w:id="64540096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56375549">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19689758">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5729959">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53126492">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0230711">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3480156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458374430">
      <w:bodyDiv w:val="1"/>
      <w:marLeft w:val="0"/>
      <w:marRight w:val="0"/>
      <w:marTop w:val="0"/>
      <w:marBottom w:val="0"/>
      <w:divBdr>
        <w:top w:val="none" w:sz="0" w:space="0" w:color="auto"/>
        <w:left w:val="none" w:sz="0" w:space="0" w:color="auto"/>
        <w:bottom w:val="none" w:sz="0" w:space="0" w:color="auto"/>
        <w:right w:val="none" w:sz="0" w:space="0" w:color="auto"/>
      </w:divBdr>
    </w:div>
    <w:div w:id="1477986928">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05607157">
      <w:bodyDiv w:val="1"/>
      <w:marLeft w:val="0"/>
      <w:marRight w:val="0"/>
      <w:marTop w:val="0"/>
      <w:marBottom w:val="0"/>
      <w:divBdr>
        <w:top w:val="none" w:sz="0" w:space="0" w:color="auto"/>
        <w:left w:val="none" w:sz="0" w:space="0" w:color="auto"/>
        <w:bottom w:val="none" w:sz="0" w:space="0" w:color="auto"/>
        <w:right w:val="none" w:sz="0" w:space="0" w:color="auto"/>
      </w:divBdr>
    </w:div>
    <w:div w:id="2119062663">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DD30A853-80A5-4E80-AB23-BFF2DFCC29F7}"/>
</file>

<file path=customXml/itemProps3.xml><?xml version="1.0" encoding="utf-8"?>
<ds:datastoreItem xmlns:ds="http://schemas.openxmlformats.org/officeDocument/2006/customXml" ds:itemID="{6F81BCCE-4C24-46E9-A4A6-6C4B26CABFB1}"/>
</file>

<file path=customXml/itemProps4.xml><?xml version="1.0" encoding="utf-8"?>
<ds:datastoreItem xmlns:ds="http://schemas.openxmlformats.org/officeDocument/2006/customXml" ds:itemID="{D83C053F-E93D-428C-8E8B-970264F9497B}"/>
</file>

<file path=docProps/app.xml><?xml version="1.0" encoding="utf-8"?>
<Properties xmlns="http://schemas.openxmlformats.org/officeDocument/2006/extended-properties" xmlns:vt="http://schemas.openxmlformats.org/officeDocument/2006/docPropsVTypes">
  <Template>Normal</Template>
  <TotalTime>331</TotalTime>
  <Pages>3</Pages>
  <Words>1468</Words>
  <Characters>8076</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376</cp:revision>
  <cp:lastPrinted>2025-06-11T17:00:00Z</cp:lastPrinted>
  <dcterms:created xsi:type="dcterms:W3CDTF">2023-02-14T22:37:00Z</dcterms:created>
  <dcterms:modified xsi:type="dcterms:W3CDTF">2025-06-11T17:00:00Z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