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tyles.xml" ContentType="application/vnd.openxmlformats-officedocument.wordprocessingml.styles+xml"/>
  <Override PartName="/word/endnotes.xml" ContentType="application/vnd.openxmlformats-officedocument.wordprocessingml.endnotes+xml"/>
  <Override PartName="/word/footer1.xml" ContentType="application/vnd.openxmlformats-officedocument.wordprocessingml.footer+xml"/>
  <Override PartName="/word/numbering.xml" ContentType="application/vnd.openxmlformats-officedocument.wordprocessingml.numbering+xml"/>
  <Override PartName="/customXml/itemProps1.xml" ContentType="application/vnd.openxmlformats-officedocument.customXmlProperties+xml"/>
  <Override PartName="/word/footnotes.xml" ContentType="application/vnd.openxmlformats-officedocument.wordprocessingml.footnotes+xml"/>
  <Override PartName="/word/header1.xml" ContentType="application/vnd.openxmlformats-officedocument.wordprocessingml.header+xml"/>
  <Override PartName="/word/webSettings.xml" ContentType="application/vnd.openxmlformats-officedocument.wordprocessingml.webSetting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oter2.xml" ContentType="application/vnd.openxmlformats-officedocument.wordprocessingml.footer+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5B8FD7" w14:textId="05515C75" w:rsidR="005A2497" w:rsidRPr="007E4E23" w:rsidRDefault="00201C0D" w:rsidP="009849E6">
      <w:pPr>
        <w:spacing w:after="0" w:line="240" w:lineRule="auto"/>
        <w:jc w:val="center"/>
        <w:rPr>
          <w:rFonts w:ascii="Times New Roman" w:hAnsi="Times New Roman" w:cs="Times New Roman"/>
          <w:b/>
          <w:sz w:val="23"/>
          <w:szCs w:val="23"/>
          <w:lang w:val="es-PE" w:eastAsia="ar-SA"/>
        </w:rPr>
      </w:pPr>
      <w:r w:rsidRPr="007E4E23">
        <w:rPr>
          <w:rFonts w:ascii="Times New Roman" w:hAnsi="Times New Roman" w:cs="Times New Roman"/>
          <w:b/>
          <w:sz w:val="24"/>
          <w:szCs w:val="23"/>
          <w:lang w:val="es-PE" w:eastAsia="ar-SA"/>
        </w:rPr>
        <w:t xml:space="preserve">RESOLUCIÓN DE RECURSO IMPUGNATIVO </w:t>
      </w:r>
      <w:r w:rsidR="00707C99" w:rsidRPr="007E4E23">
        <w:rPr>
          <w:rFonts w:ascii="Times New Roman" w:hAnsi="Times New Roman" w:cs="Times New Roman"/>
          <w:b/>
          <w:sz w:val="24"/>
          <w:szCs w:val="23"/>
          <w:lang w:val="es-PE" w:eastAsia="ar-SA"/>
        </w:rPr>
        <w:t xml:space="preserve">N° </w:t>
      </w:r>
      <w:r w:rsidR="00516293" w:rsidRPr="007E4E23">
        <w:rPr>
          <w:rFonts w:ascii="Times New Roman" w:hAnsi="Times New Roman" w:cs="Times New Roman"/>
          <w:b/>
          <w:sz w:val="24"/>
          <w:szCs w:val="23"/>
          <w:lang w:val="es-PE" w:eastAsia="ar-SA"/>
        </w:rPr>
        <w:t>0</w:t>
      </w:r>
      <w:r w:rsidR="000C321D" w:rsidRPr="007E4E23">
        <w:rPr>
          <w:rFonts w:ascii="Times New Roman" w:hAnsi="Times New Roman" w:cs="Times New Roman"/>
          <w:b/>
          <w:sz w:val="24"/>
          <w:szCs w:val="23"/>
          <w:lang w:val="es-PE" w:eastAsia="ar-SA"/>
        </w:rPr>
        <w:t>3</w:t>
      </w:r>
      <w:r w:rsidR="00FC049B">
        <w:rPr>
          <w:rFonts w:ascii="Times New Roman" w:hAnsi="Times New Roman" w:cs="Times New Roman"/>
          <w:b/>
          <w:sz w:val="24"/>
          <w:szCs w:val="23"/>
          <w:lang w:val="es-PE" w:eastAsia="ar-SA"/>
        </w:rPr>
        <w:t>1</w:t>
      </w:r>
      <w:r w:rsidR="00C671F5" w:rsidRPr="007E4E23">
        <w:rPr>
          <w:rFonts w:ascii="Times New Roman" w:hAnsi="Times New Roman" w:cs="Times New Roman"/>
          <w:b/>
          <w:sz w:val="24"/>
          <w:szCs w:val="23"/>
          <w:lang w:val="es-PE" w:eastAsia="ar-SA"/>
        </w:rPr>
        <w:t>/2</w:t>
      </w:r>
      <w:r w:rsidR="00A74F96" w:rsidRPr="007E4E23">
        <w:rPr>
          <w:rFonts w:ascii="Times New Roman" w:hAnsi="Times New Roman" w:cs="Times New Roman"/>
          <w:b/>
          <w:sz w:val="24"/>
          <w:szCs w:val="23"/>
          <w:lang w:val="es-PE" w:eastAsia="ar-SA"/>
        </w:rPr>
        <w:t>5</w:t>
      </w:r>
    </w:p>
    <w:p w14:paraId="56DB191C" w14:textId="77777777" w:rsidR="005A2497" w:rsidRPr="007E4E23" w:rsidRDefault="005A2497" w:rsidP="00B46B01">
      <w:pPr>
        <w:spacing w:after="0" w:line="240" w:lineRule="auto"/>
        <w:jc w:val="both"/>
        <w:rPr>
          <w:rFonts w:ascii="Times New Roman" w:hAnsi="Times New Roman" w:cs="Times New Roman"/>
          <w:b/>
          <w:sz w:val="23"/>
          <w:szCs w:val="23"/>
          <w:lang w:val="es-PE" w:eastAsia="ar-SA"/>
        </w:rPr>
      </w:pPr>
    </w:p>
    <w:p w14:paraId="3E2AE7F8" w14:textId="77777777" w:rsidR="00391D8F" w:rsidRDefault="00391D8F" w:rsidP="00391D8F">
      <w:pPr>
        <w:spacing w:line="240" w:lineRule="auto"/>
        <w:jc w:val="both"/>
        <w:rPr>
          <w:rFonts w:ascii="Times New Roman" w:eastAsia="Arial Unicode MS" w:hAnsi="Times New Roman" w:cs="Times New Roman"/>
          <w:b/>
          <w:bCs/>
          <w:sz w:val="23"/>
          <w:szCs w:val="23"/>
          <w:lang w:val="es-MX" w:eastAsia="ar-SA"/>
        </w:rPr>
      </w:pPr>
      <w:r w:rsidRPr="00391D8F">
        <w:rPr>
          <w:rFonts w:ascii="Times New Roman" w:eastAsia="Arial Unicode MS" w:hAnsi="Times New Roman" w:cs="Times New Roman"/>
          <w:b/>
          <w:bCs/>
          <w:sz w:val="24"/>
          <w:szCs w:val="23"/>
          <w:lang w:val="es-MX" w:eastAsia="ar-SA"/>
        </w:rPr>
        <w:t>Vistos:</w:t>
      </w:r>
    </w:p>
    <w:p w14:paraId="48C077C1" w14:textId="34766C71" w:rsidR="00391D8F" w:rsidRPr="00391D8F" w:rsidRDefault="00391D8F" w:rsidP="00391D8F">
      <w:pPr>
        <w:spacing w:line="240" w:lineRule="auto"/>
        <w:jc w:val="both"/>
        <w:rPr>
          <w:rFonts w:ascii="Times New Roman" w:eastAsia="Arial Unicode MS" w:hAnsi="Times New Roman" w:cs="Times New Roman"/>
          <w:b/>
          <w:bCs/>
          <w:sz w:val="23"/>
          <w:szCs w:val="23"/>
          <w:lang w:val="es-MX" w:eastAsia="ar-SA"/>
        </w:rPr>
      </w:pPr>
      <w:r>
        <w:rPr>
          <w:rFonts w:ascii="Times New Roman" w:hAnsi="Times New Roman"/>
          <w:sz w:val="24"/>
        </w:rPr>
        <w:t xml:space="preserve">El Recurso de Impugnación presentado por ………………… respecto de la Resolución Nº 068/25 de fecha 30 de abril de 2025, que declara infundado el reclamo presentado respecto de la póliza de desgravamen CMAC PIURA con relación al fallecimiento del asegurado…………………, ocurrido el 02 de marzo de 2024, dejando a salvo el derecho de la reclamante de acudir a las instancias que considere pertinentes.</w:t>
      </w:r>
    </w:p>
    <w:bookmarkEnd w:id="0"/>
    <w:p w14:paraId="2CA5A18A" w14:textId="77777777" w:rsidR="00391D8F" w:rsidRPr="00391D8F" w:rsidRDefault="00391D8F" w:rsidP="00391D8F">
      <w:pPr>
        <w:spacing w:line="240" w:lineRule="auto"/>
        <w:jc w:val="both"/>
        <w:rPr>
          <w:rFonts w:ascii="Times New Roman" w:eastAsia="Arial Unicode MS" w:hAnsi="Times New Roman" w:cs="Times New Roman"/>
          <w:bCs/>
          <w:sz w:val="23"/>
          <w:szCs w:val="23"/>
          <w:lang w:val="es-MX" w:eastAsia="ar-SA"/>
        </w:rPr>
      </w:pPr>
      <w:r>
        <w:rPr>
          <w:rFonts w:ascii="Times New Roman" w:hAnsi="Times New Roman"/>
          <w:sz w:val="24"/>
        </w:rPr>
        <w:t xml:space="preserve">Que, a través del señalado recurso la reclamante manifiesta su disconformidad con lo resuelto señalando resumidamente lo siguiente: a) consideran que si bien la resolución estructura adecuadamente la posición de las partes y los puntos en controversia, se incurre en un error in procedendo e in iudicando al valorar la prueba presentada por ………………… respecto al nexo causal, contraviniendo principios fundamentales del derecho de seguros y la normativa vigente; b) se valida la exclusión por preexistencia, sosteniendo que la anotación del médico tratante es suficiente para concluir que el fallecimiento fue a consecuencia de la enfermedad de diabetes, lo cual ignora la carga de la prueba que recae en la aseguradora para demostrar las causas que la liberan de su prestación indemnizatoria; consideran que es la aseguradora quien debe probar de manera fehaciente la existencia de ese nexo causal directo y determinante; c) el certificado de defunción es un documento oficial destinado primariamente a fines estadísticos y administrativos; pero la simple anotación de una enfermedad crónica como “causa antecedente” no constituye por si misma un informe médico concluyente del nexo causal; d) la resolución infiere el nexo causal a partir de la ubicación de la diabetes en el formato y por la circunstancia que fue llenada por el médico tratante; sin embargo, la aseguradora debe probar la exclusión con un análisis médico detallado que establezca de forma inequívoca que la diabetes fue la causa directa, única y determinante del infarto agudo de miocardio y no simplemente un factor de riesgo o una comorbilidad común; e) el aceptar que la aseguradora se base solo en el certificado de defunción la releva de su carga probatoria, sustituyendo una pericia médica necesaria por una interpretación formal de un documento; f) sin perjuicio de lo señalado previamente, presentan un informe médico aclaratorio que de forma directa, concluyente e irrefutable desvirtúa la premisa central sobre la que se apoya la resolución, a través de la cual se aclara que la diabetes se consignó como causa antecedente en la parte I del certificado por los antecedentes médicos de la enfermedad, pero no implica una afirmación concluyente sobre su rol etiológico, habiendo sido una condición crónica coexistente pero no una causa directa, única ni suficiente para explicar el evento fatal, por lo que no debe interpretarse como una declaración categórica de causalidad médica, por lo que no puede afirmarse medicamente que el fallecimiento haya ocurrido a consecuencia de la diabetes; g) el rechazo de cobertura sin contar con un informe médico concluyente vulnera los principios pro asegurado, el deber de diligencia del asegurado, y constituye una practica abusiva, que refuerza la relación asimétrica y deja al asegurado en situación de desamparo, poniendo en duda la imparcialidad de la Defensoría del Asegurado; por lo que solicitan que se revoque la resolución emitida y se declare fundada la reclamación.</w:t>
      </w:r>
    </w:p>
    <w:p w14:paraId="618CC195" w14:textId="77777777" w:rsidR="00391D8F" w:rsidRPr="00391D8F" w:rsidRDefault="00391D8F" w:rsidP="00391D8F">
      <w:pPr>
        <w:spacing w:line="240" w:lineRule="auto"/>
        <w:jc w:val="both"/>
        <w:rPr>
          <w:rFonts w:ascii="Times New Roman" w:eastAsia="Arial Unicode MS" w:hAnsi="Times New Roman" w:cs="Times New Roman"/>
          <w:bCs/>
          <w:sz w:val="23"/>
          <w:szCs w:val="23"/>
          <w:lang w:val="es-MX" w:eastAsia="ar-SA"/>
        </w:rPr>
      </w:pPr>
      <w:r>
        <w:rPr>
          <w:rFonts w:ascii="Times New Roman" w:hAnsi="Times New Roman"/>
          <w:sz w:val="24"/>
        </w:rPr>
        <w:t xml:space="preserve">Que, habiéndose corrido traslado de la impugnación a la aseguradora, esta señala resumidamente lo siguiente: a) que rechazaron la cobertura por preexistencia basados en el certificado médico de defunción y en la Historia Clínica respectiva; b) que el certificado médico es el documento oficial que debe ser considerado; c) que el informe médico aclaratorio presentado al impugnar la resolución emitida, trata de contradecir el certificado de defunción, pero aquel tiene la aprobación del Misterio de Salud; y no se encuentra sustentado con historias clínicas que lo respalden.</w:t>
      </w:r>
    </w:p>
    <w:p w14:paraId="6FEB4E1D" w14:textId="77777777" w:rsidR="00391D8F" w:rsidRPr="00391D8F" w:rsidRDefault="00391D8F" w:rsidP="00391D8F">
      <w:pPr>
        <w:spacing w:line="240" w:lineRule="auto"/>
        <w:jc w:val="both"/>
        <w:rPr>
          <w:rFonts w:ascii="Times New Roman" w:eastAsia="Arial Unicode MS" w:hAnsi="Times New Roman" w:cs="Times New Roman"/>
          <w:bCs/>
          <w:sz w:val="23"/>
          <w:szCs w:val="23"/>
          <w:lang w:val="es-MX" w:eastAsia="ar-SA"/>
        </w:rPr>
      </w:pPr>
    </w:p>
    <w:p w14:paraId="4A80E100" w14:textId="666AB9DA" w:rsidR="00391D8F" w:rsidRPr="00391D8F" w:rsidRDefault="00391D8F" w:rsidP="00391D8F">
      <w:pPr>
        <w:spacing w:line="240" w:lineRule="auto"/>
        <w:jc w:val="both"/>
        <w:rPr>
          <w:rFonts w:ascii="Times New Roman" w:eastAsia="Arial Unicode MS" w:hAnsi="Times New Roman" w:cs="Times New Roman"/>
          <w:bCs/>
          <w:sz w:val="23"/>
          <w:szCs w:val="23"/>
          <w:lang w:val="es-PE" w:eastAsia="ar-SA"/>
        </w:rPr>
      </w:pPr>
      <w:r>
        <w:rPr>
          <w:rFonts w:ascii="Times New Roman" w:hAnsi="Times New Roman"/>
          <w:sz w:val="24"/>
        </w:rPr>
        <w:t xml:space="preserve">Que con fecha 05 de junio de 2025, la reclamante presentó un escrito adicional reafirmando su reclamo y refutando los argumentos de la aseguradora, reiterando los argumentos expuestos en su reclamo y señalando adicionalmente resumidamente lo siguientes: a) la causa directa e inmediata del fallecimiento fue un evento cardíaco agudo y no una descompensación diabética; b) aunque la diabetes es un factor de riesgo para la enfermedad vascular o fue la causa inmediata y directa; c) en la Historia Clínica no existen elementos que demuestren una descompensación diabética aguda (cetoacidosis, estado hiperosmolar, hipoglicemia severa) que haya desencadenado el infarto; que el último registro de hemoglobina glicosilada (HbA1c) del 05/02/2024 fue de 7.0%, lo que, si bien no es un control "estricto", tampoco refleja una descompensación metabólica aguda que pudiera explicar una muerte súbita directamente por diabetes; d) La glucosa en la emergencia del 02/03/2024 fue de 65 mg/dl, manejada con dextrosa, lo que demuestra un manejo de la glucemia y no una hiperglicemia descontrolada como causa del evento fatal; e) la complejidad multimórbida del paciente establece la ausencia de causalidad única; f) la aseguradora no ha presentado un informe médico pericial ni un análisis técnico detallado de la Historia Clínica que refute las aclaraciones del médico tratante.</w:t>
      </w:r>
    </w:p>
    <w:p w14:paraId="129576AC" w14:textId="01173B63" w:rsidR="00391D8F" w:rsidRPr="00391D8F" w:rsidRDefault="00391D8F" w:rsidP="00391D8F">
      <w:pPr>
        <w:spacing w:line="240" w:lineRule="auto"/>
        <w:jc w:val="both"/>
        <w:rPr>
          <w:rFonts w:ascii="Times New Roman" w:eastAsia="Arial Unicode MS" w:hAnsi="Times New Roman" w:cs="Times New Roman"/>
          <w:bCs/>
          <w:sz w:val="23"/>
          <w:szCs w:val="23"/>
          <w:lang w:val="es-PE" w:eastAsia="ar-SA"/>
        </w:rPr>
      </w:pPr>
      <w:r>
        <w:rPr>
          <w:rFonts w:ascii="Times New Roman" w:hAnsi="Times New Roman"/>
          <w:sz w:val="24"/>
        </w:rPr>
        <w:t xml:space="preserve">Que, con fecha 12 de junio de 2025 la aseguradora señala resumidamente lo siguiente: a) en la Historia Clínica de agosto de 2020, se identifica la polineuropatía diabética; que ocasiona complicaciones en los ………………… nerviosos y si es no tratada causa complicaciones cardiovasculares, siendo que con fecha 27 de agosto de 2020 se diagnostica al asegurado con diabetes mellitus no insulinodependiente con complicaciones múltiples; por lo que es falso lo precisado por la denuncia N° ………………… cuando señala que la Historia Clínica N°692492 no indica las múltiples complicaciones;  b) es de pleno conocimiento del médico tratante, la hiperglucemia crónica derivada de la diabetes mellitus produce daño progresivo en los vasos sanguíneos, lo que incrementa significativamente el riesgo de desarrollar enfermedad cardiovascular; c) el certificado de defunción es el documento oficial que es expedido por el personal médico colegiado luego del fallecimiento de un ciudadano, tal como se descrite en la Directiva Administrativa N°353-Minsa/OGTI-2024; que dicho instrumento corresponde al documento oficial en consulta ante entidades judiciales, fiscales, entre otras, conforme a la Directiva N°005-99-MP-FN-IML/GT; d) el certificado de defunción fue claro al establecer la diabetes como causa del fallecimiento; que si la denuncia N° ………………… ahora alega no encontrarse conforme con la información contenida en el certificado, correspondería que solicite la rectificación por error del mismo; no obstante, dicho trámite no ha sido llevado a cabo; por lo que mientras no se tramite y apruebe una rectificación formal del certificado, el que obra en el expediente mantiene su fuerza probatoria y debe ser considerado como la fuente primaria y definitiva en cualquier procedimiento.</w:t>
      </w:r>
    </w:p>
    <w:p w14:paraId="0AF660F4" w14:textId="77777777" w:rsidR="00391D8F" w:rsidRPr="00391D8F" w:rsidRDefault="00391D8F" w:rsidP="00391D8F">
      <w:pPr>
        <w:spacing w:line="240" w:lineRule="auto"/>
        <w:jc w:val="both"/>
        <w:rPr>
          <w:rFonts w:ascii="Times New Roman" w:eastAsia="Arial Unicode MS" w:hAnsi="Times New Roman" w:cs="Times New Roman"/>
          <w:bCs/>
          <w:sz w:val="23"/>
          <w:szCs w:val="23"/>
          <w:lang w:val="es-PE" w:eastAsia="ar-SA"/>
        </w:rPr>
      </w:pPr>
      <w:r w:rsidRPr="00391D8F">
        <w:rPr>
          <w:rFonts w:ascii="Times New Roman" w:eastAsia="Arial Unicode MS" w:hAnsi="Times New Roman" w:cs="Times New Roman"/>
          <w:bCs/>
          <w:sz w:val="24"/>
          <w:szCs w:val="23"/>
          <w:lang w:val="es-PE" w:eastAsia="ar-SA"/>
        </w:rPr>
        <w:t xml:space="preserve"> </w:t>
      </w:r>
    </w:p>
    <w:p w14:paraId="28F23A86" w14:textId="77777777" w:rsidR="00391D8F" w:rsidRPr="00391D8F" w:rsidRDefault="00391D8F" w:rsidP="00391D8F">
      <w:pPr>
        <w:spacing w:line="240" w:lineRule="auto"/>
        <w:jc w:val="both"/>
        <w:rPr>
          <w:rFonts w:ascii="Times New Roman" w:eastAsia="Arial Unicode MS" w:hAnsi="Times New Roman" w:cs="Times New Roman"/>
          <w:bCs/>
          <w:sz w:val="23"/>
          <w:szCs w:val="23"/>
          <w:lang w:val="es-PE" w:eastAsia="ar-SA"/>
        </w:rPr>
      </w:pPr>
    </w:p>
    <w:p w14:paraId="6FBBDDE6" w14:textId="77777777" w:rsidR="00391D8F" w:rsidRPr="00391D8F" w:rsidRDefault="00391D8F" w:rsidP="00391D8F">
      <w:pPr>
        <w:spacing w:line="240" w:lineRule="auto"/>
        <w:jc w:val="both"/>
        <w:rPr>
          <w:rFonts w:ascii="Times New Roman" w:eastAsia="Arial Unicode MS" w:hAnsi="Times New Roman" w:cs="Times New Roman"/>
          <w:bCs/>
          <w:sz w:val="23"/>
          <w:szCs w:val="23"/>
          <w:lang w:val="es-PE" w:eastAsia="ar-SA"/>
        </w:rPr>
      </w:pPr>
    </w:p>
    <w:p w14:paraId="153CBBBD" w14:textId="77777777" w:rsidR="00391D8F" w:rsidRPr="00391D8F" w:rsidRDefault="00391D8F" w:rsidP="00391D8F">
      <w:pPr>
        <w:spacing w:line="240" w:lineRule="auto"/>
        <w:jc w:val="both"/>
        <w:rPr>
          <w:rFonts w:ascii="Times New Roman" w:eastAsia="Arial Unicode MS" w:hAnsi="Times New Roman" w:cs="Times New Roman"/>
          <w:bCs/>
          <w:sz w:val="23"/>
          <w:szCs w:val="23"/>
          <w:lang w:val="es-MX" w:eastAsia="ar-SA"/>
        </w:rPr>
      </w:pPr>
    </w:p>
    <w:p w14:paraId="55FB0CD0" w14:textId="77777777" w:rsidR="00391D8F" w:rsidRPr="00391D8F" w:rsidRDefault="00391D8F" w:rsidP="00391D8F">
      <w:pPr>
        <w:spacing w:line="240" w:lineRule="auto"/>
        <w:jc w:val="both"/>
        <w:rPr>
          <w:rFonts w:ascii="Times New Roman" w:eastAsia="Arial Unicode MS" w:hAnsi="Times New Roman" w:cs="Times New Roman"/>
          <w:b/>
          <w:bCs/>
          <w:sz w:val="23"/>
          <w:szCs w:val="23"/>
          <w:lang w:val="es-MX" w:eastAsia="ar-SA"/>
        </w:rPr>
      </w:pPr>
    </w:p>
    <w:p w14:paraId="1B276886" w14:textId="77777777" w:rsidR="00391D8F" w:rsidRPr="00391D8F" w:rsidRDefault="00391D8F" w:rsidP="00391D8F">
      <w:pPr>
        <w:spacing w:line="240" w:lineRule="auto"/>
        <w:jc w:val="both"/>
        <w:rPr>
          <w:rFonts w:ascii="Times New Roman" w:eastAsia="Arial Unicode MS" w:hAnsi="Times New Roman" w:cs="Times New Roman"/>
          <w:b/>
          <w:bCs/>
          <w:sz w:val="23"/>
          <w:szCs w:val="23"/>
          <w:lang w:val="es-MX" w:eastAsia="ar-SA"/>
        </w:rPr>
      </w:pPr>
    </w:p>
    <w:p w14:paraId="51E191CE" w14:textId="77777777" w:rsidR="00391D8F" w:rsidRPr="00391D8F" w:rsidRDefault="00391D8F" w:rsidP="00391D8F">
      <w:pPr>
        <w:spacing w:line="240" w:lineRule="auto"/>
        <w:jc w:val="both"/>
        <w:rPr>
          <w:rFonts w:ascii="Times New Roman" w:eastAsia="Arial Unicode MS" w:hAnsi="Times New Roman" w:cs="Times New Roman"/>
          <w:bCs/>
          <w:sz w:val="23"/>
          <w:szCs w:val="23"/>
          <w:lang w:val="es-MX" w:eastAsia="ar-SA"/>
        </w:rPr>
      </w:pPr>
      <w:r w:rsidRPr="00391D8F">
        <w:rPr>
          <w:rFonts w:ascii="Times New Roman" w:eastAsia="Arial Unicode MS" w:hAnsi="Times New Roman" w:cs="Times New Roman"/>
          <w:b/>
          <w:bCs/>
          <w:sz w:val="24"/>
          <w:szCs w:val="23"/>
          <w:lang w:val="es-MX" w:eastAsia="ar-SA"/>
        </w:rPr>
        <w:lastRenderedPageBreak/>
        <w:t>Considerando:</w:t>
      </w:r>
    </w:p>
    <w:p w14:paraId="77415DDF" w14:textId="77777777" w:rsidR="00391D8F" w:rsidRPr="00391D8F" w:rsidRDefault="00391D8F" w:rsidP="00391D8F">
      <w:pPr>
        <w:spacing w:line="240" w:lineRule="auto"/>
        <w:jc w:val="both"/>
        <w:rPr>
          <w:rFonts w:ascii="Times New Roman" w:eastAsia="Arial Unicode MS" w:hAnsi="Times New Roman" w:cs="Times New Roman"/>
          <w:bCs/>
          <w:sz w:val="23"/>
          <w:szCs w:val="23"/>
          <w:lang w:val="es-PE" w:eastAsia="ar-SA"/>
        </w:rPr>
      </w:pPr>
      <w:r>
        <w:rPr>
          <w:rFonts w:ascii="Times New Roman" w:hAnsi="Times New Roman"/>
          <w:sz w:val="24"/>
        </w:rPr>
        <w:t xml:space="preserve">Primero: El Reglamento de la DEFASEG (http://www.defaseg.com.pe/reglamento) establece que la parte que no se encuentre de acuerdo con lo resuelto en su oportunidad podrá impugnarlo, interponiendo el correspondiente recurso. Conforme a ello, en el caso concreto, al interponer el Recurso de Impugnación la reclamante ha ejercido formalmente su derecho a contradecir lo resuelto por la Defensoría.</w:t>
      </w:r>
    </w:p>
    <w:p w14:paraId="254D99A0" w14:textId="77777777" w:rsidR="00391D8F" w:rsidRPr="00391D8F" w:rsidRDefault="00391D8F" w:rsidP="00391D8F">
      <w:pPr>
        <w:spacing w:line="240" w:lineRule="auto"/>
        <w:jc w:val="both"/>
        <w:rPr>
          <w:rFonts w:ascii="Times New Roman" w:eastAsia="Arial Unicode MS" w:hAnsi="Times New Roman" w:cs="Times New Roman"/>
          <w:sz w:val="23"/>
          <w:szCs w:val="23"/>
          <w:lang w:val="es-PE" w:eastAsia="ar-SA"/>
        </w:rPr>
      </w:pPr>
      <w:r w:rsidRPr="00391D8F">
        <w:rPr>
          <w:rFonts w:ascii="Times New Roman" w:eastAsia="Arial Unicode MS" w:hAnsi="Times New Roman" w:cs="Times New Roman"/>
          <w:b/>
          <w:sz w:val="24"/>
          <w:szCs w:val="23"/>
          <w:u w:val="single"/>
          <w:lang w:val="es-PE" w:eastAsia="ar-SA"/>
        </w:rPr>
        <w:t>Segundo</w:t>
      </w:r>
      <w:r w:rsidRPr="00391D8F">
        <w:rPr>
          <w:rFonts w:ascii="Times New Roman" w:eastAsia="Arial Unicode MS" w:hAnsi="Times New Roman" w:cs="Times New Roman"/>
          <w:b/>
          <w:sz w:val="24"/>
          <w:szCs w:val="23"/>
          <w:lang w:val="es-PE" w:eastAsia="ar-SA"/>
        </w:rPr>
        <w:t>:</w:t>
      </w:r>
      <w:r w:rsidRPr="00391D8F">
        <w:rPr>
          <w:rFonts w:ascii="Times New Roman" w:eastAsia="Arial Unicode MS" w:hAnsi="Times New Roman" w:cs="Times New Roman"/>
          <w:sz w:val="24"/>
          <w:szCs w:val="23"/>
          <w:lang w:val="es-PE" w:eastAsia="ar-SA"/>
        </w:rPr>
        <w:t xml:space="preserve"> Atendiendo a los fundamentos de la impugnación interpuesta, se advierte que la reclamante insiste en sus argumentos ya analizados, fundamentando su recurso en que no resulta suficiente para rechazar la cobertura de seguro el basarse en un certificado de defunción, que la aseguradora debió presentar un informe médico categórico sobre el tema; sin perjuicio de lo cual adicionalmente presenta un informe médico aclaratorio que da cuenta que la diabetes que el asegurado presentaba no fue la causa determinante del infarto, que produjo su fallecimiento. </w:t>
      </w:r>
    </w:p>
    <w:p w14:paraId="2517F355" w14:textId="77777777" w:rsidR="00391D8F" w:rsidRPr="00391D8F" w:rsidRDefault="00391D8F" w:rsidP="00391D8F">
      <w:pPr>
        <w:spacing w:line="240" w:lineRule="auto"/>
        <w:jc w:val="both"/>
        <w:rPr>
          <w:rFonts w:ascii="Times New Roman" w:eastAsia="Arial Unicode MS" w:hAnsi="Times New Roman" w:cs="Times New Roman"/>
          <w:sz w:val="23"/>
          <w:szCs w:val="23"/>
          <w:lang w:val="es-PE" w:eastAsia="ar-SA"/>
        </w:rPr>
      </w:pPr>
      <w:r w:rsidRPr="00391D8F">
        <w:rPr>
          <w:rFonts w:ascii="Times New Roman" w:eastAsia="Arial Unicode MS" w:hAnsi="Times New Roman" w:cs="Times New Roman"/>
          <w:sz w:val="24"/>
          <w:szCs w:val="23"/>
          <w:lang w:val="es-PE" w:eastAsia="ar-SA"/>
        </w:rPr>
        <w:t xml:space="preserve">En lo que respecta a la validez del certificado de defunción como prueba para acreditar el rechazo, este colegiado respeta, pero no comparte la posición de la reclamante, pues no se trata solo de un documento emitido con fines estadísticos, sino de un documento oficial firmado por un médico -en este caso el médico tratante- que es crucial para conocer las causas del fallecimiento, el mismo que permite consignar tanto elementos contributivos, como causas antecedentes, que son las causas básicas del fallecimiento. En efecto, las causas antecedentes, a diferencia de lo que sostiene la reclamante, no son elementos solo contributivos, sino que son aquellas que produjeron la causa última del fallecimiento. A modo de ejemplo un paro respiratorio es la causa última o directa del fallecimiento, pero no la causa básica, pues el paro respiratorio se origina a consecuencia de “algo”, ya sea de un accidente, de una enfermedad (que puede ser terminal, o súbita, una enfermedad crónica no controlada o en crisis, etc.). Una enfermedad como causa del fallecimiento (como podría ser una enfermedad oncológica), siempre puede tener a su vez, elementos contributivos que pueden empeorar (o mejorar) la condición de salud (como puede ser también la edad, el nivel de defensas, </w:t>
      </w:r>
      <w:proofErr w:type="spellStart"/>
      <w:r w:rsidRPr="00391D8F">
        <w:rPr>
          <w:rFonts w:ascii="Times New Roman" w:eastAsia="Arial Unicode MS" w:hAnsi="Times New Roman" w:cs="Times New Roman"/>
          <w:sz w:val="24"/>
          <w:szCs w:val="23"/>
          <w:lang w:val="es-PE" w:eastAsia="ar-SA"/>
        </w:rPr>
        <w:t>etc</w:t>
      </w:r>
      <w:proofErr w:type="spellEnd"/>
      <w:r w:rsidRPr="00391D8F">
        <w:rPr>
          <w:rFonts w:ascii="Times New Roman" w:eastAsia="Arial Unicode MS" w:hAnsi="Times New Roman" w:cs="Times New Roman"/>
          <w:sz w:val="24"/>
          <w:szCs w:val="23"/>
          <w:lang w:val="es-PE" w:eastAsia="ar-SA"/>
        </w:rPr>
        <w:t xml:space="preserve">,). Es por ello </w:t>
      </w:r>
      <w:proofErr w:type="gramStart"/>
      <w:r w:rsidRPr="00391D8F">
        <w:rPr>
          <w:rFonts w:ascii="Times New Roman" w:eastAsia="Arial Unicode MS" w:hAnsi="Times New Roman" w:cs="Times New Roman"/>
          <w:sz w:val="24"/>
          <w:szCs w:val="23"/>
          <w:lang w:val="es-PE" w:eastAsia="ar-SA"/>
        </w:rPr>
        <w:t>que</w:t>
      </w:r>
      <w:proofErr w:type="gramEnd"/>
      <w:r w:rsidRPr="00391D8F">
        <w:rPr>
          <w:rFonts w:ascii="Times New Roman" w:eastAsia="Arial Unicode MS" w:hAnsi="Times New Roman" w:cs="Times New Roman"/>
          <w:sz w:val="24"/>
          <w:szCs w:val="23"/>
          <w:lang w:val="es-PE" w:eastAsia="ar-SA"/>
        </w:rPr>
        <w:t xml:space="preserve"> el certificado de defunción contiene dos partes: una donde se registran las “causas” como tales (causas antecedentes) y otro donde se registran “otros estados patológicos” </w:t>
      </w:r>
      <w:proofErr w:type="gramStart"/>
      <w:r w:rsidRPr="00391D8F">
        <w:rPr>
          <w:rFonts w:ascii="Times New Roman" w:eastAsia="Arial Unicode MS" w:hAnsi="Times New Roman" w:cs="Times New Roman"/>
          <w:sz w:val="24"/>
          <w:szCs w:val="23"/>
          <w:lang w:val="es-PE" w:eastAsia="ar-SA"/>
        </w:rPr>
        <w:t>contributivos</w:t>
      </w:r>
      <w:proofErr w:type="gramEnd"/>
      <w:r w:rsidRPr="00391D8F">
        <w:rPr>
          <w:rFonts w:ascii="Times New Roman" w:eastAsia="Arial Unicode MS" w:hAnsi="Times New Roman" w:cs="Times New Roman"/>
          <w:sz w:val="24"/>
          <w:szCs w:val="23"/>
          <w:lang w:val="es-PE" w:eastAsia="ar-SA"/>
        </w:rPr>
        <w:t xml:space="preserve"> pero no relacionados con la causa del fallecimiento. La diabetes en tanto enfermedad </w:t>
      </w:r>
      <w:proofErr w:type="gramStart"/>
      <w:r w:rsidRPr="00391D8F">
        <w:rPr>
          <w:rFonts w:ascii="Times New Roman" w:eastAsia="Arial Unicode MS" w:hAnsi="Times New Roman" w:cs="Times New Roman"/>
          <w:sz w:val="24"/>
          <w:szCs w:val="23"/>
          <w:lang w:val="es-PE" w:eastAsia="ar-SA"/>
        </w:rPr>
        <w:t>crónica,</w:t>
      </w:r>
      <w:proofErr w:type="gramEnd"/>
      <w:r w:rsidRPr="00391D8F">
        <w:rPr>
          <w:rFonts w:ascii="Times New Roman" w:eastAsia="Arial Unicode MS" w:hAnsi="Times New Roman" w:cs="Times New Roman"/>
          <w:sz w:val="24"/>
          <w:szCs w:val="23"/>
          <w:lang w:val="es-PE" w:eastAsia="ar-SA"/>
        </w:rPr>
        <w:t xml:space="preserve"> puede ser: (i) un estado patológico </w:t>
      </w:r>
      <w:proofErr w:type="gramStart"/>
      <w:r w:rsidRPr="00391D8F">
        <w:rPr>
          <w:rFonts w:ascii="Times New Roman" w:eastAsia="Arial Unicode MS" w:hAnsi="Times New Roman" w:cs="Times New Roman"/>
          <w:sz w:val="24"/>
          <w:szCs w:val="23"/>
          <w:lang w:val="es-PE" w:eastAsia="ar-SA"/>
        </w:rPr>
        <w:t>contributivo</w:t>
      </w:r>
      <w:proofErr w:type="gramEnd"/>
      <w:r w:rsidRPr="00391D8F">
        <w:rPr>
          <w:rFonts w:ascii="Times New Roman" w:eastAsia="Arial Unicode MS" w:hAnsi="Times New Roman" w:cs="Times New Roman"/>
          <w:sz w:val="24"/>
          <w:szCs w:val="23"/>
          <w:lang w:val="es-PE" w:eastAsia="ar-SA"/>
        </w:rPr>
        <w:t xml:space="preserve"> pero no relacionado con la causa del fallecimiento (cuando estamos ante una diabetes controlada, por ejemplo); o, (</w:t>
      </w:r>
      <w:proofErr w:type="spellStart"/>
      <w:r w:rsidRPr="00391D8F">
        <w:rPr>
          <w:rFonts w:ascii="Times New Roman" w:eastAsia="Arial Unicode MS" w:hAnsi="Times New Roman" w:cs="Times New Roman"/>
          <w:sz w:val="24"/>
          <w:szCs w:val="23"/>
          <w:lang w:val="es-PE" w:eastAsia="ar-SA"/>
        </w:rPr>
        <w:t>ii</w:t>
      </w:r>
      <w:proofErr w:type="spellEnd"/>
      <w:r w:rsidRPr="00391D8F">
        <w:rPr>
          <w:rFonts w:ascii="Times New Roman" w:eastAsia="Arial Unicode MS" w:hAnsi="Times New Roman" w:cs="Times New Roman"/>
          <w:sz w:val="24"/>
          <w:szCs w:val="23"/>
          <w:lang w:val="es-PE" w:eastAsia="ar-SA"/>
        </w:rPr>
        <w:t xml:space="preserve">) una causa antecedente, en cuyo caso, sí se encuentra relacionada con el fallecimiento, habiendo sido la causa </w:t>
      </w:r>
      <w:proofErr w:type="gramStart"/>
      <w:r w:rsidRPr="00391D8F">
        <w:rPr>
          <w:rFonts w:ascii="Times New Roman" w:eastAsia="Arial Unicode MS" w:hAnsi="Times New Roman" w:cs="Times New Roman"/>
          <w:sz w:val="24"/>
          <w:szCs w:val="23"/>
          <w:lang w:val="es-PE" w:eastAsia="ar-SA"/>
        </w:rPr>
        <w:t>del mismo</w:t>
      </w:r>
      <w:proofErr w:type="gramEnd"/>
      <w:r w:rsidRPr="00391D8F">
        <w:rPr>
          <w:rFonts w:ascii="Times New Roman" w:eastAsia="Arial Unicode MS" w:hAnsi="Times New Roman" w:cs="Times New Roman"/>
          <w:sz w:val="24"/>
          <w:szCs w:val="23"/>
          <w:lang w:val="es-PE" w:eastAsia="ar-SA"/>
        </w:rPr>
        <w:t xml:space="preserve"> o una de las causas </w:t>
      </w:r>
      <w:proofErr w:type="gramStart"/>
      <w:r w:rsidRPr="00391D8F">
        <w:rPr>
          <w:rFonts w:ascii="Times New Roman" w:eastAsia="Arial Unicode MS" w:hAnsi="Times New Roman" w:cs="Times New Roman"/>
          <w:sz w:val="24"/>
          <w:szCs w:val="23"/>
          <w:lang w:val="es-PE" w:eastAsia="ar-SA"/>
        </w:rPr>
        <w:t>del mismo</w:t>
      </w:r>
      <w:proofErr w:type="gramEnd"/>
      <w:r w:rsidRPr="00391D8F">
        <w:rPr>
          <w:rFonts w:ascii="Times New Roman" w:eastAsia="Arial Unicode MS" w:hAnsi="Times New Roman" w:cs="Times New Roman"/>
          <w:sz w:val="24"/>
          <w:szCs w:val="23"/>
          <w:lang w:val="es-PE" w:eastAsia="ar-SA"/>
        </w:rPr>
        <w:t>. Si el médico tratante hubiera puesto a la diabetes en la parte II del certificado de defunción, es decir como un elemento contributivo no relacionado con la causa del fallecimiento, el certificado de defunción no hubiera sido suficiente para acreditar el nexo causal; pero ello no ocurrió en este caso; por el contrario, la diabetes fue reconocida como una causa antecedente, y por lo tanto este colegiado consideró válido dicho documento como prueba del nexo causal, el mismo que en parte pertinente copiamos a continuación.</w:t>
      </w:r>
    </w:p>
    <w:p w14:paraId="22DED567" w14:textId="77777777" w:rsidR="00391D8F" w:rsidRPr="00391D8F" w:rsidRDefault="00391D8F" w:rsidP="00391D8F">
      <w:pPr>
        <w:spacing w:line="240" w:lineRule="auto"/>
        <w:jc w:val="both"/>
        <w:rPr>
          <w:rFonts w:ascii="Times New Roman" w:eastAsia="Arial Unicode MS" w:hAnsi="Times New Roman" w:cs="Times New Roman"/>
          <w:sz w:val="23"/>
          <w:szCs w:val="23"/>
          <w:lang w:val="es-PE" w:eastAsia="ar-SA"/>
        </w:rPr>
      </w:pPr>
    </w:p>
    <w:p w14:paraId="59AD9BDF" w14:textId="5C5E2E3E" w:rsidR="00391D8F" w:rsidRPr="00391D8F" w:rsidRDefault="00391D8F" w:rsidP="00391D8F">
      <w:pPr>
        <w:spacing w:line="240" w:lineRule="auto"/>
        <w:jc w:val="center"/>
        <w:rPr>
          <w:rFonts w:ascii="Times New Roman" w:eastAsia="Arial Unicode MS" w:hAnsi="Times New Roman" w:cs="Times New Roman"/>
          <w:sz w:val="23"/>
          <w:szCs w:val="23"/>
          <w:lang w:val="es-PE" w:eastAsia="ar-SA"/>
        </w:rPr>
      </w:pPr>
      <w:r>
        <w:rPr>
          <w:rFonts w:ascii="Times New Roman" w:hAnsi="Times New Roman"/>
          <w:sz w:val="24"/>
        </w:rPr>
        <w:t xml:space="preserve">…………………</w:t>
      </w:r>
    </w:p>
    <w:p w14:paraId="125089B1" w14:textId="77777777" w:rsidR="00391D8F" w:rsidRPr="00391D8F" w:rsidRDefault="00391D8F" w:rsidP="00391D8F">
      <w:pPr>
        <w:spacing w:line="240" w:lineRule="auto"/>
        <w:jc w:val="both"/>
        <w:rPr>
          <w:rFonts w:ascii="Times New Roman" w:eastAsia="Arial Unicode MS" w:hAnsi="Times New Roman" w:cs="Times New Roman"/>
          <w:sz w:val="23"/>
          <w:szCs w:val="23"/>
          <w:lang w:val="es-PE" w:eastAsia="ar-SA"/>
        </w:rPr>
      </w:pPr>
      <w:r w:rsidRPr="00391D8F">
        <w:rPr>
          <w:rFonts w:ascii="Times New Roman" w:eastAsia="Arial Unicode MS" w:hAnsi="Times New Roman" w:cs="Times New Roman"/>
          <w:sz w:val="24"/>
          <w:szCs w:val="23"/>
          <w:lang w:val="es-PE" w:eastAsia="ar-SA"/>
        </w:rPr>
        <w:t xml:space="preserve">Ahora, bien, la recurrente, ha presentado un informe médico aclaratorio firmado por el mismo médico que emite el certificado de defunción; ante la solicitud de la recurrente a través de la cual requirió a dicho médico </w:t>
      </w:r>
      <w:r w:rsidRPr="00391D8F">
        <w:rPr>
          <w:rFonts w:ascii="Times New Roman" w:eastAsia="Arial Unicode MS" w:hAnsi="Times New Roman" w:cs="Times New Roman"/>
          <w:i/>
          <w:iCs/>
          <w:sz w:val="24"/>
          <w:szCs w:val="23"/>
          <w:lang w:val="es-PE" w:eastAsia="ar-SA"/>
        </w:rPr>
        <w:t xml:space="preserve">“un informe aclarando si, a su juicio clínico, existió o no una relación directa, única y determinante entre la diabetes y el infarto que provocó el fallecimiento, o si </w:t>
      </w:r>
      <w:proofErr w:type="spellStart"/>
      <w:r w:rsidRPr="00391D8F">
        <w:rPr>
          <w:rFonts w:ascii="Times New Roman" w:eastAsia="Arial Unicode MS" w:hAnsi="Times New Roman" w:cs="Times New Roman"/>
          <w:i/>
          <w:iCs/>
          <w:sz w:val="24"/>
          <w:szCs w:val="23"/>
          <w:lang w:val="es-PE" w:eastAsia="ar-SA"/>
        </w:rPr>
        <w:t>mas</w:t>
      </w:r>
      <w:proofErr w:type="spellEnd"/>
      <w:r w:rsidRPr="00391D8F">
        <w:rPr>
          <w:rFonts w:ascii="Times New Roman" w:eastAsia="Arial Unicode MS" w:hAnsi="Times New Roman" w:cs="Times New Roman"/>
          <w:i/>
          <w:iCs/>
          <w:sz w:val="24"/>
          <w:szCs w:val="23"/>
          <w:lang w:val="es-PE" w:eastAsia="ar-SA"/>
        </w:rPr>
        <w:t xml:space="preserve"> bien fue una condición crónica coexistente no necesariamente causal del desenlace fatal” </w:t>
      </w:r>
      <w:r w:rsidRPr="00391D8F">
        <w:rPr>
          <w:rFonts w:ascii="Times New Roman" w:eastAsia="Arial Unicode MS" w:hAnsi="Times New Roman" w:cs="Times New Roman"/>
          <w:sz w:val="24"/>
          <w:szCs w:val="23"/>
          <w:lang w:val="es-PE" w:eastAsia="ar-SA"/>
        </w:rPr>
        <w:t>(solicitud que figura en su carta de fecha 19 de mayo de 2025)</w:t>
      </w:r>
    </w:p>
    <w:p w14:paraId="089B47F7" w14:textId="04ECCB95" w:rsidR="00391D8F" w:rsidRPr="00391D8F" w:rsidRDefault="00391D8F" w:rsidP="00391D8F">
      <w:pPr>
        <w:spacing w:line="240" w:lineRule="auto"/>
        <w:jc w:val="both"/>
        <w:rPr>
          <w:rFonts w:ascii="Times New Roman" w:eastAsia="Arial Unicode MS" w:hAnsi="Times New Roman" w:cs="Times New Roman"/>
          <w:sz w:val="23"/>
          <w:szCs w:val="23"/>
          <w:lang w:val="es-PE" w:eastAsia="ar-SA"/>
        </w:rPr>
      </w:pPr>
      <w:r w:rsidRPr="00391D8F">
        <w:rPr>
          <w:rFonts w:ascii="Times New Roman" w:eastAsia="Arial Unicode MS" w:hAnsi="Times New Roman" w:cs="Times New Roman"/>
          <w:sz w:val="24"/>
          <w:szCs w:val="23"/>
          <w:lang w:val="es-PE" w:eastAsia="ar-SA"/>
        </w:rPr>
        <w:t>A continuación, se copia parte pertinente del informe aclaratorio suscrito por el Dr. Pardo Rivera con fecha 20 de mayo de 2025:</w:t>
      </w:r>
    </w:p>
    <w:p w14:paraId="3A98A8F4" w14:textId="6DD449DD" w:rsidR="00391D8F" w:rsidRPr="00391D8F" w:rsidRDefault="00391D8F" w:rsidP="00391D8F">
      <w:pPr>
        <w:spacing w:line="240" w:lineRule="auto"/>
        <w:jc w:val="center"/>
        <w:rPr>
          <w:rFonts w:ascii="Times New Roman" w:eastAsia="Arial Unicode MS" w:hAnsi="Times New Roman" w:cs="Times New Roman"/>
          <w:sz w:val="23"/>
          <w:szCs w:val="23"/>
          <w:lang w:val="es-PE" w:eastAsia="ar-SA"/>
        </w:rPr>
      </w:pPr>
      <w:r>
        <w:rPr>
          <w:rFonts w:ascii="Times New Roman" w:hAnsi="Times New Roman"/>
          <w:sz w:val="24"/>
        </w:rPr>
        <w:t xml:space="preserve">…………………</w:t>
      </w:r>
    </w:p>
    <w:p w14:paraId="5F930BC7" w14:textId="7047954F" w:rsidR="00391D8F" w:rsidRPr="00391D8F" w:rsidRDefault="00391D8F" w:rsidP="00391D8F">
      <w:pPr>
        <w:spacing w:line="240" w:lineRule="auto"/>
        <w:jc w:val="both"/>
        <w:rPr>
          <w:rFonts w:ascii="Times New Roman" w:eastAsia="Arial Unicode MS" w:hAnsi="Times New Roman" w:cs="Times New Roman"/>
          <w:sz w:val="23"/>
          <w:szCs w:val="23"/>
          <w:lang w:val="es-PE" w:eastAsia="ar-SA"/>
        </w:rPr>
      </w:pPr>
      <w:r w:rsidRPr="00391D8F">
        <w:rPr>
          <w:rFonts w:ascii="Times New Roman" w:eastAsia="Arial Unicode MS" w:hAnsi="Times New Roman" w:cs="Times New Roman"/>
          <w:sz w:val="24"/>
          <w:szCs w:val="23"/>
          <w:lang w:val="es-PE" w:eastAsia="ar-SA"/>
        </w:rPr>
        <w:t xml:space="preserve">Este colegiado aprecia que el médico estaría aclarando el certificado de defunción firmado, en el sentido que consignó la diabetes, sin que ello implique una afirmación </w:t>
      </w:r>
      <w:r w:rsidRPr="00391D8F">
        <w:rPr>
          <w:rFonts w:ascii="Times New Roman" w:eastAsia="Arial Unicode MS" w:hAnsi="Times New Roman" w:cs="Times New Roman"/>
          <w:i/>
          <w:iCs/>
          <w:sz w:val="24"/>
          <w:szCs w:val="23"/>
          <w:lang w:val="es-PE" w:eastAsia="ar-SA"/>
        </w:rPr>
        <w:t>“concluyente”</w:t>
      </w:r>
      <w:r w:rsidRPr="00391D8F">
        <w:rPr>
          <w:rFonts w:ascii="Times New Roman" w:eastAsia="Arial Unicode MS" w:hAnsi="Times New Roman" w:cs="Times New Roman"/>
          <w:sz w:val="24"/>
          <w:szCs w:val="23"/>
          <w:lang w:val="es-PE" w:eastAsia="ar-SA"/>
        </w:rPr>
        <w:t xml:space="preserve"> sobre su rol etiológico. </w:t>
      </w:r>
      <w:proofErr w:type="gramStart"/>
      <w:r w:rsidRPr="00391D8F">
        <w:rPr>
          <w:rFonts w:ascii="Times New Roman" w:eastAsia="Arial Unicode MS" w:hAnsi="Times New Roman" w:cs="Times New Roman"/>
          <w:sz w:val="24"/>
          <w:szCs w:val="23"/>
          <w:lang w:val="es-PE" w:eastAsia="ar-SA"/>
        </w:rPr>
        <w:t>En virtud a</w:t>
      </w:r>
      <w:proofErr w:type="gramEnd"/>
      <w:r w:rsidRPr="00391D8F">
        <w:rPr>
          <w:rFonts w:ascii="Times New Roman" w:eastAsia="Arial Unicode MS" w:hAnsi="Times New Roman" w:cs="Times New Roman"/>
          <w:sz w:val="24"/>
          <w:szCs w:val="23"/>
          <w:lang w:val="es-PE" w:eastAsia="ar-SA"/>
        </w:rPr>
        <w:t xml:space="preserve"> ello, la reclamante considera que no debe considerarse a la diabetes como </w:t>
      </w:r>
      <w:r w:rsidRPr="00391D8F">
        <w:rPr>
          <w:rFonts w:ascii="Times New Roman" w:eastAsia="Arial Unicode MS" w:hAnsi="Times New Roman" w:cs="Times New Roman"/>
          <w:sz w:val="24"/>
          <w:szCs w:val="23"/>
          <w:lang w:val="es-PE" w:eastAsia="ar-SA"/>
        </w:rPr>
        <w:lastRenderedPageBreak/>
        <w:t xml:space="preserve">causa básica del fallecimiento, pese a que se consignó como tal en el literal b) del certificado de defunción. </w:t>
      </w:r>
    </w:p>
    <w:p w14:paraId="1EA71DC6" w14:textId="49196B45" w:rsidR="00391D8F" w:rsidRPr="00391D8F" w:rsidRDefault="00391D8F" w:rsidP="00391D8F">
      <w:pPr>
        <w:spacing w:line="240" w:lineRule="auto"/>
        <w:jc w:val="both"/>
        <w:rPr>
          <w:rFonts w:ascii="Times New Roman" w:eastAsia="Arial Unicode MS" w:hAnsi="Times New Roman" w:cs="Times New Roman"/>
          <w:sz w:val="23"/>
          <w:szCs w:val="23"/>
          <w:lang w:val="es-PE" w:eastAsia="ar-SA"/>
        </w:rPr>
      </w:pPr>
      <w:r w:rsidRPr="00391D8F">
        <w:rPr>
          <w:rFonts w:ascii="Times New Roman" w:eastAsia="Arial Unicode MS" w:hAnsi="Times New Roman" w:cs="Times New Roman"/>
          <w:sz w:val="24"/>
          <w:szCs w:val="23"/>
          <w:lang w:val="es-PE" w:eastAsia="ar-SA"/>
        </w:rPr>
        <w:t xml:space="preserve">No obstante, el informe “aclaratorio” sí reconoce que la diabetes fue una condición crónica coexistente, y si bien señalaría que no fue una </w:t>
      </w:r>
      <w:r w:rsidRPr="00391D8F">
        <w:rPr>
          <w:rFonts w:ascii="Times New Roman" w:eastAsia="Arial Unicode MS" w:hAnsi="Times New Roman" w:cs="Times New Roman"/>
          <w:i/>
          <w:iCs/>
          <w:sz w:val="24"/>
          <w:szCs w:val="23"/>
          <w:lang w:val="es-PE" w:eastAsia="ar-SA"/>
        </w:rPr>
        <w:t>“causa directa, única ni suficiente</w:t>
      </w:r>
      <w:r w:rsidRPr="00391D8F">
        <w:rPr>
          <w:rFonts w:ascii="Times New Roman" w:eastAsia="Arial Unicode MS" w:hAnsi="Times New Roman" w:cs="Times New Roman"/>
          <w:sz w:val="24"/>
          <w:szCs w:val="23"/>
          <w:lang w:val="es-PE" w:eastAsia="ar-SA"/>
        </w:rPr>
        <w:t xml:space="preserve">”, contario sensu, sí sería una “causa” del infarto, solo que no la única. Lo que llama la atención es que siendo que considera que no fue la “única”, no mencione cuáles serían las otras causas que originaron el infarto agudo al miocardio. </w:t>
      </w:r>
    </w:p>
    <w:p w14:paraId="5BEB64E7" w14:textId="201E48ED" w:rsidR="00391D8F" w:rsidRPr="00391D8F" w:rsidRDefault="00391D8F" w:rsidP="00391D8F">
      <w:pPr>
        <w:spacing w:line="240" w:lineRule="auto"/>
        <w:jc w:val="both"/>
        <w:rPr>
          <w:rFonts w:ascii="Times New Roman" w:eastAsia="Arial Unicode MS" w:hAnsi="Times New Roman" w:cs="Times New Roman"/>
          <w:sz w:val="23"/>
          <w:szCs w:val="23"/>
          <w:lang w:val="es-PE" w:eastAsia="ar-SA"/>
        </w:rPr>
      </w:pPr>
      <w:r w:rsidRPr="00391D8F">
        <w:rPr>
          <w:rFonts w:ascii="Times New Roman" w:eastAsia="Arial Unicode MS" w:hAnsi="Times New Roman" w:cs="Times New Roman"/>
          <w:sz w:val="24"/>
          <w:szCs w:val="23"/>
          <w:lang w:val="es-PE" w:eastAsia="ar-SA"/>
        </w:rPr>
        <w:t xml:space="preserve">¨Por lo tanto, este colegiado considera que el informe aclaratorio sigue considerando a la diabetes como causa contributiva junto con otras que no se mencionan, pero no como un “estado patológico </w:t>
      </w:r>
      <w:proofErr w:type="gramStart"/>
      <w:r w:rsidRPr="00391D8F">
        <w:rPr>
          <w:rFonts w:ascii="Times New Roman" w:eastAsia="Arial Unicode MS" w:hAnsi="Times New Roman" w:cs="Times New Roman"/>
          <w:sz w:val="24"/>
          <w:szCs w:val="23"/>
          <w:lang w:val="es-PE" w:eastAsia="ar-SA"/>
        </w:rPr>
        <w:t>contributivo</w:t>
      </w:r>
      <w:proofErr w:type="gramEnd"/>
      <w:r w:rsidRPr="00391D8F">
        <w:rPr>
          <w:rFonts w:ascii="Times New Roman" w:eastAsia="Arial Unicode MS" w:hAnsi="Times New Roman" w:cs="Times New Roman"/>
          <w:sz w:val="24"/>
          <w:szCs w:val="23"/>
          <w:lang w:val="es-PE" w:eastAsia="ar-SA"/>
        </w:rPr>
        <w:t xml:space="preserve"> </w:t>
      </w:r>
      <w:r w:rsidRPr="00391D8F">
        <w:rPr>
          <w:rFonts w:ascii="Times New Roman" w:eastAsia="Arial Unicode MS" w:hAnsi="Times New Roman" w:cs="Times New Roman"/>
          <w:b/>
          <w:bCs/>
          <w:sz w:val="24"/>
          <w:szCs w:val="23"/>
          <w:u w:val="single"/>
          <w:lang w:val="es-PE" w:eastAsia="ar-SA"/>
        </w:rPr>
        <w:t>pero no relacionado</w:t>
      </w:r>
      <w:r w:rsidRPr="00391D8F">
        <w:rPr>
          <w:rFonts w:ascii="Times New Roman" w:eastAsia="Arial Unicode MS" w:hAnsi="Times New Roman" w:cs="Times New Roman"/>
          <w:sz w:val="24"/>
          <w:szCs w:val="23"/>
          <w:lang w:val="es-PE" w:eastAsia="ar-SA"/>
        </w:rPr>
        <w:t xml:space="preserve"> con la causa del fallecimiento”.  De lo contrario, no se explica que la hubiera consignado en la parte I del certificado de defunción. Por el contrario, si no era la causa directa o “una” de las causas, sino solo un elemento contributivo “no relacionado”, debió consignarla en la parte II del certificado de defunción. </w:t>
      </w:r>
    </w:p>
    <w:p w14:paraId="1B6F1858" w14:textId="345C52A7" w:rsidR="00391D8F" w:rsidRPr="00391D8F" w:rsidRDefault="00391D8F" w:rsidP="00391D8F">
      <w:pPr>
        <w:spacing w:line="240" w:lineRule="auto"/>
        <w:jc w:val="both"/>
        <w:rPr>
          <w:rFonts w:ascii="Times New Roman" w:eastAsia="Arial Unicode MS" w:hAnsi="Times New Roman" w:cs="Times New Roman"/>
          <w:sz w:val="23"/>
          <w:szCs w:val="23"/>
          <w:lang w:val="es-PE" w:eastAsia="ar-SA"/>
        </w:rPr>
      </w:pPr>
      <w:r w:rsidRPr="00391D8F">
        <w:rPr>
          <w:rFonts w:ascii="Times New Roman" w:eastAsia="Arial Unicode MS" w:hAnsi="Times New Roman" w:cs="Times New Roman"/>
          <w:sz w:val="24"/>
          <w:szCs w:val="23"/>
          <w:lang w:val="es-PE" w:eastAsia="ar-SA"/>
        </w:rPr>
        <w:t xml:space="preserve">Asimismo, el informe hace mención </w:t>
      </w:r>
      <w:proofErr w:type="gramStart"/>
      <w:r w:rsidRPr="00391D8F">
        <w:rPr>
          <w:rFonts w:ascii="Times New Roman" w:eastAsia="Arial Unicode MS" w:hAnsi="Times New Roman" w:cs="Times New Roman"/>
          <w:sz w:val="24"/>
          <w:szCs w:val="23"/>
          <w:lang w:val="es-PE" w:eastAsia="ar-SA"/>
        </w:rPr>
        <w:t>a</w:t>
      </w:r>
      <w:proofErr w:type="gramEnd"/>
      <w:r w:rsidRPr="00391D8F">
        <w:rPr>
          <w:rFonts w:ascii="Times New Roman" w:eastAsia="Arial Unicode MS" w:hAnsi="Times New Roman" w:cs="Times New Roman"/>
          <w:sz w:val="24"/>
          <w:szCs w:val="23"/>
          <w:lang w:val="es-PE" w:eastAsia="ar-SA"/>
        </w:rPr>
        <w:t xml:space="preserve"> que la diabetes como causa antecedente no debe interpretarse como una declaración “categórica” de casualidad médica. Dicha afirmación también puede entenderse como una declaración de causalidad médica, solo que no categórica; más aún cuando refiere que es un “antecedente clínico relevante”.  Cabe destacar que si bien el informe concluye que no puede “afirmarse” médicamente que el fallecimiento haya ocurrido a consecuencia de la diabetes mellitus, tampoco lo descarta categóricamente, habiendo, por el contrario, señalado previamente en el certificado de defunción que sí existe una causalidad con el infarto agudo al miocardio. </w:t>
      </w:r>
    </w:p>
    <w:p w14:paraId="44A75960" w14:textId="6E2C4FB0" w:rsidR="00391D8F" w:rsidRPr="00391D8F" w:rsidRDefault="00391D8F" w:rsidP="00391D8F">
      <w:pPr>
        <w:spacing w:line="240" w:lineRule="auto"/>
        <w:jc w:val="both"/>
        <w:rPr>
          <w:rFonts w:ascii="Times New Roman" w:eastAsia="Arial Unicode MS" w:hAnsi="Times New Roman" w:cs="Times New Roman"/>
          <w:sz w:val="23"/>
          <w:szCs w:val="23"/>
          <w:lang w:val="es-PE" w:eastAsia="ar-SA"/>
        </w:rPr>
      </w:pPr>
      <w:r>
        <w:rPr>
          <w:rFonts w:ascii="Times New Roman" w:hAnsi="Times New Roman"/>
          <w:sz w:val="24"/>
        </w:rPr>
        <w:t xml:space="preserve">Es claro que existen condiciones crónicas que pueden ser contributivas del fallecimiento, pero no necesariamente las causas del mismo; sin embargo, dado que estaríamos ante una aclaración del propio médico respecto de un documento oficial, que “aclara” que no puede afirmar “categóricamente” que haya sido la causa básica del fallecimiento; este colegiado para poder considerar dicho informe como uno “rectificatorio” con suficiente valor probatorio para modificar un certificado oficial, hubiera esperado que descartara categóricamente dicha causalidad sustentándola, objetivamente, con parte pertinente de la Historia Clínica que hubiera informado sobre los niveles de glucosa en la sangre que presentaba el asegurado, lo que no ha ocurrido en este caso; y más aún que se hubiera rectificado dicho documento oficial ante las autoridades correspondientes. </w:t>
      </w:r>
    </w:p>
    <w:p w14:paraId="5ADDE1D7" w14:textId="04575ED8" w:rsidR="00391D8F" w:rsidRPr="00391D8F" w:rsidRDefault="00391D8F" w:rsidP="00391D8F">
      <w:pPr>
        <w:spacing w:line="240" w:lineRule="auto"/>
        <w:jc w:val="both"/>
        <w:rPr>
          <w:rFonts w:ascii="Times New Roman" w:eastAsia="Arial Unicode MS" w:hAnsi="Times New Roman" w:cs="Times New Roman"/>
          <w:sz w:val="23"/>
          <w:szCs w:val="23"/>
          <w:lang w:val="es-PE" w:eastAsia="ar-SA"/>
        </w:rPr>
      </w:pPr>
      <w:r w:rsidRPr="00391D8F">
        <w:rPr>
          <w:rFonts w:ascii="Times New Roman" w:eastAsia="Arial Unicode MS" w:hAnsi="Times New Roman" w:cs="Times New Roman"/>
          <w:sz w:val="24"/>
          <w:szCs w:val="23"/>
          <w:lang w:val="es-PE" w:eastAsia="ar-SA"/>
        </w:rPr>
        <w:t>En resumen, el informe aclaratorio no descarta que la diabetes fuera la causa del fallecimiento (como sí se indicó en el certificado de defunción), sino que solo señala que no puede afirmar categóricamente que lo sea, con lo cual se vuelve a la prueba original en la cual se basó la resolución emitida, la cual constituye un documento oficial que más allá que pudiera haber sido “aclarado”, no ha sido “rectificado”; y en consecuencia el informe no descarta categóricamente que la diabetes haya sido la causa del infarto, solo señala que no sería la única, siendo que además no menciona las otras causas que pudieran haberlo causado.</w:t>
      </w:r>
    </w:p>
    <w:p w14:paraId="0D2DD8B0" w14:textId="77777777" w:rsidR="00391D8F" w:rsidRPr="00391D8F" w:rsidRDefault="00391D8F" w:rsidP="00391D8F">
      <w:pPr>
        <w:spacing w:line="240" w:lineRule="auto"/>
        <w:jc w:val="both"/>
        <w:rPr>
          <w:rFonts w:ascii="Times New Roman" w:eastAsia="Arial Unicode MS" w:hAnsi="Times New Roman" w:cs="Times New Roman"/>
          <w:sz w:val="23"/>
          <w:szCs w:val="23"/>
          <w:lang w:val="es-PE" w:eastAsia="ar-SA"/>
        </w:rPr>
      </w:pPr>
      <w:r w:rsidRPr="00391D8F">
        <w:rPr>
          <w:rFonts w:ascii="Times New Roman" w:eastAsia="Arial Unicode MS" w:hAnsi="Times New Roman" w:cs="Times New Roman"/>
          <w:sz w:val="24"/>
          <w:szCs w:val="23"/>
          <w:lang w:val="es-PE" w:eastAsia="ar-SA"/>
        </w:rPr>
        <w:t xml:space="preserve">Este colegiado respeta, pero no comparte la posición de la reclamante; y considera que la aseguradora rechazó correctamente la cobertura por preexistencia, basada en el certificado de defunción que fue expreso al señalar a la diabetes como causa antecedente, y que constituye un documento oficial que no ha sido rectificado; no siendo el informe aclaratorio suficiente para desvirtuarlo, por las razones antes expuestas. </w:t>
      </w:r>
    </w:p>
    <w:p w14:paraId="32DE9AC6" w14:textId="77777777" w:rsidR="00391D8F" w:rsidRPr="00391D8F" w:rsidRDefault="00391D8F" w:rsidP="00391D8F">
      <w:pPr>
        <w:spacing w:line="240" w:lineRule="auto"/>
        <w:jc w:val="both"/>
        <w:rPr>
          <w:rFonts w:ascii="Times New Roman" w:eastAsia="Arial Unicode MS" w:hAnsi="Times New Roman" w:cs="Times New Roman"/>
          <w:sz w:val="23"/>
          <w:szCs w:val="23"/>
          <w:lang w:val="es-PE" w:eastAsia="ar-SA"/>
        </w:rPr>
      </w:pPr>
    </w:p>
    <w:p w14:paraId="77F610AF" w14:textId="68C5B423" w:rsidR="00391D8F" w:rsidRPr="00391D8F" w:rsidRDefault="00391D8F" w:rsidP="00391D8F">
      <w:pPr>
        <w:spacing w:line="240" w:lineRule="auto"/>
        <w:jc w:val="both"/>
        <w:rPr>
          <w:rFonts w:ascii="Times New Roman" w:eastAsia="Arial Unicode MS" w:hAnsi="Times New Roman" w:cs="Times New Roman"/>
          <w:sz w:val="23"/>
          <w:szCs w:val="23"/>
          <w:lang w:val="es-PE" w:eastAsia="ar-SA"/>
        </w:rPr>
      </w:pPr>
      <w:r w:rsidRPr="00391D8F">
        <w:rPr>
          <w:rFonts w:ascii="Times New Roman" w:eastAsia="Arial Unicode MS" w:hAnsi="Times New Roman" w:cs="Times New Roman"/>
          <w:b/>
          <w:sz w:val="24"/>
          <w:szCs w:val="23"/>
          <w:u w:val="single"/>
          <w:lang w:val="es-PE" w:eastAsia="ar-SA"/>
        </w:rPr>
        <w:t>Tercero</w:t>
      </w:r>
      <w:r w:rsidRPr="00391D8F">
        <w:rPr>
          <w:rFonts w:ascii="Times New Roman" w:eastAsia="Arial Unicode MS" w:hAnsi="Times New Roman" w:cs="Times New Roman"/>
          <w:b/>
          <w:sz w:val="24"/>
          <w:szCs w:val="23"/>
          <w:lang w:val="es-PE" w:eastAsia="ar-SA"/>
        </w:rPr>
        <w:t>:</w:t>
      </w:r>
      <w:r w:rsidRPr="00391D8F">
        <w:rPr>
          <w:rFonts w:ascii="Times New Roman" w:eastAsia="Arial Unicode MS" w:hAnsi="Times New Roman" w:cs="Times New Roman"/>
          <w:sz w:val="24"/>
          <w:szCs w:val="23"/>
          <w:lang w:val="es-PE" w:eastAsia="ar-SA"/>
        </w:rPr>
        <w:t xml:space="preserve"> Finalmente, ese colegiado tiene a bien precisar que, </w:t>
      </w:r>
      <w:r w:rsidRPr="00391D8F">
        <w:rPr>
          <w:rFonts w:ascii="Times New Roman" w:eastAsia="Arial Unicode MS" w:hAnsi="Times New Roman" w:cs="Times New Roman"/>
          <w:sz w:val="24"/>
          <w:szCs w:val="23"/>
          <w:lang w:val="es-419" w:eastAsia="ar-SA"/>
        </w:rPr>
        <w:t xml:space="preserve">conforme al reglamento de la DEFASEG, </w:t>
      </w:r>
      <w:r w:rsidRPr="00391D8F">
        <w:rPr>
          <w:rFonts w:ascii="Times New Roman" w:eastAsia="Arial Unicode MS" w:hAnsi="Times New Roman" w:cs="Times New Roman"/>
          <w:sz w:val="24"/>
          <w:szCs w:val="23"/>
          <w:lang w:val="es-ES" w:eastAsia="ar-SA"/>
        </w:rPr>
        <w:t xml:space="preserve">el sometimiento voluntario a esta instancia como medio de resolución de conflictos, no afecta el derecho a la tutela jurisdiccional del asegurado, toda vez que lo resuelto por esta Defensoría no limita su derecho a iniciar procesos ante las instancias administrativas o jurisdiccionales que considere pertinentes, sin que sea necesario que la DEFASEG revoque previamente la resolución emitida. Ello debido a que las resoluciones que expide esta Defensoría no son vinculantes para el asegurado o reclamante cuando éstas les son desfavorables, siendo vinculantes para las aseguradoras cuando el fallo es favorable para el asegurado.  </w:t>
      </w:r>
    </w:p>
    <w:p w14:paraId="13283CF5" w14:textId="3C2D1A92" w:rsidR="00391D8F" w:rsidRPr="00391D8F" w:rsidRDefault="00391D8F" w:rsidP="00391D8F">
      <w:pPr>
        <w:spacing w:line="240" w:lineRule="auto"/>
        <w:jc w:val="both"/>
        <w:rPr>
          <w:rFonts w:ascii="Times New Roman" w:eastAsia="Arial Unicode MS" w:hAnsi="Times New Roman" w:cs="Times New Roman"/>
          <w:sz w:val="23"/>
          <w:szCs w:val="23"/>
          <w:lang w:val="es-ES" w:eastAsia="ar-SA"/>
        </w:rPr>
      </w:pPr>
      <w:r w:rsidRPr="00391D8F">
        <w:rPr>
          <w:rFonts w:ascii="Times New Roman" w:eastAsia="Arial Unicode MS" w:hAnsi="Times New Roman" w:cs="Times New Roman"/>
          <w:sz w:val="24"/>
          <w:szCs w:val="23"/>
          <w:lang w:val="es-ES" w:eastAsia="ar-SA"/>
        </w:rPr>
        <w:t>En atención a las consideraciones precedentes, ratificando el análisis y conclusión contenidos en la resolución recurrida, este colegiado considera que no existe mérito suficiente para revocar la resolución recurrida, por lo que conforme a su reglamento</w:t>
      </w:r>
    </w:p>
    <w:p w14:paraId="58CB0F26" w14:textId="54636682" w:rsidR="00391D8F" w:rsidRPr="00391D8F" w:rsidRDefault="00391D8F" w:rsidP="00391D8F">
      <w:pPr>
        <w:spacing w:line="240" w:lineRule="auto"/>
        <w:jc w:val="both"/>
        <w:rPr>
          <w:rFonts w:ascii="Times New Roman" w:eastAsia="Arial Unicode MS" w:hAnsi="Times New Roman" w:cs="Times New Roman"/>
          <w:b/>
          <w:bCs/>
          <w:sz w:val="23"/>
          <w:szCs w:val="23"/>
          <w:lang w:val="es-PE" w:eastAsia="ar-SA"/>
        </w:rPr>
      </w:pPr>
      <w:r w:rsidRPr="00391D8F">
        <w:rPr>
          <w:rFonts w:ascii="Times New Roman" w:eastAsia="Arial Unicode MS" w:hAnsi="Times New Roman" w:cs="Times New Roman"/>
          <w:b/>
          <w:bCs/>
          <w:sz w:val="24"/>
          <w:szCs w:val="23"/>
          <w:lang w:val="es-ES" w:eastAsia="ar-SA"/>
        </w:rPr>
        <w:t xml:space="preserve">RESUELVE: </w:t>
      </w:r>
    </w:p>
    <w:p w14:paraId="01111C8B" w14:textId="77777777" w:rsidR="00391D8F" w:rsidRPr="00391D8F" w:rsidRDefault="00391D8F" w:rsidP="00391D8F">
      <w:pPr>
        <w:spacing w:line="240" w:lineRule="auto"/>
        <w:jc w:val="both"/>
        <w:rPr>
          <w:rFonts w:ascii="Times New Roman" w:eastAsia="Arial Unicode MS" w:hAnsi="Times New Roman" w:cs="Times New Roman"/>
          <w:sz w:val="23"/>
          <w:szCs w:val="23"/>
          <w:lang w:val="es-ES" w:eastAsia="ar-SA"/>
        </w:rPr>
      </w:pPr>
      <w:r w:rsidRPr="00391D8F">
        <w:rPr>
          <w:rFonts w:ascii="Times New Roman" w:eastAsia="Arial Unicode MS" w:hAnsi="Times New Roman" w:cs="Times New Roman"/>
          <w:bCs/>
          <w:sz w:val="24"/>
          <w:szCs w:val="23"/>
          <w:lang w:val="es-PE" w:eastAsia="ar-SA"/>
        </w:rPr>
        <w:t xml:space="preserve">Declarar </w:t>
      </w:r>
      <w:r w:rsidRPr="00391D8F">
        <w:rPr>
          <w:rFonts w:ascii="Times New Roman" w:eastAsia="Arial Unicode MS" w:hAnsi="Times New Roman" w:cs="Times New Roman"/>
          <w:b/>
          <w:sz w:val="24"/>
          <w:szCs w:val="23"/>
          <w:lang w:val="es-PE" w:eastAsia="ar-SA"/>
        </w:rPr>
        <w:t xml:space="preserve">INFUNDADO </w:t>
      </w:r>
      <w:r w:rsidRPr="00391D8F">
        <w:rPr>
          <w:rFonts w:ascii="Times New Roman" w:eastAsia="Arial Unicode MS" w:hAnsi="Times New Roman" w:cs="Times New Roman"/>
          <w:bCs/>
          <w:sz w:val="24"/>
          <w:szCs w:val="23"/>
          <w:lang w:val="es-PE" w:eastAsia="ar-SA"/>
        </w:rPr>
        <w:t>el recurso impugnativo</w:t>
      </w:r>
      <w:r w:rsidRPr="00391D8F">
        <w:rPr>
          <w:rFonts w:ascii="Times New Roman" w:eastAsia="Arial Unicode MS" w:hAnsi="Times New Roman" w:cs="Times New Roman"/>
          <w:b/>
          <w:sz w:val="24"/>
          <w:szCs w:val="23"/>
          <w:lang w:val="es-PE" w:eastAsia="ar-SA"/>
        </w:rPr>
        <w:t xml:space="preserve"> </w:t>
      </w:r>
      <w:r w:rsidRPr="00391D8F">
        <w:rPr>
          <w:rFonts w:ascii="Times New Roman" w:eastAsia="Arial Unicode MS" w:hAnsi="Times New Roman" w:cs="Times New Roman"/>
          <w:sz w:val="24"/>
          <w:szCs w:val="23"/>
          <w:lang w:val="es-PE" w:eastAsia="ar-SA"/>
        </w:rPr>
        <w:t>interpuesto y,</w:t>
      </w:r>
      <w:r w:rsidRPr="00391D8F">
        <w:rPr>
          <w:rFonts w:ascii="Times New Roman" w:eastAsia="Arial Unicode MS" w:hAnsi="Times New Roman" w:cs="Times New Roman"/>
          <w:bCs/>
          <w:sz w:val="24"/>
          <w:szCs w:val="23"/>
          <w:lang w:val="es-ES" w:eastAsia="ar-SA"/>
        </w:rPr>
        <w:t xml:space="preserve"> por consiguiente, ratificar</w:t>
      </w:r>
      <w:r w:rsidRPr="00391D8F">
        <w:rPr>
          <w:rFonts w:ascii="Times New Roman" w:eastAsia="Arial Unicode MS" w:hAnsi="Times New Roman" w:cs="Times New Roman"/>
          <w:sz w:val="24"/>
          <w:szCs w:val="23"/>
          <w:lang w:val="es-ES" w:eastAsia="ar-SA"/>
        </w:rPr>
        <w:t xml:space="preserve"> la Resolución </w:t>
      </w:r>
      <w:proofErr w:type="spellStart"/>
      <w:r w:rsidRPr="00391D8F">
        <w:rPr>
          <w:rFonts w:ascii="Times New Roman" w:eastAsia="Arial Unicode MS" w:hAnsi="Times New Roman" w:cs="Times New Roman"/>
          <w:sz w:val="24"/>
          <w:szCs w:val="23"/>
          <w:lang w:val="es-ES" w:eastAsia="ar-SA"/>
        </w:rPr>
        <w:t>Nº</w:t>
      </w:r>
      <w:proofErr w:type="spellEnd"/>
      <w:r w:rsidRPr="00391D8F">
        <w:rPr>
          <w:rFonts w:ascii="Times New Roman" w:eastAsia="Arial Unicode MS" w:hAnsi="Times New Roman" w:cs="Times New Roman"/>
          <w:sz w:val="24"/>
          <w:szCs w:val="23"/>
          <w:lang w:val="es-ES" w:eastAsia="ar-SA"/>
        </w:rPr>
        <w:t xml:space="preserve"> 068/25 de fecha 30 de abril de 2025, dejando a salvo el derecho de la reclamante de acudir ante las instancias que estime pertinente.</w:t>
      </w:r>
    </w:p>
    <w:p w14:paraId="51EDAB4B" w14:textId="43578785" w:rsidR="00B32E8A" w:rsidRPr="007E4E23" w:rsidRDefault="0091528B" w:rsidP="00EE2E2E">
      <w:pPr>
        <w:spacing w:line="240" w:lineRule="auto"/>
        <w:jc w:val="right"/>
        <w:rPr>
          <w:rFonts w:ascii="Times New Roman" w:hAnsi="Times New Roman" w:cs="Times New Roman"/>
          <w:sz w:val="23"/>
          <w:szCs w:val="23"/>
          <w:lang w:val="es-PE"/>
        </w:rPr>
      </w:pPr>
      <w:r w:rsidRPr="007E4E23">
        <w:rPr>
          <w:rFonts w:ascii="Times New Roman" w:eastAsia="Arial Unicode MS" w:hAnsi="Times New Roman" w:cs="Times New Roman"/>
          <w:sz w:val="24"/>
          <w:szCs w:val="23"/>
          <w:lang w:val="es-PE" w:eastAsia="ar-SA"/>
        </w:rPr>
        <w:t>Lima,</w:t>
      </w:r>
      <w:r w:rsidR="00774D05" w:rsidRPr="007E4E23">
        <w:rPr>
          <w:rFonts w:ascii="Times New Roman" w:eastAsia="Arial Unicode MS" w:hAnsi="Times New Roman" w:cs="Times New Roman"/>
          <w:sz w:val="24"/>
          <w:szCs w:val="23"/>
          <w:lang w:val="es-PE" w:eastAsia="ar-SA"/>
        </w:rPr>
        <w:t xml:space="preserve"> </w:t>
      </w:r>
      <w:r w:rsidR="006229DD">
        <w:rPr>
          <w:rFonts w:ascii="Times New Roman" w:eastAsia="Arial Unicode MS" w:hAnsi="Times New Roman" w:cs="Times New Roman"/>
          <w:sz w:val="24"/>
          <w:szCs w:val="23"/>
          <w:lang w:val="es-PE" w:eastAsia="ar-SA"/>
        </w:rPr>
        <w:t>23</w:t>
      </w:r>
      <w:r w:rsidR="00B8209E" w:rsidRPr="007E4E23">
        <w:rPr>
          <w:rFonts w:ascii="Times New Roman" w:eastAsia="Arial Unicode MS" w:hAnsi="Times New Roman" w:cs="Times New Roman"/>
          <w:sz w:val="24"/>
          <w:szCs w:val="23"/>
          <w:lang w:val="es-PE" w:eastAsia="ar-SA"/>
        </w:rPr>
        <w:t xml:space="preserve"> </w:t>
      </w:r>
      <w:r w:rsidR="00707C99" w:rsidRPr="007E4E23">
        <w:rPr>
          <w:rFonts w:ascii="Times New Roman" w:eastAsia="Arial Unicode MS" w:hAnsi="Times New Roman" w:cs="Times New Roman"/>
          <w:sz w:val="24"/>
          <w:szCs w:val="23"/>
          <w:lang w:val="es-PE" w:eastAsia="ar-SA"/>
        </w:rPr>
        <w:t xml:space="preserve">de </w:t>
      </w:r>
      <w:r w:rsidR="00FF5223" w:rsidRPr="007E4E23">
        <w:rPr>
          <w:rFonts w:ascii="Times New Roman" w:eastAsia="Arial Unicode MS" w:hAnsi="Times New Roman" w:cs="Times New Roman"/>
          <w:sz w:val="24"/>
          <w:szCs w:val="23"/>
          <w:lang w:val="es-PE" w:eastAsia="ar-SA"/>
        </w:rPr>
        <w:t>junio</w:t>
      </w:r>
      <w:r w:rsidR="002F478E" w:rsidRPr="007E4E23">
        <w:rPr>
          <w:rFonts w:ascii="Times New Roman" w:eastAsia="Arial Unicode MS" w:hAnsi="Times New Roman" w:cs="Times New Roman"/>
          <w:sz w:val="24"/>
          <w:szCs w:val="23"/>
          <w:lang w:val="es-PE" w:eastAsia="ar-SA"/>
        </w:rPr>
        <w:t xml:space="preserve"> </w:t>
      </w:r>
      <w:r w:rsidR="00F06498" w:rsidRPr="007E4E23">
        <w:rPr>
          <w:rFonts w:ascii="Times New Roman" w:eastAsia="Arial Unicode MS" w:hAnsi="Times New Roman" w:cs="Times New Roman"/>
          <w:sz w:val="24"/>
          <w:szCs w:val="23"/>
          <w:lang w:val="es-PE" w:eastAsia="ar-SA"/>
        </w:rPr>
        <w:t>de 202</w:t>
      </w:r>
      <w:r w:rsidR="00AE4D37" w:rsidRPr="007E4E23">
        <w:rPr>
          <w:rFonts w:ascii="Times New Roman" w:eastAsia="Arial Unicode MS" w:hAnsi="Times New Roman" w:cs="Times New Roman"/>
          <w:sz w:val="24"/>
          <w:szCs w:val="23"/>
          <w:lang w:val="es-PE" w:eastAsia="ar-SA"/>
        </w:rPr>
        <w:t>5</w:t>
      </w:r>
      <w:r w:rsidR="00707C99" w:rsidRPr="007E4E23">
        <w:rPr>
          <w:rFonts w:ascii="Times New Roman" w:eastAsia="Times New Roman" w:hAnsi="Times New Roman" w:cs="Times New Roman"/>
          <w:sz w:val="24"/>
          <w:szCs w:val="23"/>
          <w:lang w:val="es-PE" w:eastAsia="ar-SA"/>
        </w:rPr>
        <w:t xml:space="preserve"> </w:t>
      </w:r>
    </w:p>
    <w:p w14:paraId="1B6988F6" w14:textId="77777777" w:rsidR="00A323F4" w:rsidRPr="007E4E23" w:rsidRDefault="00A323F4" w:rsidP="00A323F4">
      <w:pPr>
        <w:spacing w:after="0" w:line="240" w:lineRule="auto"/>
        <w:jc w:val="both"/>
        <w:rPr>
          <w:rFonts w:ascii="Times New Roman" w:hAnsi="Times New Roman" w:cs="Times New Roman"/>
          <w:b/>
          <w:bCs/>
          <w:i/>
          <w:iCs/>
          <w:sz w:val="23"/>
          <w:szCs w:val="23"/>
          <w:lang w:val="es-PE"/>
        </w:rPr>
      </w:pPr>
      <w:r w:rsidRPr="007E4E23">
        <w:rPr>
          <w:rFonts w:ascii="Times New Roman" w:hAnsi="Times New Roman" w:cs="Times New Roman"/>
          <w:b/>
          <w:bCs/>
          <w:i/>
          <w:iCs/>
          <w:sz w:val="24"/>
          <w:szCs w:val="23"/>
          <w:lang w:val="es-PE"/>
        </w:rPr>
        <w:t>La Secretaría Técnica certifica que la presente resolución cuenta con el voto de los vocales cuyos nombres figuran en el presente documento.</w:t>
      </w:r>
    </w:p>
    <w:p w14:paraId="2B24FCBE" w14:textId="77777777" w:rsidR="008D26BA" w:rsidRPr="007E4E23" w:rsidRDefault="008D26BA" w:rsidP="00A323F4">
      <w:pPr>
        <w:spacing w:after="0" w:line="360" w:lineRule="auto"/>
        <w:jc w:val="both"/>
        <w:rPr>
          <w:rFonts w:ascii="Times New Roman" w:hAnsi="Times New Roman" w:cs="Times New Roman"/>
          <w:b/>
          <w:bCs/>
          <w:i/>
          <w:iCs/>
          <w:sz w:val="23"/>
          <w:szCs w:val="23"/>
          <w:lang w:val="es-PE"/>
        </w:rPr>
      </w:pPr>
    </w:p>
    <w:p w14:paraId="220AA7AD" w14:textId="4331E0E4" w:rsidR="007543CD" w:rsidRPr="007E4E23" w:rsidRDefault="008D26BA" w:rsidP="008D26BA">
      <w:pPr>
        <w:spacing w:after="0" w:line="360" w:lineRule="auto"/>
        <w:jc w:val="center"/>
        <w:rPr>
          <w:rFonts w:ascii="Times New Roman" w:hAnsi="Times New Roman" w:cs="Times New Roman"/>
          <w:b/>
          <w:bCs/>
          <w:sz w:val="23"/>
          <w:szCs w:val="23"/>
          <w:lang w:val="es-PE"/>
        </w:rPr>
      </w:pPr>
      <w:r w:rsidRPr="007E4E23">
        <w:rPr>
          <w:rFonts w:ascii="Times New Roman" w:hAnsi="Times New Roman" w:cs="Times New Roman"/>
          <w:b/>
          <w:bCs/>
          <w:sz w:val="24"/>
          <w:szCs w:val="23"/>
          <w:lang w:val="es-PE"/>
        </w:rPr>
        <w:t xml:space="preserve">Rolando Eyzaguirre </w:t>
      </w:r>
      <w:proofErr w:type="spellStart"/>
      <w:r w:rsidRPr="007E4E23">
        <w:rPr>
          <w:rFonts w:ascii="Times New Roman" w:hAnsi="Times New Roman" w:cs="Times New Roman"/>
          <w:b/>
          <w:bCs/>
          <w:sz w:val="24"/>
          <w:szCs w:val="23"/>
          <w:lang w:val="es-PE"/>
        </w:rPr>
        <w:t>Maccan</w:t>
      </w:r>
      <w:proofErr w:type="spellEnd"/>
      <w:r w:rsidRPr="007E4E23">
        <w:rPr>
          <w:rFonts w:ascii="Times New Roman" w:hAnsi="Times New Roman" w:cs="Times New Roman"/>
          <w:b/>
          <w:bCs/>
          <w:sz w:val="24"/>
          <w:szCs w:val="23"/>
          <w:lang w:val="es-PE"/>
        </w:rPr>
        <w:t xml:space="preserve"> </w:t>
      </w:r>
      <w:r w:rsidR="007543CD" w:rsidRPr="007E4E23">
        <w:rPr>
          <w:rFonts w:ascii="Times New Roman" w:hAnsi="Times New Roman" w:cs="Times New Roman"/>
          <w:b/>
          <w:bCs/>
          <w:sz w:val="24"/>
          <w:szCs w:val="23"/>
          <w:lang w:val="es-PE"/>
        </w:rPr>
        <w:t xml:space="preserve">– </w:t>
      </w:r>
      <w:proofErr w:type="gramStart"/>
      <w:r w:rsidR="007543CD" w:rsidRPr="007E4E23">
        <w:rPr>
          <w:rFonts w:ascii="Times New Roman" w:hAnsi="Times New Roman" w:cs="Times New Roman"/>
          <w:b/>
          <w:bCs/>
          <w:sz w:val="24"/>
          <w:szCs w:val="23"/>
          <w:lang w:val="es-PE"/>
        </w:rPr>
        <w:t>Presidente</w:t>
      </w:r>
      <w:proofErr w:type="gramEnd"/>
    </w:p>
    <w:p w14:paraId="5B7063E0" w14:textId="43329098" w:rsidR="008D26BA" w:rsidRPr="007E4E23" w:rsidRDefault="008D26BA" w:rsidP="008D26BA">
      <w:pPr>
        <w:spacing w:after="0" w:line="360" w:lineRule="auto"/>
        <w:jc w:val="center"/>
        <w:rPr>
          <w:rFonts w:ascii="Times New Roman" w:hAnsi="Times New Roman" w:cs="Times New Roman"/>
          <w:b/>
          <w:bCs/>
          <w:sz w:val="23"/>
          <w:szCs w:val="23"/>
          <w:lang w:val="es-PE"/>
        </w:rPr>
      </w:pPr>
      <w:r w:rsidRPr="007E4E23">
        <w:rPr>
          <w:rFonts w:ascii="Times New Roman" w:hAnsi="Times New Roman" w:cs="Times New Roman"/>
          <w:b/>
          <w:bCs/>
          <w:sz w:val="24"/>
          <w:szCs w:val="23"/>
          <w:lang w:val="es-PE"/>
        </w:rPr>
        <w:t>María Eugenia Valdez Fernández Baca – Vocal</w:t>
      </w:r>
    </w:p>
    <w:p w14:paraId="69BFE54F" w14:textId="628D5C27" w:rsidR="007543CD" w:rsidRPr="007E4E23" w:rsidRDefault="001B08C0" w:rsidP="007543CD">
      <w:pPr>
        <w:spacing w:after="0" w:line="360" w:lineRule="auto"/>
        <w:jc w:val="center"/>
        <w:rPr>
          <w:rFonts w:ascii="Times New Roman" w:hAnsi="Times New Roman" w:cs="Times New Roman"/>
          <w:sz w:val="23"/>
          <w:szCs w:val="23"/>
          <w:lang w:val="es-PE"/>
        </w:rPr>
      </w:pPr>
      <w:r w:rsidRPr="007E4E23">
        <w:rPr>
          <w:rFonts w:ascii="Times New Roman" w:hAnsi="Times New Roman" w:cs="Times New Roman"/>
          <w:b/>
          <w:bCs/>
          <w:sz w:val="24"/>
          <w:szCs w:val="23"/>
        </w:rPr>
        <w:t>Antonio José Rodríguez Lobatón</w:t>
      </w:r>
      <w:r w:rsidRPr="007E4E23">
        <w:rPr>
          <w:rFonts w:ascii="Times New Roman" w:hAnsi="Times New Roman" w:cs="Times New Roman"/>
          <w:b/>
          <w:bCs/>
          <w:sz w:val="24"/>
          <w:szCs w:val="23"/>
          <w:lang w:val="es-PE"/>
        </w:rPr>
        <w:t xml:space="preserve"> </w:t>
      </w:r>
      <w:r w:rsidR="007543CD" w:rsidRPr="007E4E23">
        <w:rPr>
          <w:rFonts w:ascii="Times New Roman" w:hAnsi="Times New Roman" w:cs="Times New Roman"/>
          <w:b/>
          <w:bCs/>
          <w:sz w:val="24"/>
          <w:szCs w:val="23"/>
          <w:lang w:val="es-PE"/>
        </w:rPr>
        <w:t>– Vocal</w:t>
      </w:r>
    </w:p>
    <w:p w14:paraId="412CCBAA" w14:textId="77777777" w:rsidR="00986F0C" w:rsidRPr="009849E6" w:rsidRDefault="00986F0C" w:rsidP="00556526">
      <w:pPr>
        <w:spacing w:after="0" w:line="240" w:lineRule="auto"/>
        <w:jc w:val="center"/>
        <w:rPr>
          <w:rFonts w:ascii="Times New Roman" w:hAnsi="Times New Roman" w:cs="Times New Roman"/>
          <w:b/>
          <w:bCs/>
          <w:sz w:val="24"/>
          <w:szCs w:val="24"/>
          <w:lang w:val="es-PE"/>
        </w:rPr>
      </w:pPr>
    </w:p>
    <w:p w14:paraId="14DFBF1F" w14:textId="77777777" w:rsidR="00C6662D" w:rsidRPr="009849E6" w:rsidRDefault="00C6662D" w:rsidP="00C6662D">
      <w:pPr>
        <w:spacing w:after="0" w:line="240" w:lineRule="auto"/>
        <w:rPr>
          <w:rFonts w:ascii="Times New Roman" w:hAnsi="Times New Roman" w:cs="Times New Roman"/>
          <w:b/>
          <w:bCs/>
          <w:sz w:val="24"/>
          <w:szCs w:val="24"/>
          <w:lang w:val="es-PE"/>
        </w:rPr>
      </w:pPr>
    </w:p>
    <w:p w14:paraId="5D853B0D" w14:textId="088DF411" w:rsidR="00556526" w:rsidRPr="009849E6" w:rsidRDefault="00556526" w:rsidP="00B17E56">
      <w:pPr>
        <w:spacing w:line="240" w:lineRule="auto"/>
        <w:jc w:val="both"/>
        <w:rPr>
          <w:rFonts w:ascii="Times New Roman" w:hAnsi="Times New Roman" w:cs="Times New Roman"/>
          <w:b/>
          <w:bCs/>
          <w:i/>
          <w:iCs/>
          <w:sz w:val="24"/>
          <w:szCs w:val="24"/>
          <w:lang w:val="es-ES_tradnl"/>
        </w:rPr>
      </w:pPr>
    </w:p>
    <w:p w14:paraId="33E0FAB8" w14:textId="77777777" w:rsidR="00C671F5" w:rsidRPr="009849E6" w:rsidRDefault="00C671F5" w:rsidP="00C671F5">
      <w:pPr>
        <w:suppressAutoHyphens/>
        <w:spacing w:after="0" w:line="240" w:lineRule="auto"/>
        <w:outlineLvl w:val="0"/>
        <w:rPr>
          <w:rFonts w:ascii="Times New Roman" w:eastAsia="Arial Unicode MS" w:hAnsi="Times New Roman" w:cs="Times New Roman"/>
          <w:sz w:val="24"/>
          <w:szCs w:val="24"/>
          <w:lang w:val="es-PE" w:eastAsia="ar-SA"/>
        </w:rPr>
      </w:pPr>
    </w:p>
    <w:p w14:paraId="2C3A0205" w14:textId="77777777" w:rsidR="00C671F5" w:rsidRPr="009849E6" w:rsidRDefault="00C671F5" w:rsidP="00C671F5">
      <w:pPr>
        <w:spacing w:line="240" w:lineRule="auto"/>
        <w:rPr>
          <w:rFonts w:ascii="Times New Roman" w:eastAsia="Arial Unicode MS" w:hAnsi="Times New Roman" w:cs="Times New Roman"/>
          <w:sz w:val="24"/>
          <w:szCs w:val="24"/>
          <w:lang w:val="es-ES" w:eastAsia="ar-SA"/>
        </w:rPr>
      </w:pPr>
    </w:p>
    <w:sectPr w:rsidR="00C671F5" w:rsidRPr="009849E6" w:rsidSect="00077B6F">
      <w:headerReference w:type="default" r:id="rId11"/>
      <w:footerReference w:type="default" r:id="rId12"/>
      <w:headerReference w:type="first" r:id="rId15"/>
      <w:footerReference w:type="first" r:id="rId16"/>
      <w:pgSz w:w="11906" w:h="16838"/>
      <w:pgMar w:top="1700" w:right="1420" w:bottom="1400" w:left="14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A9E350" w14:textId="77777777" w:rsidR="00D07E5C" w:rsidRDefault="00D07E5C" w:rsidP="00784355">
      <w:pPr>
        <w:spacing w:after="0" w:line="240" w:lineRule="auto"/>
      </w:pPr>
      <w:r>
        <w:separator/>
      </w:r>
    </w:p>
  </w:endnote>
  <w:endnote w:type="continuationSeparator" w:id="0">
    <w:p w14:paraId="79CD30CB" w14:textId="77777777" w:rsidR="00D07E5C" w:rsidRDefault="00D07E5C" w:rsidP="007843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sz w:val="18"/>
        <w:szCs w:val="18"/>
      </w:rPr>
      <w:id w:val="-552618902"/>
      <w:docPartObj>
        <w:docPartGallery w:val="Page Numbers (Bottom of Page)"/>
        <w:docPartUnique/>
      </w:docPartObj>
    </w:sdtPr>
    <w:sdtContent>
      <w:sdt>
        <w:sdtPr>
          <w:rPr>
            <w:rFonts w:ascii="Times New Roman" w:hAnsi="Times New Roman" w:cs="Times New Roman"/>
            <w:sz w:val="18"/>
            <w:szCs w:val="18"/>
          </w:rPr>
          <w:id w:val="-1769616900"/>
          <w:docPartObj>
            <w:docPartGallery w:val="Page Numbers (Top of Page)"/>
            <w:docPartUnique/>
          </w:docPartObj>
        </w:sdtPr>
        <w:sdtContent>
          <w:p w14:paraId="1A7D4DE2" w14:textId="27FEA839" w:rsidR="00C671F5" w:rsidRPr="00797191" w:rsidRDefault="00C671F5">
            <w:pPr>
              <w:pStyle w:val="Piedepgina"/>
              <w:jc w:val="right"/>
              <w:rPr>
                <w:rFonts w:ascii="Times New Roman" w:hAnsi="Times New Roman" w:cs="Times New Roman"/>
                <w:sz w:val="18"/>
                <w:szCs w:val="18"/>
              </w:rPr>
            </w:pPr>
            <w:r w:rsidRPr="00797191">
              <w:rPr>
                <w:rFonts w:ascii="Times New Roman" w:hAnsi="Times New Roman" w:cs="Times New Roman"/>
                <w:sz w:val="18"/>
                <w:szCs w:val="18"/>
                <w:lang w:val="es-ES"/>
              </w:rPr>
              <w:t xml:space="preserve">Página </w:t>
            </w:r>
            <w:r w:rsidRPr="00797191">
              <w:rPr>
                <w:rFonts w:ascii="Times New Roman" w:hAnsi="Times New Roman" w:cs="Times New Roman"/>
                <w:b/>
                <w:bCs/>
                <w:sz w:val="18"/>
                <w:szCs w:val="18"/>
              </w:rPr>
              <w:fldChar w:fldCharType="begin"/>
            </w:r>
            <w:r w:rsidRPr="00797191">
              <w:rPr>
                <w:rFonts w:ascii="Times New Roman" w:hAnsi="Times New Roman" w:cs="Times New Roman"/>
                <w:b/>
                <w:bCs/>
                <w:sz w:val="18"/>
                <w:szCs w:val="18"/>
              </w:rPr>
              <w:instrText>PAGE</w:instrText>
            </w:r>
            <w:r w:rsidRPr="00797191">
              <w:rPr>
                <w:rFonts w:ascii="Times New Roman" w:hAnsi="Times New Roman" w:cs="Times New Roman"/>
                <w:b/>
                <w:bCs/>
                <w:sz w:val="18"/>
                <w:szCs w:val="18"/>
              </w:rPr>
              <w:fldChar w:fldCharType="separate"/>
            </w:r>
            <w:r w:rsidRPr="00797191">
              <w:rPr>
                <w:rFonts w:ascii="Times New Roman" w:hAnsi="Times New Roman" w:cs="Times New Roman"/>
                <w:b/>
                <w:bCs/>
                <w:sz w:val="18"/>
                <w:szCs w:val="18"/>
                <w:lang w:val="es-ES"/>
              </w:rPr>
              <w:t>2</w:t>
            </w:r>
            <w:r w:rsidRPr="00797191">
              <w:rPr>
                <w:rFonts w:ascii="Times New Roman" w:hAnsi="Times New Roman" w:cs="Times New Roman"/>
                <w:b/>
                <w:bCs/>
                <w:sz w:val="18"/>
                <w:szCs w:val="18"/>
              </w:rPr>
              <w:fldChar w:fldCharType="end"/>
            </w:r>
            <w:r w:rsidRPr="00797191">
              <w:rPr>
                <w:rFonts w:ascii="Times New Roman" w:hAnsi="Times New Roman" w:cs="Times New Roman"/>
                <w:sz w:val="18"/>
                <w:szCs w:val="18"/>
                <w:lang w:val="es-ES"/>
              </w:rPr>
              <w:t xml:space="preserve"> de </w:t>
            </w:r>
            <w:r w:rsidRPr="00797191">
              <w:rPr>
                <w:rFonts w:ascii="Times New Roman" w:hAnsi="Times New Roman" w:cs="Times New Roman"/>
                <w:b/>
                <w:bCs/>
                <w:sz w:val="18"/>
                <w:szCs w:val="18"/>
              </w:rPr>
              <w:fldChar w:fldCharType="begin"/>
            </w:r>
            <w:r w:rsidRPr="00797191">
              <w:rPr>
                <w:rFonts w:ascii="Times New Roman" w:hAnsi="Times New Roman" w:cs="Times New Roman"/>
                <w:b/>
                <w:bCs/>
                <w:sz w:val="18"/>
                <w:szCs w:val="18"/>
              </w:rPr>
              <w:instrText>NUMPAGES</w:instrText>
            </w:r>
            <w:r w:rsidRPr="00797191">
              <w:rPr>
                <w:rFonts w:ascii="Times New Roman" w:hAnsi="Times New Roman" w:cs="Times New Roman"/>
                <w:b/>
                <w:bCs/>
                <w:sz w:val="18"/>
                <w:szCs w:val="18"/>
              </w:rPr>
              <w:fldChar w:fldCharType="separate"/>
            </w:r>
            <w:r w:rsidRPr="00797191">
              <w:rPr>
                <w:rFonts w:ascii="Times New Roman" w:hAnsi="Times New Roman" w:cs="Times New Roman"/>
                <w:b/>
                <w:bCs/>
                <w:sz w:val="18"/>
                <w:szCs w:val="18"/>
                <w:lang w:val="es-ES"/>
              </w:rPr>
              <w:t>2</w:t>
            </w:r>
            <w:r w:rsidRPr="00797191">
              <w:rPr>
                <w:rFonts w:ascii="Times New Roman" w:hAnsi="Times New Roman" w:cs="Times New Roman"/>
                <w:b/>
                <w:bCs/>
                <w:sz w:val="18"/>
                <w:szCs w:val="18"/>
              </w:rPr>
              <w:fldChar w:fldCharType="end"/>
            </w:r>
          </w:p>
        </w:sdtContent>
      </w:sdt>
    </w:sdtContent>
  </w:sdt>
  <w:p w14:paraId="3BA05C52" w14:textId="77777777" w:rsidR="00784355" w:rsidRDefault="00784355">
    <w:pPr>
      <w:pStyle w:val="Piedepgina"/>
      <w:spacing w:line="240" w:lineRule="auto"/>
    </w:pP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F69E64" w14:textId="77777777" w:rsidR="00D07E5C" w:rsidRDefault="00D07E5C" w:rsidP="00784355">
      <w:pPr>
        <w:spacing w:after="0" w:line="240" w:lineRule="auto"/>
      </w:pPr>
      <w:r>
        <w:separator/>
      </w:r>
    </w:p>
  </w:footnote>
  <w:footnote w:type="continuationSeparator" w:id="0">
    <w:p w14:paraId="412A790D" w14:textId="77777777" w:rsidR="00D07E5C" w:rsidRDefault="00D07E5C" w:rsidP="0078435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10BC29" w14:textId="579E5393" w:rsidR="00C671F5" w:rsidRDefault="00C671F5">
    <w:pPr>
      <w:pStyle w:val="Encabezado"/>
      <w:spacing w:line="240" w:lineRule="auto"/>
      <w:jc w:val="left"/>
    </w:pPr>
    <w:r>
      <w:rPr>
        <w:rFonts w:ascii="Times New Roman" w:hAnsi="Times New Roman"/>
        <w:sz w:val="24"/>
      </w:rPr>
      <w:t xml:space="preserve"/>
    </w:r>
    <w:r>
      <w:rPr>
        <w:rFonts w:ascii="Times New Roman" w:hAnsi="Times New Roman"/>
        <w:sz w:val="24"/>
      </w:rPr>
      <w:drawing>
        <wp:inline xmlns:a="http://schemas.openxmlformats.org/drawingml/2006/main" xmlns:pic="http://schemas.openxmlformats.org/drawingml/2006/picture">
          <wp:extent cx="2468880" cy="832529"/>
          <wp:docPr id="1" name="Picture 1"/>
          <wp:cNvGraphicFramePr>
            <a:graphicFrameLocks noChangeAspect="1"/>
          </wp:cNvGraphicFramePr>
          <a:graphic>
            <a:graphicData uri="http://schemas.openxmlformats.org/drawingml/2006/picture">
              <pic:pic>
                <pic:nvPicPr>
                  <pic:cNvPr id="0" name="fa177bcd-12e5-48bd-b0d9-586eed564aa5.png"/>
                  <pic:cNvPicPr/>
                </pic:nvPicPr>
                <pic:blipFill>
                  <a:blip r:embed="rId2"/>
                  <a:stretch>
                    <a:fillRect/>
                  </a:stretch>
                </pic:blipFill>
                <pic:spPr>
                  <a:xfrm>
                    <a:off x="0" y="0"/>
                    <a:ext cx="2468880" cy="832529"/>
                  </a:xfrm>
                  <a:prstGeom prst="rect"/>
                </pic:spPr>
              </pic:pic>
            </a:graphicData>
          </a:graphic>
        </wp:inline>
      </w:drawing>
    </w:r>
  </w:p>
  <w:p w14:paraId="52A8D4E0" w14:textId="77777777" w:rsidR="00C671F5" w:rsidRDefault="00C671F5">
    <w:pPr>
      <w:pStyle w:val="Encabezado"/>
      <w:spacing w:line="240" w:lineRule="auto"/>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line="24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44FDA"/>
    <w:multiLevelType w:val="hybridMultilevel"/>
    <w:tmpl w:val="DA1CE54A"/>
    <w:lvl w:ilvl="0" w:tplc="7BC48EC0">
      <w:numFmt w:val="bullet"/>
      <w:lvlText w:val="-"/>
      <w:lvlJc w:val="left"/>
      <w:pPr>
        <w:ind w:left="720" w:hanging="360"/>
      </w:pPr>
      <w:rPr>
        <w:rFonts w:ascii="Times New Roman" w:eastAsiaTheme="minorHAnsi" w:hAnsi="Times New Roman" w:cs="Times New Roman"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 w15:restartNumberingAfterBreak="0">
    <w:nsid w:val="035E57C4"/>
    <w:multiLevelType w:val="hybridMultilevel"/>
    <w:tmpl w:val="6874A60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 w15:restartNumberingAfterBreak="0">
    <w:nsid w:val="03D77696"/>
    <w:multiLevelType w:val="hybridMultilevel"/>
    <w:tmpl w:val="9A7C1F9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04223664"/>
    <w:multiLevelType w:val="hybridMultilevel"/>
    <w:tmpl w:val="ADE6D766"/>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 w15:restartNumberingAfterBreak="0">
    <w:nsid w:val="046D6F02"/>
    <w:multiLevelType w:val="hybridMultilevel"/>
    <w:tmpl w:val="CADE2F90"/>
    <w:lvl w:ilvl="0" w:tplc="95AEB3EA">
      <w:start w:val="1"/>
      <w:numFmt w:val="bullet"/>
      <w:lvlText w:val="-"/>
      <w:lvlJc w:val="left"/>
      <w:pPr>
        <w:ind w:left="720" w:hanging="360"/>
      </w:pPr>
      <w:rPr>
        <w:rFonts w:ascii="Times New Roman" w:eastAsiaTheme="minorHAnsi" w:hAnsi="Times New Roman" w:cs="Times New Roman"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5" w15:restartNumberingAfterBreak="0">
    <w:nsid w:val="07EE5EF4"/>
    <w:multiLevelType w:val="multilevel"/>
    <w:tmpl w:val="EC0C25EA"/>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0E092A47"/>
    <w:multiLevelType w:val="hybridMultilevel"/>
    <w:tmpl w:val="1B168458"/>
    <w:lvl w:ilvl="0" w:tplc="F7CC02E2">
      <w:numFmt w:val="bullet"/>
      <w:lvlText w:val="-"/>
      <w:lvlJc w:val="left"/>
      <w:pPr>
        <w:ind w:left="720" w:hanging="360"/>
      </w:pPr>
      <w:rPr>
        <w:rFonts w:ascii="Times New Roman" w:eastAsiaTheme="minorHAnsi" w:hAnsi="Times New Roman" w:cs="Times New Roman"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7" w15:restartNumberingAfterBreak="0">
    <w:nsid w:val="0EDF3783"/>
    <w:multiLevelType w:val="hybridMultilevel"/>
    <w:tmpl w:val="61684612"/>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8" w15:restartNumberingAfterBreak="0">
    <w:nsid w:val="10E005B8"/>
    <w:multiLevelType w:val="hybridMultilevel"/>
    <w:tmpl w:val="6310B7D8"/>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9" w15:restartNumberingAfterBreak="0">
    <w:nsid w:val="12946DD6"/>
    <w:multiLevelType w:val="hybridMultilevel"/>
    <w:tmpl w:val="5A840A6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131C54E5"/>
    <w:multiLevelType w:val="hybridMultilevel"/>
    <w:tmpl w:val="54B61D7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175722F9"/>
    <w:multiLevelType w:val="hybridMultilevel"/>
    <w:tmpl w:val="6CF4460A"/>
    <w:lvl w:ilvl="0" w:tplc="786A0FB2">
      <w:start w:val="1"/>
      <w:numFmt w:val="bullet"/>
      <w:lvlText w:val="-"/>
      <w:lvlJc w:val="left"/>
      <w:pPr>
        <w:ind w:left="720" w:hanging="360"/>
      </w:pPr>
      <w:rPr>
        <w:rFonts w:ascii="Times New Roman" w:eastAsiaTheme="minorHAnsi" w:hAnsi="Times New Roman" w:cs="Times New Roman"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12" w15:restartNumberingAfterBreak="0">
    <w:nsid w:val="176D6280"/>
    <w:multiLevelType w:val="multilevel"/>
    <w:tmpl w:val="17EAB32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3" w15:restartNumberingAfterBreak="0">
    <w:nsid w:val="1B6656EF"/>
    <w:multiLevelType w:val="hybridMultilevel"/>
    <w:tmpl w:val="84343FF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1B9607AE"/>
    <w:multiLevelType w:val="hybridMultilevel"/>
    <w:tmpl w:val="5690589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5" w15:restartNumberingAfterBreak="0">
    <w:nsid w:val="1CAF291C"/>
    <w:multiLevelType w:val="hybridMultilevel"/>
    <w:tmpl w:val="F30CD97A"/>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6" w15:restartNumberingAfterBreak="0">
    <w:nsid w:val="22E67CFF"/>
    <w:multiLevelType w:val="hybridMultilevel"/>
    <w:tmpl w:val="195AD7A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7" w15:restartNumberingAfterBreak="0">
    <w:nsid w:val="2A996C31"/>
    <w:multiLevelType w:val="hybridMultilevel"/>
    <w:tmpl w:val="D0ACEEF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8" w15:restartNumberingAfterBreak="0">
    <w:nsid w:val="2D1C3595"/>
    <w:multiLevelType w:val="hybridMultilevel"/>
    <w:tmpl w:val="D7383248"/>
    <w:lvl w:ilvl="0" w:tplc="3FE49FC6">
      <w:start w:val="1"/>
      <w:numFmt w:val="decimal"/>
      <w:lvlText w:val="%1)"/>
      <w:lvlJc w:val="left"/>
      <w:pPr>
        <w:ind w:left="720" w:hanging="360"/>
      </w:pPr>
      <w:rPr>
        <w:rFonts w:ascii="Times New Roman" w:eastAsiaTheme="minorHAnsi" w:hAnsi="Times New Roman" w:cs="Times New Roman"/>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9" w15:restartNumberingAfterBreak="0">
    <w:nsid w:val="30376E9A"/>
    <w:multiLevelType w:val="multilevel"/>
    <w:tmpl w:val="2084A86C"/>
    <w:lvl w:ilvl="0">
      <w:start w:val="2"/>
      <w:numFmt w:val="decimal"/>
      <w:lvlText w:val="%1."/>
      <w:lvlJc w:val="left"/>
      <w:pPr>
        <w:tabs>
          <w:tab w:val="num" w:pos="360"/>
        </w:tabs>
        <w:ind w:left="360" w:hanging="360"/>
      </w:pPr>
    </w:lvl>
    <w:lvl w:ilvl="1">
      <w:start w:val="1"/>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1800"/>
        </w:tabs>
        <w:ind w:left="1800" w:hanging="1800"/>
      </w:pPr>
    </w:lvl>
  </w:abstractNum>
  <w:abstractNum w:abstractNumId="20" w15:restartNumberingAfterBreak="0">
    <w:nsid w:val="31105F55"/>
    <w:multiLevelType w:val="hybridMultilevel"/>
    <w:tmpl w:val="9BEC2DFA"/>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1" w15:restartNumberingAfterBreak="0">
    <w:nsid w:val="35D72AE6"/>
    <w:multiLevelType w:val="hybridMultilevel"/>
    <w:tmpl w:val="09B01E2C"/>
    <w:lvl w:ilvl="0" w:tplc="2D64B63E">
      <w:start w:val="1"/>
      <w:numFmt w:val="bullet"/>
      <w:lvlText w:val="-"/>
      <w:lvlJc w:val="left"/>
      <w:pPr>
        <w:ind w:left="720" w:hanging="360"/>
      </w:pPr>
      <w:rPr>
        <w:rFonts w:ascii="Times New Roman" w:eastAsiaTheme="minorHAnsi" w:hAnsi="Times New Roman" w:cs="Times New Roman"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22" w15:restartNumberingAfterBreak="0">
    <w:nsid w:val="35F82540"/>
    <w:multiLevelType w:val="hybridMultilevel"/>
    <w:tmpl w:val="E472A49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3" w15:restartNumberingAfterBreak="0">
    <w:nsid w:val="368303A4"/>
    <w:multiLevelType w:val="hybridMultilevel"/>
    <w:tmpl w:val="263C495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4" w15:restartNumberingAfterBreak="0">
    <w:nsid w:val="37D7643D"/>
    <w:multiLevelType w:val="hybridMultilevel"/>
    <w:tmpl w:val="B20C16B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5" w15:restartNumberingAfterBreak="0">
    <w:nsid w:val="3855422B"/>
    <w:multiLevelType w:val="hybridMultilevel"/>
    <w:tmpl w:val="6928B3CC"/>
    <w:lvl w:ilvl="0" w:tplc="2FD8C1F4">
      <w:start w:val="1"/>
      <w:numFmt w:val="upperLetter"/>
      <w:lvlText w:val="%1)"/>
      <w:lvlJc w:val="left"/>
      <w:pPr>
        <w:ind w:left="360" w:hanging="36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26" w15:restartNumberingAfterBreak="0">
    <w:nsid w:val="3E18678C"/>
    <w:multiLevelType w:val="hybridMultilevel"/>
    <w:tmpl w:val="BF8E2F0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7" w15:restartNumberingAfterBreak="0">
    <w:nsid w:val="41617A76"/>
    <w:multiLevelType w:val="hybridMultilevel"/>
    <w:tmpl w:val="56E8743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8" w15:restartNumberingAfterBreak="0">
    <w:nsid w:val="42C94E54"/>
    <w:multiLevelType w:val="hybridMultilevel"/>
    <w:tmpl w:val="506E09A6"/>
    <w:lvl w:ilvl="0" w:tplc="5EE01CA2">
      <w:start w:val="1"/>
      <w:numFmt w:val="lowerLetter"/>
      <w:lvlText w:val="%1)"/>
      <w:lvlJc w:val="left"/>
      <w:pPr>
        <w:ind w:left="720" w:hanging="360"/>
      </w:pPr>
      <w:rPr>
        <w:rFonts w:ascii="Arial Narrow" w:eastAsia="Times New Roman" w:hAnsi="Arial Narrow" w:cs="Arial"/>
      </w:rPr>
    </w:lvl>
    <w:lvl w:ilvl="1" w:tplc="0C0A0003">
      <w:numFmt w:val="decimal"/>
      <w:lvlText w:val="o"/>
      <w:lvlJc w:val="left"/>
      <w:pPr>
        <w:ind w:left="1440" w:hanging="360"/>
      </w:pPr>
      <w:rPr>
        <w:rFonts w:ascii="Courier New" w:hAnsi="Courier New" w:cs="Courier New" w:hint="default"/>
      </w:rPr>
    </w:lvl>
    <w:lvl w:ilvl="2" w:tplc="0C0A0005">
      <w:numFmt w:val="decimal"/>
      <w:lvlText w:val=""/>
      <w:lvlJc w:val="left"/>
      <w:pPr>
        <w:ind w:left="2160" w:hanging="360"/>
      </w:pPr>
      <w:rPr>
        <w:rFonts w:ascii="Wingdings" w:hAnsi="Wingdings" w:hint="default"/>
      </w:rPr>
    </w:lvl>
    <w:lvl w:ilvl="3" w:tplc="0C0A0001">
      <w:numFmt w:val="decimal"/>
      <w:lvlText w:val=""/>
      <w:lvlJc w:val="left"/>
      <w:pPr>
        <w:ind w:left="2880" w:hanging="360"/>
      </w:pPr>
      <w:rPr>
        <w:rFonts w:ascii="Symbol" w:hAnsi="Symbol" w:hint="default"/>
      </w:rPr>
    </w:lvl>
    <w:lvl w:ilvl="4" w:tplc="0C0A0003">
      <w:numFmt w:val="decimal"/>
      <w:lvlText w:val="o"/>
      <w:lvlJc w:val="left"/>
      <w:pPr>
        <w:ind w:left="3600" w:hanging="360"/>
      </w:pPr>
      <w:rPr>
        <w:rFonts w:ascii="Courier New" w:hAnsi="Courier New" w:cs="Courier New" w:hint="default"/>
      </w:rPr>
    </w:lvl>
    <w:lvl w:ilvl="5" w:tplc="0C0A0005">
      <w:numFmt w:val="decimal"/>
      <w:lvlText w:val=""/>
      <w:lvlJc w:val="left"/>
      <w:pPr>
        <w:ind w:left="4320" w:hanging="360"/>
      </w:pPr>
      <w:rPr>
        <w:rFonts w:ascii="Wingdings" w:hAnsi="Wingdings" w:hint="default"/>
      </w:rPr>
    </w:lvl>
    <w:lvl w:ilvl="6" w:tplc="0C0A0001">
      <w:numFmt w:val="decimal"/>
      <w:lvlText w:val=""/>
      <w:lvlJc w:val="left"/>
      <w:pPr>
        <w:ind w:left="5040" w:hanging="360"/>
      </w:pPr>
      <w:rPr>
        <w:rFonts w:ascii="Symbol" w:hAnsi="Symbol" w:hint="default"/>
      </w:rPr>
    </w:lvl>
    <w:lvl w:ilvl="7" w:tplc="0C0A0003">
      <w:numFmt w:val="decimal"/>
      <w:lvlText w:val="o"/>
      <w:lvlJc w:val="left"/>
      <w:pPr>
        <w:ind w:left="5760" w:hanging="360"/>
      </w:pPr>
      <w:rPr>
        <w:rFonts w:ascii="Courier New" w:hAnsi="Courier New" w:cs="Courier New" w:hint="default"/>
      </w:rPr>
    </w:lvl>
    <w:lvl w:ilvl="8" w:tplc="0C0A0005">
      <w:numFmt w:val="decimal"/>
      <w:lvlText w:val=""/>
      <w:lvlJc w:val="left"/>
      <w:pPr>
        <w:ind w:left="6480" w:hanging="360"/>
      </w:pPr>
      <w:rPr>
        <w:rFonts w:ascii="Wingdings" w:hAnsi="Wingdings" w:hint="default"/>
      </w:rPr>
    </w:lvl>
  </w:abstractNum>
  <w:abstractNum w:abstractNumId="29" w15:restartNumberingAfterBreak="0">
    <w:nsid w:val="42CD7C71"/>
    <w:multiLevelType w:val="hybridMultilevel"/>
    <w:tmpl w:val="98766DA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0" w15:restartNumberingAfterBreak="0">
    <w:nsid w:val="43276DD0"/>
    <w:multiLevelType w:val="hybridMultilevel"/>
    <w:tmpl w:val="A564606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1" w15:restartNumberingAfterBreak="0">
    <w:nsid w:val="456C0ACA"/>
    <w:multiLevelType w:val="hybridMultilevel"/>
    <w:tmpl w:val="486244DC"/>
    <w:lvl w:ilvl="0" w:tplc="377608F0">
      <w:start w:val="1"/>
      <w:numFmt w:val="decimal"/>
      <w:lvlText w:val="%1."/>
      <w:lvlJc w:val="left"/>
      <w:pPr>
        <w:ind w:left="720" w:hanging="360"/>
      </w:pPr>
      <w:rPr>
        <w:rFonts w:eastAsia="Arial Unicode M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2" w15:restartNumberingAfterBreak="0">
    <w:nsid w:val="45E05C8C"/>
    <w:multiLevelType w:val="hybridMultilevel"/>
    <w:tmpl w:val="91D4F5F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3" w15:restartNumberingAfterBreak="0">
    <w:nsid w:val="4DE64270"/>
    <w:multiLevelType w:val="hybridMultilevel"/>
    <w:tmpl w:val="8340AC0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4" w15:restartNumberingAfterBreak="0">
    <w:nsid w:val="4E3B6F4F"/>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5" w15:restartNumberingAfterBreak="0">
    <w:nsid w:val="553520A4"/>
    <w:multiLevelType w:val="hybridMultilevel"/>
    <w:tmpl w:val="D6DC67F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6" w15:restartNumberingAfterBreak="0">
    <w:nsid w:val="690F34A9"/>
    <w:multiLevelType w:val="hybridMultilevel"/>
    <w:tmpl w:val="357AF0D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7" w15:restartNumberingAfterBreak="0">
    <w:nsid w:val="6B6A155F"/>
    <w:multiLevelType w:val="hybridMultilevel"/>
    <w:tmpl w:val="13CE1B42"/>
    <w:lvl w:ilvl="0" w:tplc="21368AC2">
      <w:start w:val="1"/>
      <w:numFmt w:val="lowerLetter"/>
      <w:lvlText w:val="%1)"/>
      <w:lvlJc w:val="left"/>
      <w:pPr>
        <w:ind w:left="720" w:hanging="360"/>
      </w:pPr>
      <w:rPr>
        <w:rFonts w:ascii="Times New Roman" w:eastAsiaTheme="minorHAnsi" w:hAnsi="Times New Roman" w:cs="Times New Roman"/>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8" w15:restartNumberingAfterBreak="0">
    <w:nsid w:val="72B00E5D"/>
    <w:multiLevelType w:val="hybridMultilevel"/>
    <w:tmpl w:val="9FF05DC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9" w15:restartNumberingAfterBreak="0">
    <w:nsid w:val="75EC3B23"/>
    <w:multiLevelType w:val="hybridMultilevel"/>
    <w:tmpl w:val="5150C97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0" w15:restartNumberingAfterBreak="0">
    <w:nsid w:val="7F773AEA"/>
    <w:multiLevelType w:val="hybridMultilevel"/>
    <w:tmpl w:val="7BB671D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711341704">
    <w:abstractNumId w:val="5"/>
  </w:num>
  <w:num w:numId="2" w16cid:durableId="1929533434">
    <w:abstractNumId w:val="35"/>
  </w:num>
  <w:num w:numId="3" w16cid:durableId="333261791">
    <w:abstractNumId w:val="32"/>
  </w:num>
  <w:num w:numId="4" w16cid:durableId="1770345525">
    <w:abstractNumId w:val="31"/>
  </w:num>
  <w:num w:numId="5" w16cid:durableId="1816144979">
    <w:abstractNumId w:val="34"/>
  </w:num>
  <w:num w:numId="6" w16cid:durableId="1304313350">
    <w:abstractNumId w:val="1"/>
  </w:num>
  <w:num w:numId="7" w16cid:durableId="1668288094">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00435886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702179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986319302">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44453755">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805318463">
    <w:abstractNumId w:val="4"/>
  </w:num>
  <w:num w:numId="13" w16cid:durableId="166890441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24611379">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702047344">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50199404">
    <w:abstractNumId w:val="21"/>
  </w:num>
  <w:num w:numId="17" w16cid:durableId="179988231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18065860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8502964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453913797">
    <w:abstractNumId w:val="6"/>
  </w:num>
  <w:num w:numId="21" w16cid:durableId="196457426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57528190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73750363">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02760541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270162811">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87322751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573809444">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708605470">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00042749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65445045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777916714">
    <w:abstractNumId w:val="7"/>
  </w:num>
  <w:num w:numId="32" w16cid:durableId="710543418">
    <w:abstractNumId w:val="3"/>
  </w:num>
  <w:num w:numId="33" w16cid:durableId="93482823">
    <w:abstractNumId w:val="0"/>
  </w:num>
  <w:num w:numId="34" w16cid:durableId="22533479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369571147">
    <w:abstractNumId w:val="11"/>
  </w:num>
  <w:num w:numId="36" w16cid:durableId="459424015">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57524168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62392188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80381453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570188198">
    <w:abstractNumId w:val="28"/>
  </w:num>
  <w:num w:numId="41" w16cid:durableId="472524592">
    <w:abstractNumId w:val="1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C99"/>
    <w:rsid w:val="000010A4"/>
    <w:rsid w:val="0000190A"/>
    <w:rsid w:val="0000279F"/>
    <w:rsid w:val="00003141"/>
    <w:rsid w:val="00005B96"/>
    <w:rsid w:val="00007954"/>
    <w:rsid w:val="00007C03"/>
    <w:rsid w:val="00010987"/>
    <w:rsid w:val="00013057"/>
    <w:rsid w:val="000159CC"/>
    <w:rsid w:val="00015C22"/>
    <w:rsid w:val="000167E0"/>
    <w:rsid w:val="00017572"/>
    <w:rsid w:val="000235E9"/>
    <w:rsid w:val="0002637D"/>
    <w:rsid w:val="0002733C"/>
    <w:rsid w:val="00027978"/>
    <w:rsid w:val="00032687"/>
    <w:rsid w:val="0003359A"/>
    <w:rsid w:val="00033AB1"/>
    <w:rsid w:val="00035A04"/>
    <w:rsid w:val="0004480C"/>
    <w:rsid w:val="000505E9"/>
    <w:rsid w:val="000512AD"/>
    <w:rsid w:val="0005357E"/>
    <w:rsid w:val="00053740"/>
    <w:rsid w:val="00053D16"/>
    <w:rsid w:val="00056D9F"/>
    <w:rsid w:val="00057D0A"/>
    <w:rsid w:val="0006153B"/>
    <w:rsid w:val="000619A2"/>
    <w:rsid w:val="00062301"/>
    <w:rsid w:val="00063183"/>
    <w:rsid w:val="0006548C"/>
    <w:rsid w:val="00065584"/>
    <w:rsid w:val="00070DB6"/>
    <w:rsid w:val="00071A25"/>
    <w:rsid w:val="0007301A"/>
    <w:rsid w:val="00073EC5"/>
    <w:rsid w:val="00076E73"/>
    <w:rsid w:val="00077B6F"/>
    <w:rsid w:val="000802ED"/>
    <w:rsid w:val="00080A9A"/>
    <w:rsid w:val="000835CB"/>
    <w:rsid w:val="00083D69"/>
    <w:rsid w:val="00083F50"/>
    <w:rsid w:val="00084148"/>
    <w:rsid w:val="0008486A"/>
    <w:rsid w:val="00091C09"/>
    <w:rsid w:val="00092684"/>
    <w:rsid w:val="0009404A"/>
    <w:rsid w:val="00095105"/>
    <w:rsid w:val="000969D2"/>
    <w:rsid w:val="00096CCA"/>
    <w:rsid w:val="000A02E6"/>
    <w:rsid w:val="000A1DAF"/>
    <w:rsid w:val="000A4C6A"/>
    <w:rsid w:val="000A53CB"/>
    <w:rsid w:val="000A55BA"/>
    <w:rsid w:val="000A5666"/>
    <w:rsid w:val="000A5CAA"/>
    <w:rsid w:val="000B19A0"/>
    <w:rsid w:val="000B2CB1"/>
    <w:rsid w:val="000B58D8"/>
    <w:rsid w:val="000C0734"/>
    <w:rsid w:val="000C1AAB"/>
    <w:rsid w:val="000C321D"/>
    <w:rsid w:val="000D5F00"/>
    <w:rsid w:val="000E11BA"/>
    <w:rsid w:val="000E3730"/>
    <w:rsid w:val="000F17DA"/>
    <w:rsid w:val="000F2FE5"/>
    <w:rsid w:val="000F56CC"/>
    <w:rsid w:val="000F6340"/>
    <w:rsid w:val="000F7060"/>
    <w:rsid w:val="00105F32"/>
    <w:rsid w:val="00111342"/>
    <w:rsid w:val="0011308C"/>
    <w:rsid w:val="00116B6A"/>
    <w:rsid w:val="0012166D"/>
    <w:rsid w:val="00125B9B"/>
    <w:rsid w:val="0013051A"/>
    <w:rsid w:val="001320DF"/>
    <w:rsid w:val="00136E12"/>
    <w:rsid w:val="001373AF"/>
    <w:rsid w:val="001377EF"/>
    <w:rsid w:val="00140BBE"/>
    <w:rsid w:val="001457A0"/>
    <w:rsid w:val="0014650D"/>
    <w:rsid w:val="00150874"/>
    <w:rsid w:val="001508BC"/>
    <w:rsid w:val="001529FE"/>
    <w:rsid w:val="00157979"/>
    <w:rsid w:val="00160034"/>
    <w:rsid w:val="00160361"/>
    <w:rsid w:val="00167EDA"/>
    <w:rsid w:val="001703D8"/>
    <w:rsid w:val="00170E39"/>
    <w:rsid w:val="00171DF3"/>
    <w:rsid w:val="00174918"/>
    <w:rsid w:val="001749D2"/>
    <w:rsid w:val="00174DA5"/>
    <w:rsid w:val="00181908"/>
    <w:rsid w:val="00181DCE"/>
    <w:rsid w:val="00185E11"/>
    <w:rsid w:val="00186D49"/>
    <w:rsid w:val="00187BFD"/>
    <w:rsid w:val="00190FBE"/>
    <w:rsid w:val="0019385F"/>
    <w:rsid w:val="00196365"/>
    <w:rsid w:val="001965DE"/>
    <w:rsid w:val="001A008A"/>
    <w:rsid w:val="001A3395"/>
    <w:rsid w:val="001A43EC"/>
    <w:rsid w:val="001A44E1"/>
    <w:rsid w:val="001A5178"/>
    <w:rsid w:val="001A555F"/>
    <w:rsid w:val="001A57AC"/>
    <w:rsid w:val="001B08C0"/>
    <w:rsid w:val="001B1E59"/>
    <w:rsid w:val="001B26F1"/>
    <w:rsid w:val="001B3EE9"/>
    <w:rsid w:val="001B58A3"/>
    <w:rsid w:val="001B75E0"/>
    <w:rsid w:val="001C052B"/>
    <w:rsid w:val="001C0A05"/>
    <w:rsid w:val="001C3A70"/>
    <w:rsid w:val="001C4A47"/>
    <w:rsid w:val="001D0EED"/>
    <w:rsid w:val="001D59D9"/>
    <w:rsid w:val="001D6136"/>
    <w:rsid w:val="001E119C"/>
    <w:rsid w:val="001E1C8C"/>
    <w:rsid w:val="001E6657"/>
    <w:rsid w:val="001F0F3A"/>
    <w:rsid w:val="00201C0D"/>
    <w:rsid w:val="00204407"/>
    <w:rsid w:val="00205C9E"/>
    <w:rsid w:val="00206718"/>
    <w:rsid w:val="0020749F"/>
    <w:rsid w:val="002108AD"/>
    <w:rsid w:val="00211482"/>
    <w:rsid w:val="00211977"/>
    <w:rsid w:val="002130B0"/>
    <w:rsid w:val="0021627D"/>
    <w:rsid w:val="00225288"/>
    <w:rsid w:val="00227D02"/>
    <w:rsid w:val="00231C58"/>
    <w:rsid w:val="002331C3"/>
    <w:rsid w:val="00234777"/>
    <w:rsid w:val="00234A33"/>
    <w:rsid w:val="00236B66"/>
    <w:rsid w:val="002370A8"/>
    <w:rsid w:val="00241719"/>
    <w:rsid w:val="00242425"/>
    <w:rsid w:val="00243F6B"/>
    <w:rsid w:val="002528B8"/>
    <w:rsid w:val="00253F42"/>
    <w:rsid w:val="00255C05"/>
    <w:rsid w:val="0026162A"/>
    <w:rsid w:val="00264D9A"/>
    <w:rsid w:val="0027261F"/>
    <w:rsid w:val="00272F4F"/>
    <w:rsid w:val="0027301E"/>
    <w:rsid w:val="00274985"/>
    <w:rsid w:val="002768C6"/>
    <w:rsid w:val="00276A92"/>
    <w:rsid w:val="00277667"/>
    <w:rsid w:val="002809AB"/>
    <w:rsid w:val="002830BC"/>
    <w:rsid w:val="00283E79"/>
    <w:rsid w:val="00286C15"/>
    <w:rsid w:val="002905EB"/>
    <w:rsid w:val="00290CA4"/>
    <w:rsid w:val="00294D98"/>
    <w:rsid w:val="00295828"/>
    <w:rsid w:val="0029673E"/>
    <w:rsid w:val="002A31D3"/>
    <w:rsid w:val="002A3D36"/>
    <w:rsid w:val="002A7E2E"/>
    <w:rsid w:val="002B1654"/>
    <w:rsid w:val="002B726E"/>
    <w:rsid w:val="002C2A0F"/>
    <w:rsid w:val="002C2CEC"/>
    <w:rsid w:val="002C6367"/>
    <w:rsid w:val="002C7B97"/>
    <w:rsid w:val="002D0DB0"/>
    <w:rsid w:val="002D3318"/>
    <w:rsid w:val="002D3B01"/>
    <w:rsid w:val="002D4134"/>
    <w:rsid w:val="002D4977"/>
    <w:rsid w:val="002E0275"/>
    <w:rsid w:val="002E1221"/>
    <w:rsid w:val="002E17CF"/>
    <w:rsid w:val="002E17F9"/>
    <w:rsid w:val="002F09CA"/>
    <w:rsid w:val="002F35F0"/>
    <w:rsid w:val="002F478E"/>
    <w:rsid w:val="00300DDA"/>
    <w:rsid w:val="003045E3"/>
    <w:rsid w:val="00314603"/>
    <w:rsid w:val="00317805"/>
    <w:rsid w:val="0032132E"/>
    <w:rsid w:val="00321EC9"/>
    <w:rsid w:val="00327AEB"/>
    <w:rsid w:val="00331FA8"/>
    <w:rsid w:val="00334BF1"/>
    <w:rsid w:val="00335E5E"/>
    <w:rsid w:val="00340E4B"/>
    <w:rsid w:val="00341784"/>
    <w:rsid w:val="00345DF0"/>
    <w:rsid w:val="00345F7F"/>
    <w:rsid w:val="00347D7E"/>
    <w:rsid w:val="003526ED"/>
    <w:rsid w:val="00353092"/>
    <w:rsid w:val="003544B1"/>
    <w:rsid w:val="00356F61"/>
    <w:rsid w:val="00357D70"/>
    <w:rsid w:val="00360239"/>
    <w:rsid w:val="00362449"/>
    <w:rsid w:val="00364E0F"/>
    <w:rsid w:val="00366842"/>
    <w:rsid w:val="00367746"/>
    <w:rsid w:val="00372864"/>
    <w:rsid w:val="0038290F"/>
    <w:rsid w:val="00391D8F"/>
    <w:rsid w:val="00391F72"/>
    <w:rsid w:val="00392259"/>
    <w:rsid w:val="00392AF8"/>
    <w:rsid w:val="003A3F8C"/>
    <w:rsid w:val="003B348C"/>
    <w:rsid w:val="003B3A93"/>
    <w:rsid w:val="003B41F7"/>
    <w:rsid w:val="003B798E"/>
    <w:rsid w:val="003C1581"/>
    <w:rsid w:val="003D09A9"/>
    <w:rsid w:val="003D2B30"/>
    <w:rsid w:val="003D4684"/>
    <w:rsid w:val="003D4687"/>
    <w:rsid w:val="003D5A42"/>
    <w:rsid w:val="003D690E"/>
    <w:rsid w:val="003D7247"/>
    <w:rsid w:val="003E0091"/>
    <w:rsid w:val="003E0CC2"/>
    <w:rsid w:val="003E450C"/>
    <w:rsid w:val="003E6410"/>
    <w:rsid w:val="003F0C97"/>
    <w:rsid w:val="003F1149"/>
    <w:rsid w:val="003F1B5F"/>
    <w:rsid w:val="003F20C7"/>
    <w:rsid w:val="003F2DC2"/>
    <w:rsid w:val="00403814"/>
    <w:rsid w:val="00403B24"/>
    <w:rsid w:val="00404288"/>
    <w:rsid w:val="004049B9"/>
    <w:rsid w:val="00411866"/>
    <w:rsid w:val="00414A7B"/>
    <w:rsid w:val="00417E23"/>
    <w:rsid w:val="0042236E"/>
    <w:rsid w:val="00425ACB"/>
    <w:rsid w:val="00425F75"/>
    <w:rsid w:val="00426C11"/>
    <w:rsid w:val="00440BC2"/>
    <w:rsid w:val="00442879"/>
    <w:rsid w:val="00444232"/>
    <w:rsid w:val="00444DE9"/>
    <w:rsid w:val="00460C30"/>
    <w:rsid w:val="00465FB9"/>
    <w:rsid w:val="00466302"/>
    <w:rsid w:val="0046647B"/>
    <w:rsid w:val="0047370C"/>
    <w:rsid w:val="0047522D"/>
    <w:rsid w:val="00476BA1"/>
    <w:rsid w:val="00490898"/>
    <w:rsid w:val="00494F04"/>
    <w:rsid w:val="0049581F"/>
    <w:rsid w:val="0049582C"/>
    <w:rsid w:val="00495D9A"/>
    <w:rsid w:val="00496A1A"/>
    <w:rsid w:val="00497091"/>
    <w:rsid w:val="004A183E"/>
    <w:rsid w:val="004A3E25"/>
    <w:rsid w:val="004A41F6"/>
    <w:rsid w:val="004A718F"/>
    <w:rsid w:val="004B155C"/>
    <w:rsid w:val="004B27E2"/>
    <w:rsid w:val="004B51ED"/>
    <w:rsid w:val="004C1C34"/>
    <w:rsid w:val="004C34ED"/>
    <w:rsid w:val="004C51EC"/>
    <w:rsid w:val="004C5A91"/>
    <w:rsid w:val="004C6A9B"/>
    <w:rsid w:val="004D05F2"/>
    <w:rsid w:val="004E65DD"/>
    <w:rsid w:val="004F0319"/>
    <w:rsid w:val="004F1255"/>
    <w:rsid w:val="004F549E"/>
    <w:rsid w:val="00504C79"/>
    <w:rsid w:val="005112A3"/>
    <w:rsid w:val="00516293"/>
    <w:rsid w:val="005175FE"/>
    <w:rsid w:val="005201E9"/>
    <w:rsid w:val="00521013"/>
    <w:rsid w:val="00521B4C"/>
    <w:rsid w:val="005225EF"/>
    <w:rsid w:val="00522E2A"/>
    <w:rsid w:val="005259E7"/>
    <w:rsid w:val="005265A5"/>
    <w:rsid w:val="00527B27"/>
    <w:rsid w:val="005316B2"/>
    <w:rsid w:val="00531BEE"/>
    <w:rsid w:val="005323A2"/>
    <w:rsid w:val="0053470F"/>
    <w:rsid w:val="00535473"/>
    <w:rsid w:val="00537DBF"/>
    <w:rsid w:val="00540F01"/>
    <w:rsid w:val="00541534"/>
    <w:rsid w:val="00543015"/>
    <w:rsid w:val="00544667"/>
    <w:rsid w:val="00544BFC"/>
    <w:rsid w:val="00547EE5"/>
    <w:rsid w:val="00547F11"/>
    <w:rsid w:val="00556526"/>
    <w:rsid w:val="0056773D"/>
    <w:rsid w:val="00567DEC"/>
    <w:rsid w:val="0057035B"/>
    <w:rsid w:val="00570ED6"/>
    <w:rsid w:val="005818E3"/>
    <w:rsid w:val="00582D26"/>
    <w:rsid w:val="0058358B"/>
    <w:rsid w:val="00583A87"/>
    <w:rsid w:val="00585D65"/>
    <w:rsid w:val="005948EF"/>
    <w:rsid w:val="00597430"/>
    <w:rsid w:val="005A0B70"/>
    <w:rsid w:val="005A2497"/>
    <w:rsid w:val="005A40A4"/>
    <w:rsid w:val="005A5D81"/>
    <w:rsid w:val="005A6FD4"/>
    <w:rsid w:val="005A782D"/>
    <w:rsid w:val="005B2924"/>
    <w:rsid w:val="005C11CD"/>
    <w:rsid w:val="005C3266"/>
    <w:rsid w:val="005C524E"/>
    <w:rsid w:val="005C5AB9"/>
    <w:rsid w:val="005C5FAC"/>
    <w:rsid w:val="005C6AB8"/>
    <w:rsid w:val="005D3E68"/>
    <w:rsid w:val="005D5F88"/>
    <w:rsid w:val="005E0EC2"/>
    <w:rsid w:val="005E17C2"/>
    <w:rsid w:val="005E2CBE"/>
    <w:rsid w:val="005E4870"/>
    <w:rsid w:val="005F220A"/>
    <w:rsid w:val="005F3495"/>
    <w:rsid w:val="005F4C97"/>
    <w:rsid w:val="00603D48"/>
    <w:rsid w:val="006043E9"/>
    <w:rsid w:val="00605902"/>
    <w:rsid w:val="00606105"/>
    <w:rsid w:val="00613A39"/>
    <w:rsid w:val="006229DD"/>
    <w:rsid w:val="00622ABC"/>
    <w:rsid w:val="00623204"/>
    <w:rsid w:val="00624034"/>
    <w:rsid w:val="00627505"/>
    <w:rsid w:val="00631C06"/>
    <w:rsid w:val="00631C1D"/>
    <w:rsid w:val="006338AF"/>
    <w:rsid w:val="0064374C"/>
    <w:rsid w:val="006442E0"/>
    <w:rsid w:val="0064607A"/>
    <w:rsid w:val="00647AEA"/>
    <w:rsid w:val="00652672"/>
    <w:rsid w:val="00654FC9"/>
    <w:rsid w:val="0065542B"/>
    <w:rsid w:val="00655834"/>
    <w:rsid w:val="0065594D"/>
    <w:rsid w:val="00655A90"/>
    <w:rsid w:val="00655BA3"/>
    <w:rsid w:val="006578A4"/>
    <w:rsid w:val="00657AD2"/>
    <w:rsid w:val="00660D6F"/>
    <w:rsid w:val="00660E60"/>
    <w:rsid w:val="00664F22"/>
    <w:rsid w:val="00667A13"/>
    <w:rsid w:val="00671DB5"/>
    <w:rsid w:val="006768BB"/>
    <w:rsid w:val="00680D8A"/>
    <w:rsid w:val="00686BB2"/>
    <w:rsid w:val="006878E1"/>
    <w:rsid w:val="0069304A"/>
    <w:rsid w:val="0069583E"/>
    <w:rsid w:val="00697D6C"/>
    <w:rsid w:val="006A2ADE"/>
    <w:rsid w:val="006A551F"/>
    <w:rsid w:val="006A5E39"/>
    <w:rsid w:val="006B5CAE"/>
    <w:rsid w:val="006B7A62"/>
    <w:rsid w:val="006C1704"/>
    <w:rsid w:val="006C1A65"/>
    <w:rsid w:val="006C29A7"/>
    <w:rsid w:val="006C2E60"/>
    <w:rsid w:val="006C6261"/>
    <w:rsid w:val="006D2BA9"/>
    <w:rsid w:val="006D397E"/>
    <w:rsid w:val="006E2366"/>
    <w:rsid w:val="006E4547"/>
    <w:rsid w:val="006E5BE6"/>
    <w:rsid w:val="006F300D"/>
    <w:rsid w:val="006F36EF"/>
    <w:rsid w:val="006F47A8"/>
    <w:rsid w:val="006F4986"/>
    <w:rsid w:val="006F646A"/>
    <w:rsid w:val="006F6CBD"/>
    <w:rsid w:val="0070030F"/>
    <w:rsid w:val="00701598"/>
    <w:rsid w:val="00701639"/>
    <w:rsid w:val="00701893"/>
    <w:rsid w:val="00703430"/>
    <w:rsid w:val="00704A95"/>
    <w:rsid w:val="00706392"/>
    <w:rsid w:val="00706EB2"/>
    <w:rsid w:val="00707C99"/>
    <w:rsid w:val="00714C48"/>
    <w:rsid w:val="0072050F"/>
    <w:rsid w:val="00720DBC"/>
    <w:rsid w:val="0072240A"/>
    <w:rsid w:val="007261FD"/>
    <w:rsid w:val="00727198"/>
    <w:rsid w:val="007300C4"/>
    <w:rsid w:val="00731154"/>
    <w:rsid w:val="00737844"/>
    <w:rsid w:val="00741A01"/>
    <w:rsid w:val="00743BA7"/>
    <w:rsid w:val="00744136"/>
    <w:rsid w:val="00744447"/>
    <w:rsid w:val="00744789"/>
    <w:rsid w:val="007543CD"/>
    <w:rsid w:val="00761F1D"/>
    <w:rsid w:val="007703E9"/>
    <w:rsid w:val="007708AB"/>
    <w:rsid w:val="00771625"/>
    <w:rsid w:val="00772376"/>
    <w:rsid w:val="00774D05"/>
    <w:rsid w:val="00775711"/>
    <w:rsid w:val="0077599F"/>
    <w:rsid w:val="00781235"/>
    <w:rsid w:val="00784355"/>
    <w:rsid w:val="00784708"/>
    <w:rsid w:val="00786117"/>
    <w:rsid w:val="007906AF"/>
    <w:rsid w:val="00794424"/>
    <w:rsid w:val="007950DD"/>
    <w:rsid w:val="007965C0"/>
    <w:rsid w:val="007965E2"/>
    <w:rsid w:val="00797191"/>
    <w:rsid w:val="007A09BB"/>
    <w:rsid w:val="007A4108"/>
    <w:rsid w:val="007A4EA9"/>
    <w:rsid w:val="007A7451"/>
    <w:rsid w:val="007A7E93"/>
    <w:rsid w:val="007A7F95"/>
    <w:rsid w:val="007B1018"/>
    <w:rsid w:val="007B2721"/>
    <w:rsid w:val="007B3518"/>
    <w:rsid w:val="007B3958"/>
    <w:rsid w:val="007C14D0"/>
    <w:rsid w:val="007C213D"/>
    <w:rsid w:val="007C4D67"/>
    <w:rsid w:val="007C4E10"/>
    <w:rsid w:val="007C69FE"/>
    <w:rsid w:val="007D13E3"/>
    <w:rsid w:val="007D13F3"/>
    <w:rsid w:val="007D2A4B"/>
    <w:rsid w:val="007D39D3"/>
    <w:rsid w:val="007D5BB1"/>
    <w:rsid w:val="007D7213"/>
    <w:rsid w:val="007E47CA"/>
    <w:rsid w:val="007E4E23"/>
    <w:rsid w:val="007E5917"/>
    <w:rsid w:val="007E7310"/>
    <w:rsid w:val="007F2000"/>
    <w:rsid w:val="007F38DF"/>
    <w:rsid w:val="007F74F1"/>
    <w:rsid w:val="008010D0"/>
    <w:rsid w:val="008020A1"/>
    <w:rsid w:val="0080698B"/>
    <w:rsid w:val="00812473"/>
    <w:rsid w:val="00816B3F"/>
    <w:rsid w:val="0081754D"/>
    <w:rsid w:val="008177B9"/>
    <w:rsid w:val="00817F65"/>
    <w:rsid w:val="00821801"/>
    <w:rsid w:val="00827313"/>
    <w:rsid w:val="00836831"/>
    <w:rsid w:val="00837DDE"/>
    <w:rsid w:val="008400B6"/>
    <w:rsid w:val="00845093"/>
    <w:rsid w:val="008523F5"/>
    <w:rsid w:val="008548F9"/>
    <w:rsid w:val="0085575C"/>
    <w:rsid w:val="0085791F"/>
    <w:rsid w:val="00857988"/>
    <w:rsid w:val="0086244F"/>
    <w:rsid w:val="008639D3"/>
    <w:rsid w:val="00867EB6"/>
    <w:rsid w:val="00871F40"/>
    <w:rsid w:val="00883121"/>
    <w:rsid w:val="0088392F"/>
    <w:rsid w:val="00884426"/>
    <w:rsid w:val="00886745"/>
    <w:rsid w:val="0088680C"/>
    <w:rsid w:val="00886D60"/>
    <w:rsid w:val="0088746E"/>
    <w:rsid w:val="00887814"/>
    <w:rsid w:val="008916FF"/>
    <w:rsid w:val="00891DB3"/>
    <w:rsid w:val="00895A85"/>
    <w:rsid w:val="00896F8E"/>
    <w:rsid w:val="008A1D12"/>
    <w:rsid w:val="008A3A47"/>
    <w:rsid w:val="008B2385"/>
    <w:rsid w:val="008B47F3"/>
    <w:rsid w:val="008B5C61"/>
    <w:rsid w:val="008B61EE"/>
    <w:rsid w:val="008B69A3"/>
    <w:rsid w:val="008B6A09"/>
    <w:rsid w:val="008B760D"/>
    <w:rsid w:val="008D1D39"/>
    <w:rsid w:val="008D26BA"/>
    <w:rsid w:val="008D5049"/>
    <w:rsid w:val="008D6DDF"/>
    <w:rsid w:val="008D721C"/>
    <w:rsid w:val="008E33FD"/>
    <w:rsid w:val="008F1161"/>
    <w:rsid w:val="008F3570"/>
    <w:rsid w:val="008F479E"/>
    <w:rsid w:val="009011F1"/>
    <w:rsid w:val="00901835"/>
    <w:rsid w:val="009024E8"/>
    <w:rsid w:val="00902B75"/>
    <w:rsid w:val="009117F7"/>
    <w:rsid w:val="009127A6"/>
    <w:rsid w:val="0091528B"/>
    <w:rsid w:val="009157B1"/>
    <w:rsid w:val="00916028"/>
    <w:rsid w:val="00917CAF"/>
    <w:rsid w:val="009271BE"/>
    <w:rsid w:val="009272D7"/>
    <w:rsid w:val="009305A8"/>
    <w:rsid w:val="00933532"/>
    <w:rsid w:val="00942733"/>
    <w:rsid w:val="00942B53"/>
    <w:rsid w:val="00943343"/>
    <w:rsid w:val="00946694"/>
    <w:rsid w:val="00950AD3"/>
    <w:rsid w:val="00951B99"/>
    <w:rsid w:val="00951CDB"/>
    <w:rsid w:val="00952F86"/>
    <w:rsid w:val="00955C03"/>
    <w:rsid w:val="00964237"/>
    <w:rsid w:val="00966813"/>
    <w:rsid w:val="00967B16"/>
    <w:rsid w:val="0097301B"/>
    <w:rsid w:val="00974D2D"/>
    <w:rsid w:val="009754DD"/>
    <w:rsid w:val="009755C7"/>
    <w:rsid w:val="0098136F"/>
    <w:rsid w:val="009849E6"/>
    <w:rsid w:val="00986F0C"/>
    <w:rsid w:val="00992529"/>
    <w:rsid w:val="0099320E"/>
    <w:rsid w:val="009976D9"/>
    <w:rsid w:val="00997863"/>
    <w:rsid w:val="009A3D48"/>
    <w:rsid w:val="009A40B3"/>
    <w:rsid w:val="009A5B27"/>
    <w:rsid w:val="009A6404"/>
    <w:rsid w:val="009A701F"/>
    <w:rsid w:val="009A7E68"/>
    <w:rsid w:val="009B29C9"/>
    <w:rsid w:val="009B4291"/>
    <w:rsid w:val="009B4F3F"/>
    <w:rsid w:val="009B559E"/>
    <w:rsid w:val="009C0809"/>
    <w:rsid w:val="009C1066"/>
    <w:rsid w:val="009C1372"/>
    <w:rsid w:val="009C29C6"/>
    <w:rsid w:val="009C4779"/>
    <w:rsid w:val="009C4791"/>
    <w:rsid w:val="009C5373"/>
    <w:rsid w:val="009C6404"/>
    <w:rsid w:val="009D3B98"/>
    <w:rsid w:val="009D56D8"/>
    <w:rsid w:val="009D6055"/>
    <w:rsid w:val="009D63E7"/>
    <w:rsid w:val="009D7BF6"/>
    <w:rsid w:val="009E5F11"/>
    <w:rsid w:val="009E7994"/>
    <w:rsid w:val="009F143B"/>
    <w:rsid w:val="009F2EEB"/>
    <w:rsid w:val="009F5942"/>
    <w:rsid w:val="009F75DF"/>
    <w:rsid w:val="00A00055"/>
    <w:rsid w:val="00A00101"/>
    <w:rsid w:val="00A02270"/>
    <w:rsid w:val="00A046BC"/>
    <w:rsid w:val="00A077D2"/>
    <w:rsid w:val="00A109DB"/>
    <w:rsid w:val="00A10CAE"/>
    <w:rsid w:val="00A12C5F"/>
    <w:rsid w:val="00A16942"/>
    <w:rsid w:val="00A17A72"/>
    <w:rsid w:val="00A20E69"/>
    <w:rsid w:val="00A237EE"/>
    <w:rsid w:val="00A25F51"/>
    <w:rsid w:val="00A30393"/>
    <w:rsid w:val="00A32246"/>
    <w:rsid w:val="00A323F4"/>
    <w:rsid w:val="00A328C0"/>
    <w:rsid w:val="00A3714C"/>
    <w:rsid w:val="00A427D6"/>
    <w:rsid w:val="00A46E96"/>
    <w:rsid w:val="00A52030"/>
    <w:rsid w:val="00A57F3B"/>
    <w:rsid w:val="00A62A69"/>
    <w:rsid w:val="00A62BEC"/>
    <w:rsid w:val="00A648E1"/>
    <w:rsid w:val="00A658C1"/>
    <w:rsid w:val="00A734AD"/>
    <w:rsid w:val="00A74F96"/>
    <w:rsid w:val="00A770E4"/>
    <w:rsid w:val="00A77C09"/>
    <w:rsid w:val="00A837A0"/>
    <w:rsid w:val="00A90926"/>
    <w:rsid w:val="00A91E44"/>
    <w:rsid w:val="00A94273"/>
    <w:rsid w:val="00A96279"/>
    <w:rsid w:val="00A97287"/>
    <w:rsid w:val="00AA024E"/>
    <w:rsid w:val="00AA18F9"/>
    <w:rsid w:val="00AA2DED"/>
    <w:rsid w:val="00AA7CBD"/>
    <w:rsid w:val="00AB1C66"/>
    <w:rsid w:val="00AB2F11"/>
    <w:rsid w:val="00AB7BFE"/>
    <w:rsid w:val="00AC07E0"/>
    <w:rsid w:val="00AC4971"/>
    <w:rsid w:val="00AC4C86"/>
    <w:rsid w:val="00AC4CF3"/>
    <w:rsid w:val="00AC5A9E"/>
    <w:rsid w:val="00AD1FEC"/>
    <w:rsid w:val="00AD2DF1"/>
    <w:rsid w:val="00AD5481"/>
    <w:rsid w:val="00AD59A0"/>
    <w:rsid w:val="00AE3EA8"/>
    <w:rsid w:val="00AE4125"/>
    <w:rsid w:val="00AE4D37"/>
    <w:rsid w:val="00AE58A1"/>
    <w:rsid w:val="00AE6BD5"/>
    <w:rsid w:val="00AE7E00"/>
    <w:rsid w:val="00AF1C99"/>
    <w:rsid w:val="00AF5E87"/>
    <w:rsid w:val="00B00552"/>
    <w:rsid w:val="00B02BEE"/>
    <w:rsid w:val="00B033A5"/>
    <w:rsid w:val="00B11C1C"/>
    <w:rsid w:val="00B12E7A"/>
    <w:rsid w:val="00B13613"/>
    <w:rsid w:val="00B17BD8"/>
    <w:rsid w:val="00B17E56"/>
    <w:rsid w:val="00B30B53"/>
    <w:rsid w:val="00B313E9"/>
    <w:rsid w:val="00B32325"/>
    <w:rsid w:val="00B32E8A"/>
    <w:rsid w:val="00B340A4"/>
    <w:rsid w:val="00B340D4"/>
    <w:rsid w:val="00B355EC"/>
    <w:rsid w:val="00B448A4"/>
    <w:rsid w:val="00B45C2D"/>
    <w:rsid w:val="00B46B01"/>
    <w:rsid w:val="00B47FD0"/>
    <w:rsid w:val="00B53696"/>
    <w:rsid w:val="00B56649"/>
    <w:rsid w:val="00B625F2"/>
    <w:rsid w:val="00B663DC"/>
    <w:rsid w:val="00B710D8"/>
    <w:rsid w:val="00B73566"/>
    <w:rsid w:val="00B73629"/>
    <w:rsid w:val="00B7466E"/>
    <w:rsid w:val="00B779BD"/>
    <w:rsid w:val="00B8021E"/>
    <w:rsid w:val="00B8028F"/>
    <w:rsid w:val="00B8209E"/>
    <w:rsid w:val="00B833BE"/>
    <w:rsid w:val="00B87B08"/>
    <w:rsid w:val="00B93C7A"/>
    <w:rsid w:val="00B956C4"/>
    <w:rsid w:val="00B9570E"/>
    <w:rsid w:val="00BA3C20"/>
    <w:rsid w:val="00BB1EA9"/>
    <w:rsid w:val="00BB2152"/>
    <w:rsid w:val="00BB2BE0"/>
    <w:rsid w:val="00BB405B"/>
    <w:rsid w:val="00BB4B19"/>
    <w:rsid w:val="00BC29D0"/>
    <w:rsid w:val="00BD33F4"/>
    <w:rsid w:val="00BD797F"/>
    <w:rsid w:val="00BE1470"/>
    <w:rsid w:val="00BE695C"/>
    <w:rsid w:val="00BE7C72"/>
    <w:rsid w:val="00BF1421"/>
    <w:rsid w:val="00BF414E"/>
    <w:rsid w:val="00BF6C46"/>
    <w:rsid w:val="00BF7815"/>
    <w:rsid w:val="00BF78BF"/>
    <w:rsid w:val="00C00BBF"/>
    <w:rsid w:val="00C00F54"/>
    <w:rsid w:val="00C02CC4"/>
    <w:rsid w:val="00C04AA4"/>
    <w:rsid w:val="00C05445"/>
    <w:rsid w:val="00C12CBD"/>
    <w:rsid w:val="00C134DB"/>
    <w:rsid w:val="00C16D8A"/>
    <w:rsid w:val="00C202F1"/>
    <w:rsid w:val="00C25B78"/>
    <w:rsid w:val="00C32068"/>
    <w:rsid w:val="00C33FEF"/>
    <w:rsid w:val="00C34C5C"/>
    <w:rsid w:val="00C4007D"/>
    <w:rsid w:val="00C405D5"/>
    <w:rsid w:val="00C4163B"/>
    <w:rsid w:val="00C41F24"/>
    <w:rsid w:val="00C42000"/>
    <w:rsid w:val="00C43FD0"/>
    <w:rsid w:val="00C47619"/>
    <w:rsid w:val="00C4792C"/>
    <w:rsid w:val="00C51445"/>
    <w:rsid w:val="00C517B4"/>
    <w:rsid w:val="00C52848"/>
    <w:rsid w:val="00C61FF5"/>
    <w:rsid w:val="00C6662D"/>
    <w:rsid w:val="00C671F5"/>
    <w:rsid w:val="00C67E5D"/>
    <w:rsid w:val="00C70DB9"/>
    <w:rsid w:val="00C72528"/>
    <w:rsid w:val="00C748FF"/>
    <w:rsid w:val="00C74DA7"/>
    <w:rsid w:val="00C767DA"/>
    <w:rsid w:val="00C805FB"/>
    <w:rsid w:val="00C81B42"/>
    <w:rsid w:val="00C8227D"/>
    <w:rsid w:val="00C83750"/>
    <w:rsid w:val="00C8675B"/>
    <w:rsid w:val="00C86CD7"/>
    <w:rsid w:val="00C86F17"/>
    <w:rsid w:val="00C9376B"/>
    <w:rsid w:val="00C9581A"/>
    <w:rsid w:val="00C960BE"/>
    <w:rsid w:val="00C9791B"/>
    <w:rsid w:val="00CA27CB"/>
    <w:rsid w:val="00CA3682"/>
    <w:rsid w:val="00CA718D"/>
    <w:rsid w:val="00CB44BB"/>
    <w:rsid w:val="00CC4AEF"/>
    <w:rsid w:val="00CC6C0C"/>
    <w:rsid w:val="00CC719D"/>
    <w:rsid w:val="00CD4BE8"/>
    <w:rsid w:val="00CE2834"/>
    <w:rsid w:val="00CF158B"/>
    <w:rsid w:val="00CF31C5"/>
    <w:rsid w:val="00CF55D6"/>
    <w:rsid w:val="00CF6484"/>
    <w:rsid w:val="00CF7839"/>
    <w:rsid w:val="00CF78D3"/>
    <w:rsid w:val="00D07E5C"/>
    <w:rsid w:val="00D10B27"/>
    <w:rsid w:val="00D12CFF"/>
    <w:rsid w:val="00D156AF"/>
    <w:rsid w:val="00D16367"/>
    <w:rsid w:val="00D202EA"/>
    <w:rsid w:val="00D206C0"/>
    <w:rsid w:val="00D2092C"/>
    <w:rsid w:val="00D228DE"/>
    <w:rsid w:val="00D22DC3"/>
    <w:rsid w:val="00D25683"/>
    <w:rsid w:val="00D26530"/>
    <w:rsid w:val="00D27042"/>
    <w:rsid w:val="00D3103B"/>
    <w:rsid w:val="00D322D9"/>
    <w:rsid w:val="00D422AF"/>
    <w:rsid w:val="00D4253A"/>
    <w:rsid w:val="00D4286C"/>
    <w:rsid w:val="00D43EB8"/>
    <w:rsid w:val="00D451C9"/>
    <w:rsid w:val="00D50B42"/>
    <w:rsid w:val="00D50BAF"/>
    <w:rsid w:val="00D57228"/>
    <w:rsid w:val="00D61C6D"/>
    <w:rsid w:val="00D6267A"/>
    <w:rsid w:val="00D64034"/>
    <w:rsid w:val="00D6797E"/>
    <w:rsid w:val="00D73109"/>
    <w:rsid w:val="00D76C43"/>
    <w:rsid w:val="00D810EC"/>
    <w:rsid w:val="00D835B6"/>
    <w:rsid w:val="00D84464"/>
    <w:rsid w:val="00D9001E"/>
    <w:rsid w:val="00DA0540"/>
    <w:rsid w:val="00DA2840"/>
    <w:rsid w:val="00DA4030"/>
    <w:rsid w:val="00DB15FD"/>
    <w:rsid w:val="00DB3399"/>
    <w:rsid w:val="00DB3DD5"/>
    <w:rsid w:val="00DB5079"/>
    <w:rsid w:val="00DB58EC"/>
    <w:rsid w:val="00DB7347"/>
    <w:rsid w:val="00DB74D5"/>
    <w:rsid w:val="00DB78F3"/>
    <w:rsid w:val="00DC399B"/>
    <w:rsid w:val="00DD0F92"/>
    <w:rsid w:val="00DD109C"/>
    <w:rsid w:val="00DD5E2B"/>
    <w:rsid w:val="00DE585A"/>
    <w:rsid w:val="00DE7053"/>
    <w:rsid w:val="00DF0424"/>
    <w:rsid w:val="00DF3781"/>
    <w:rsid w:val="00DF6E69"/>
    <w:rsid w:val="00DF719C"/>
    <w:rsid w:val="00E077A6"/>
    <w:rsid w:val="00E107CA"/>
    <w:rsid w:val="00E109E4"/>
    <w:rsid w:val="00E1216B"/>
    <w:rsid w:val="00E1477F"/>
    <w:rsid w:val="00E16C63"/>
    <w:rsid w:val="00E25D54"/>
    <w:rsid w:val="00E30B3A"/>
    <w:rsid w:val="00E30E76"/>
    <w:rsid w:val="00E3322A"/>
    <w:rsid w:val="00E341F5"/>
    <w:rsid w:val="00E41161"/>
    <w:rsid w:val="00E43D94"/>
    <w:rsid w:val="00E45B51"/>
    <w:rsid w:val="00E531B9"/>
    <w:rsid w:val="00E53BC5"/>
    <w:rsid w:val="00E53E47"/>
    <w:rsid w:val="00E556C7"/>
    <w:rsid w:val="00E57768"/>
    <w:rsid w:val="00E57869"/>
    <w:rsid w:val="00E61DBC"/>
    <w:rsid w:val="00E64057"/>
    <w:rsid w:val="00E66AFF"/>
    <w:rsid w:val="00E6771C"/>
    <w:rsid w:val="00E70381"/>
    <w:rsid w:val="00E70F8F"/>
    <w:rsid w:val="00E73DEF"/>
    <w:rsid w:val="00E7512C"/>
    <w:rsid w:val="00E80D65"/>
    <w:rsid w:val="00E91723"/>
    <w:rsid w:val="00EA21E9"/>
    <w:rsid w:val="00EA2DDA"/>
    <w:rsid w:val="00EA4C4B"/>
    <w:rsid w:val="00EA77BE"/>
    <w:rsid w:val="00EB1C7E"/>
    <w:rsid w:val="00EC19C1"/>
    <w:rsid w:val="00EC283A"/>
    <w:rsid w:val="00EC3551"/>
    <w:rsid w:val="00EC60F5"/>
    <w:rsid w:val="00EC7271"/>
    <w:rsid w:val="00ED2086"/>
    <w:rsid w:val="00ED38AF"/>
    <w:rsid w:val="00ED4124"/>
    <w:rsid w:val="00ED60A1"/>
    <w:rsid w:val="00ED6123"/>
    <w:rsid w:val="00EE1C4A"/>
    <w:rsid w:val="00EE2E2E"/>
    <w:rsid w:val="00EE2F04"/>
    <w:rsid w:val="00EE3E0F"/>
    <w:rsid w:val="00EE556A"/>
    <w:rsid w:val="00EE6211"/>
    <w:rsid w:val="00EE6D21"/>
    <w:rsid w:val="00EF1116"/>
    <w:rsid w:val="00F0089C"/>
    <w:rsid w:val="00F01B55"/>
    <w:rsid w:val="00F0237B"/>
    <w:rsid w:val="00F06498"/>
    <w:rsid w:val="00F06E99"/>
    <w:rsid w:val="00F0723B"/>
    <w:rsid w:val="00F11E0A"/>
    <w:rsid w:val="00F13013"/>
    <w:rsid w:val="00F14F22"/>
    <w:rsid w:val="00F16104"/>
    <w:rsid w:val="00F16CF9"/>
    <w:rsid w:val="00F20B09"/>
    <w:rsid w:val="00F2149C"/>
    <w:rsid w:val="00F25216"/>
    <w:rsid w:val="00F3167E"/>
    <w:rsid w:val="00F3335E"/>
    <w:rsid w:val="00F33829"/>
    <w:rsid w:val="00F349E0"/>
    <w:rsid w:val="00F36BF0"/>
    <w:rsid w:val="00F40531"/>
    <w:rsid w:val="00F42F97"/>
    <w:rsid w:val="00F439B5"/>
    <w:rsid w:val="00F5087A"/>
    <w:rsid w:val="00F52E75"/>
    <w:rsid w:val="00F54BD0"/>
    <w:rsid w:val="00F54C75"/>
    <w:rsid w:val="00F57875"/>
    <w:rsid w:val="00F57DED"/>
    <w:rsid w:val="00F6058F"/>
    <w:rsid w:val="00F60A18"/>
    <w:rsid w:val="00F63F49"/>
    <w:rsid w:val="00F65837"/>
    <w:rsid w:val="00F713A4"/>
    <w:rsid w:val="00F72D00"/>
    <w:rsid w:val="00F7567C"/>
    <w:rsid w:val="00F76FC7"/>
    <w:rsid w:val="00F80B95"/>
    <w:rsid w:val="00F81150"/>
    <w:rsid w:val="00F833B7"/>
    <w:rsid w:val="00F839AB"/>
    <w:rsid w:val="00F83A22"/>
    <w:rsid w:val="00F84CF9"/>
    <w:rsid w:val="00F87C6C"/>
    <w:rsid w:val="00F87E38"/>
    <w:rsid w:val="00F91A73"/>
    <w:rsid w:val="00F97EA2"/>
    <w:rsid w:val="00FA1290"/>
    <w:rsid w:val="00FA155E"/>
    <w:rsid w:val="00FA2322"/>
    <w:rsid w:val="00FA31B9"/>
    <w:rsid w:val="00FA5102"/>
    <w:rsid w:val="00FB297F"/>
    <w:rsid w:val="00FB4B0C"/>
    <w:rsid w:val="00FC049B"/>
    <w:rsid w:val="00FC0D10"/>
    <w:rsid w:val="00FC1934"/>
    <w:rsid w:val="00FD2326"/>
    <w:rsid w:val="00FD7793"/>
    <w:rsid w:val="00FE38F0"/>
    <w:rsid w:val="00FE43A9"/>
    <w:rsid w:val="00FE6588"/>
    <w:rsid w:val="00FE69B1"/>
    <w:rsid w:val="00FE73F3"/>
    <w:rsid w:val="00FF11AC"/>
    <w:rsid w:val="00FF3F82"/>
    <w:rsid w:val="00FF41F3"/>
    <w:rsid w:val="00FF52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DCB09"/>
  <w15:docId w15:val="{2B3C2E73-2082-41D0-89C5-876A73689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sz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A17A72"/>
    <w:pPr>
      <w:ind w:left="720"/>
      <w:contextualSpacing/>
    </w:pPr>
  </w:style>
  <w:style w:type="paragraph" w:styleId="Textoindependiente">
    <w:name w:val="Body Text"/>
    <w:basedOn w:val="Normal"/>
    <w:link w:val="TextoindependienteCar"/>
    <w:rsid w:val="00BD797F"/>
    <w:pPr>
      <w:suppressAutoHyphens/>
      <w:spacing w:after="0" w:line="240" w:lineRule="auto"/>
      <w:jc w:val="both"/>
    </w:pPr>
    <w:rPr>
      <w:rFonts w:ascii="Times New Roman" w:eastAsia="Times New Roman" w:hAnsi="Times New Roman" w:cs="Times New Roman"/>
      <w:bCs/>
      <w:sz w:val="24"/>
      <w:szCs w:val="24"/>
      <w:lang w:val="es-MX" w:eastAsia="ar-SA"/>
    </w:rPr>
  </w:style>
  <w:style w:type="character" w:customStyle="1" w:styleId="TextoindependienteCar">
    <w:name w:val="Texto independiente Car"/>
    <w:basedOn w:val="Fuentedeprrafopredeter"/>
    <w:link w:val="Textoindependiente"/>
    <w:rsid w:val="00BD797F"/>
    <w:rPr>
      <w:rFonts w:ascii="Times New Roman" w:eastAsia="Times New Roman" w:hAnsi="Times New Roman" w:cs="Times New Roman"/>
      <w:bCs/>
      <w:sz w:val="24"/>
      <w:szCs w:val="24"/>
      <w:lang w:val="es-MX" w:eastAsia="ar-SA"/>
    </w:rPr>
  </w:style>
  <w:style w:type="character" w:styleId="Hipervnculo">
    <w:name w:val="Hyperlink"/>
    <w:basedOn w:val="Fuentedeprrafopredeter"/>
    <w:uiPriority w:val="99"/>
    <w:unhideWhenUsed/>
    <w:rsid w:val="00201C0D"/>
    <w:rPr>
      <w:color w:val="0563C1" w:themeColor="hyperlink"/>
      <w:u w:val="single"/>
    </w:rPr>
  </w:style>
  <w:style w:type="character" w:customStyle="1" w:styleId="Mencionar1">
    <w:name w:val="Mencionar1"/>
    <w:basedOn w:val="Fuentedeprrafopredeter"/>
    <w:uiPriority w:val="99"/>
    <w:semiHidden/>
    <w:unhideWhenUsed/>
    <w:rsid w:val="00201C0D"/>
    <w:rPr>
      <w:color w:val="2B579A"/>
      <w:shd w:val="clear" w:color="auto" w:fill="E6E6E6"/>
    </w:rPr>
  </w:style>
  <w:style w:type="character" w:styleId="Hipervnculovisitado">
    <w:name w:val="FollowedHyperlink"/>
    <w:basedOn w:val="Fuentedeprrafopredeter"/>
    <w:uiPriority w:val="99"/>
    <w:semiHidden/>
    <w:unhideWhenUsed/>
    <w:rsid w:val="00201C0D"/>
    <w:rPr>
      <w:color w:val="954F72" w:themeColor="followedHyperlink"/>
      <w:u w:val="single"/>
    </w:rPr>
  </w:style>
  <w:style w:type="character" w:customStyle="1" w:styleId="Mencinsinresolver1">
    <w:name w:val="Mención sin resolver1"/>
    <w:basedOn w:val="Fuentedeprrafopredeter"/>
    <w:uiPriority w:val="99"/>
    <w:semiHidden/>
    <w:unhideWhenUsed/>
    <w:rsid w:val="00B45C2D"/>
    <w:rPr>
      <w:color w:val="808080"/>
      <w:shd w:val="clear" w:color="auto" w:fill="E6E6E6"/>
    </w:rPr>
  </w:style>
  <w:style w:type="paragraph" w:styleId="Sangradetextonormal">
    <w:name w:val="Body Text Indent"/>
    <w:basedOn w:val="Normal"/>
    <w:link w:val="SangradetextonormalCar"/>
    <w:uiPriority w:val="99"/>
    <w:unhideWhenUsed/>
    <w:rsid w:val="00D22DC3"/>
    <w:pPr>
      <w:spacing w:after="120" w:line="276" w:lineRule="auto"/>
      <w:ind w:left="283"/>
    </w:pPr>
    <w:rPr>
      <w:rFonts w:ascii="Calibri" w:eastAsia="Calibri" w:hAnsi="Calibri" w:cs="Times New Roman"/>
      <w:lang w:val="es-PE"/>
    </w:rPr>
  </w:style>
  <w:style w:type="character" w:customStyle="1" w:styleId="SangradetextonormalCar">
    <w:name w:val="Sangría de texto normal Car"/>
    <w:basedOn w:val="Fuentedeprrafopredeter"/>
    <w:link w:val="Sangradetextonormal"/>
    <w:uiPriority w:val="99"/>
    <w:rsid w:val="00D22DC3"/>
    <w:rPr>
      <w:rFonts w:ascii="Calibri" w:eastAsia="Calibri" w:hAnsi="Calibri" w:cs="Times New Roman"/>
      <w:lang w:val="es-PE"/>
    </w:rPr>
  </w:style>
  <w:style w:type="paragraph" w:styleId="Encabezado">
    <w:name w:val="header"/>
    <w:basedOn w:val="Normal"/>
    <w:link w:val="EncabezadoCar"/>
    <w:uiPriority w:val="99"/>
    <w:unhideWhenUsed/>
    <w:rsid w:val="0078435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784355"/>
  </w:style>
  <w:style w:type="paragraph" w:styleId="Piedepgina">
    <w:name w:val="footer"/>
    <w:basedOn w:val="Normal"/>
    <w:link w:val="PiedepginaCar"/>
    <w:uiPriority w:val="99"/>
    <w:unhideWhenUsed/>
    <w:rsid w:val="0078435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784355"/>
  </w:style>
  <w:style w:type="paragraph" w:customStyle="1" w:styleId="Default">
    <w:name w:val="Default"/>
    <w:rsid w:val="00DB5079"/>
    <w:pPr>
      <w:autoSpaceDE w:val="0"/>
      <w:autoSpaceDN w:val="0"/>
      <w:adjustRightInd w:val="0"/>
      <w:spacing w:after="0" w:line="240" w:lineRule="auto"/>
    </w:pPr>
    <w:rPr>
      <w:rFonts w:ascii="Calibri" w:eastAsia="Times New Roman" w:hAnsi="Calibri" w:cs="Calibri"/>
      <w:color w:val="000000"/>
      <w:sz w:val="24"/>
      <w:szCs w:val="24"/>
      <w:lang w:val="es-PE" w:eastAsia="es-PE"/>
    </w:rPr>
  </w:style>
  <w:style w:type="character" w:styleId="Textoennegrita">
    <w:name w:val="Strong"/>
    <w:basedOn w:val="Fuentedeprrafopredeter"/>
    <w:uiPriority w:val="22"/>
    <w:qFormat/>
    <w:rsid w:val="000619A2"/>
    <w:rPr>
      <w:b/>
      <w:bCs w:val="0"/>
    </w:rPr>
  </w:style>
  <w:style w:type="character" w:styleId="Mencinsinresolver">
    <w:name w:val="Unresolved Mention"/>
    <w:basedOn w:val="Fuentedeprrafopredeter"/>
    <w:uiPriority w:val="99"/>
    <w:semiHidden/>
    <w:unhideWhenUsed/>
    <w:rsid w:val="00C4792C"/>
    <w:rPr>
      <w:color w:val="605E5C"/>
      <w:shd w:val="clear" w:color="auto" w:fill="E1DFDD"/>
    </w:rPr>
  </w:style>
  <w:style w:type="paragraph" w:styleId="Textonotapie">
    <w:name w:val="footnote text"/>
    <w:basedOn w:val="Normal"/>
    <w:link w:val="TextonotapieCar"/>
    <w:uiPriority w:val="99"/>
    <w:semiHidden/>
    <w:unhideWhenUsed/>
    <w:rsid w:val="002D4134"/>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2D4134"/>
    <w:rPr>
      <w:sz w:val="20"/>
      <w:szCs w:val="20"/>
    </w:rPr>
  </w:style>
  <w:style w:type="character" w:styleId="Refdenotaalpie">
    <w:name w:val="footnote reference"/>
    <w:uiPriority w:val="99"/>
    <w:semiHidden/>
    <w:unhideWhenUsed/>
    <w:rsid w:val="002D413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946110">
      <w:bodyDiv w:val="1"/>
      <w:marLeft w:val="0"/>
      <w:marRight w:val="0"/>
      <w:marTop w:val="0"/>
      <w:marBottom w:val="0"/>
      <w:divBdr>
        <w:top w:val="none" w:sz="0" w:space="0" w:color="auto"/>
        <w:left w:val="none" w:sz="0" w:space="0" w:color="auto"/>
        <w:bottom w:val="none" w:sz="0" w:space="0" w:color="auto"/>
        <w:right w:val="none" w:sz="0" w:space="0" w:color="auto"/>
      </w:divBdr>
    </w:div>
    <w:div w:id="46954666">
      <w:bodyDiv w:val="1"/>
      <w:marLeft w:val="0"/>
      <w:marRight w:val="0"/>
      <w:marTop w:val="0"/>
      <w:marBottom w:val="0"/>
      <w:divBdr>
        <w:top w:val="none" w:sz="0" w:space="0" w:color="auto"/>
        <w:left w:val="none" w:sz="0" w:space="0" w:color="auto"/>
        <w:bottom w:val="none" w:sz="0" w:space="0" w:color="auto"/>
        <w:right w:val="none" w:sz="0" w:space="0" w:color="auto"/>
      </w:divBdr>
    </w:div>
    <w:div w:id="63528716">
      <w:bodyDiv w:val="1"/>
      <w:marLeft w:val="0"/>
      <w:marRight w:val="0"/>
      <w:marTop w:val="0"/>
      <w:marBottom w:val="0"/>
      <w:divBdr>
        <w:top w:val="none" w:sz="0" w:space="0" w:color="auto"/>
        <w:left w:val="none" w:sz="0" w:space="0" w:color="auto"/>
        <w:bottom w:val="none" w:sz="0" w:space="0" w:color="auto"/>
        <w:right w:val="none" w:sz="0" w:space="0" w:color="auto"/>
      </w:divBdr>
    </w:div>
    <w:div w:id="67730552">
      <w:bodyDiv w:val="1"/>
      <w:marLeft w:val="0"/>
      <w:marRight w:val="0"/>
      <w:marTop w:val="0"/>
      <w:marBottom w:val="0"/>
      <w:divBdr>
        <w:top w:val="none" w:sz="0" w:space="0" w:color="auto"/>
        <w:left w:val="none" w:sz="0" w:space="0" w:color="auto"/>
        <w:bottom w:val="none" w:sz="0" w:space="0" w:color="auto"/>
        <w:right w:val="none" w:sz="0" w:space="0" w:color="auto"/>
      </w:divBdr>
    </w:div>
    <w:div w:id="75857595">
      <w:bodyDiv w:val="1"/>
      <w:marLeft w:val="0"/>
      <w:marRight w:val="0"/>
      <w:marTop w:val="0"/>
      <w:marBottom w:val="0"/>
      <w:divBdr>
        <w:top w:val="none" w:sz="0" w:space="0" w:color="auto"/>
        <w:left w:val="none" w:sz="0" w:space="0" w:color="auto"/>
        <w:bottom w:val="none" w:sz="0" w:space="0" w:color="auto"/>
        <w:right w:val="none" w:sz="0" w:space="0" w:color="auto"/>
      </w:divBdr>
    </w:div>
    <w:div w:id="76945688">
      <w:bodyDiv w:val="1"/>
      <w:marLeft w:val="0"/>
      <w:marRight w:val="0"/>
      <w:marTop w:val="0"/>
      <w:marBottom w:val="0"/>
      <w:divBdr>
        <w:top w:val="none" w:sz="0" w:space="0" w:color="auto"/>
        <w:left w:val="none" w:sz="0" w:space="0" w:color="auto"/>
        <w:bottom w:val="none" w:sz="0" w:space="0" w:color="auto"/>
        <w:right w:val="none" w:sz="0" w:space="0" w:color="auto"/>
      </w:divBdr>
    </w:div>
    <w:div w:id="108161495">
      <w:bodyDiv w:val="1"/>
      <w:marLeft w:val="0"/>
      <w:marRight w:val="0"/>
      <w:marTop w:val="0"/>
      <w:marBottom w:val="0"/>
      <w:divBdr>
        <w:top w:val="none" w:sz="0" w:space="0" w:color="auto"/>
        <w:left w:val="none" w:sz="0" w:space="0" w:color="auto"/>
        <w:bottom w:val="none" w:sz="0" w:space="0" w:color="auto"/>
        <w:right w:val="none" w:sz="0" w:space="0" w:color="auto"/>
      </w:divBdr>
    </w:div>
    <w:div w:id="121046241">
      <w:bodyDiv w:val="1"/>
      <w:marLeft w:val="0"/>
      <w:marRight w:val="0"/>
      <w:marTop w:val="0"/>
      <w:marBottom w:val="0"/>
      <w:divBdr>
        <w:top w:val="none" w:sz="0" w:space="0" w:color="auto"/>
        <w:left w:val="none" w:sz="0" w:space="0" w:color="auto"/>
        <w:bottom w:val="none" w:sz="0" w:space="0" w:color="auto"/>
        <w:right w:val="none" w:sz="0" w:space="0" w:color="auto"/>
      </w:divBdr>
    </w:div>
    <w:div w:id="135146593">
      <w:bodyDiv w:val="1"/>
      <w:marLeft w:val="0"/>
      <w:marRight w:val="0"/>
      <w:marTop w:val="0"/>
      <w:marBottom w:val="0"/>
      <w:divBdr>
        <w:top w:val="none" w:sz="0" w:space="0" w:color="auto"/>
        <w:left w:val="none" w:sz="0" w:space="0" w:color="auto"/>
        <w:bottom w:val="none" w:sz="0" w:space="0" w:color="auto"/>
        <w:right w:val="none" w:sz="0" w:space="0" w:color="auto"/>
      </w:divBdr>
    </w:div>
    <w:div w:id="138695876">
      <w:bodyDiv w:val="1"/>
      <w:marLeft w:val="0"/>
      <w:marRight w:val="0"/>
      <w:marTop w:val="0"/>
      <w:marBottom w:val="0"/>
      <w:divBdr>
        <w:top w:val="none" w:sz="0" w:space="0" w:color="auto"/>
        <w:left w:val="none" w:sz="0" w:space="0" w:color="auto"/>
        <w:bottom w:val="none" w:sz="0" w:space="0" w:color="auto"/>
        <w:right w:val="none" w:sz="0" w:space="0" w:color="auto"/>
      </w:divBdr>
    </w:div>
    <w:div w:id="185679924">
      <w:bodyDiv w:val="1"/>
      <w:marLeft w:val="0"/>
      <w:marRight w:val="0"/>
      <w:marTop w:val="0"/>
      <w:marBottom w:val="0"/>
      <w:divBdr>
        <w:top w:val="none" w:sz="0" w:space="0" w:color="auto"/>
        <w:left w:val="none" w:sz="0" w:space="0" w:color="auto"/>
        <w:bottom w:val="none" w:sz="0" w:space="0" w:color="auto"/>
        <w:right w:val="none" w:sz="0" w:space="0" w:color="auto"/>
      </w:divBdr>
    </w:div>
    <w:div w:id="201408248">
      <w:bodyDiv w:val="1"/>
      <w:marLeft w:val="0"/>
      <w:marRight w:val="0"/>
      <w:marTop w:val="0"/>
      <w:marBottom w:val="0"/>
      <w:divBdr>
        <w:top w:val="none" w:sz="0" w:space="0" w:color="auto"/>
        <w:left w:val="none" w:sz="0" w:space="0" w:color="auto"/>
        <w:bottom w:val="none" w:sz="0" w:space="0" w:color="auto"/>
        <w:right w:val="none" w:sz="0" w:space="0" w:color="auto"/>
      </w:divBdr>
    </w:div>
    <w:div w:id="222913527">
      <w:bodyDiv w:val="1"/>
      <w:marLeft w:val="0"/>
      <w:marRight w:val="0"/>
      <w:marTop w:val="0"/>
      <w:marBottom w:val="0"/>
      <w:divBdr>
        <w:top w:val="none" w:sz="0" w:space="0" w:color="auto"/>
        <w:left w:val="none" w:sz="0" w:space="0" w:color="auto"/>
        <w:bottom w:val="none" w:sz="0" w:space="0" w:color="auto"/>
        <w:right w:val="none" w:sz="0" w:space="0" w:color="auto"/>
      </w:divBdr>
    </w:div>
    <w:div w:id="249243614">
      <w:bodyDiv w:val="1"/>
      <w:marLeft w:val="0"/>
      <w:marRight w:val="0"/>
      <w:marTop w:val="0"/>
      <w:marBottom w:val="0"/>
      <w:divBdr>
        <w:top w:val="none" w:sz="0" w:space="0" w:color="auto"/>
        <w:left w:val="none" w:sz="0" w:space="0" w:color="auto"/>
        <w:bottom w:val="none" w:sz="0" w:space="0" w:color="auto"/>
        <w:right w:val="none" w:sz="0" w:space="0" w:color="auto"/>
      </w:divBdr>
    </w:div>
    <w:div w:id="252469849">
      <w:bodyDiv w:val="1"/>
      <w:marLeft w:val="0"/>
      <w:marRight w:val="0"/>
      <w:marTop w:val="0"/>
      <w:marBottom w:val="0"/>
      <w:divBdr>
        <w:top w:val="none" w:sz="0" w:space="0" w:color="auto"/>
        <w:left w:val="none" w:sz="0" w:space="0" w:color="auto"/>
        <w:bottom w:val="none" w:sz="0" w:space="0" w:color="auto"/>
        <w:right w:val="none" w:sz="0" w:space="0" w:color="auto"/>
      </w:divBdr>
    </w:div>
    <w:div w:id="281227790">
      <w:bodyDiv w:val="1"/>
      <w:marLeft w:val="0"/>
      <w:marRight w:val="0"/>
      <w:marTop w:val="0"/>
      <w:marBottom w:val="0"/>
      <w:divBdr>
        <w:top w:val="none" w:sz="0" w:space="0" w:color="auto"/>
        <w:left w:val="none" w:sz="0" w:space="0" w:color="auto"/>
        <w:bottom w:val="none" w:sz="0" w:space="0" w:color="auto"/>
        <w:right w:val="none" w:sz="0" w:space="0" w:color="auto"/>
      </w:divBdr>
    </w:div>
    <w:div w:id="286470139">
      <w:bodyDiv w:val="1"/>
      <w:marLeft w:val="0"/>
      <w:marRight w:val="0"/>
      <w:marTop w:val="0"/>
      <w:marBottom w:val="0"/>
      <w:divBdr>
        <w:top w:val="none" w:sz="0" w:space="0" w:color="auto"/>
        <w:left w:val="none" w:sz="0" w:space="0" w:color="auto"/>
        <w:bottom w:val="none" w:sz="0" w:space="0" w:color="auto"/>
        <w:right w:val="none" w:sz="0" w:space="0" w:color="auto"/>
      </w:divBdr>
    </w:div>
    <w:div w:id="329212063">
      <w:bodyDiv w:val="1"/>
      <w:marLeft w:val="0"/>
      <w:marRight w:val="0"/>
      <w:marTop w:val="0"/>
      <w:marBottom w:val="0"/>
      <w:divBdr>
        <w:top w:val="none" w:sz="0" w:space="0" w:color="auto"/>
        <w:left w:val="none" w:sz="0" w:space="0" w:color="auto"/>
        <w:bottom w:val="none" w:sz="0" w:space="0" w:color="auto"/>
        <w:right w:val="none" w:sz="0" w:space="0" w:color="auto"/>
      </w:divBdr>
    </w:div>
    <w:div w:id="342242791">
      <w:bodyDiv w:val="1"/>
      <w:marLeft w:val="0"/>
      <w:marRight w:val="0"/>
      <w:marTop w:val="0"/>
      <w:marBottom w:val="0"/>
      <w:divBdr>
        <w:top w:val="none" w:sz="0" w:space="0" w:color="auto"/>
        <w:left w:val="none" w:sz="0" w:space="0" w:color="auto"/>
        <w:bottom w:val="none" w:sz="0" w:space="0" w:color="auto"/>
        <w:right w:val="none" w:sz="0" w:space="0" w:color="auto"/>
      </w:divBdr>
    </w:div>
    <w:div w:id="351878448">
      <w:bodyDiv w:val="1"/>
      <w:marLeft w:val="0"/>
      <w:marRight w:val="0"/>
      <w:marTop w:val="0"/>
      <w:marBottom w:val="0"/>
      <w:divBdr>
        <w:top w:val="none" w:sz="0" w:space="0" w:color="auto"/>
        <w:left w:val="none" w:sz="0" w:space="0" w:color="auto"/>
        <w:bottom w:val="none" w:sz="0" w:space="0" w:color="auto"/>
        <w:right w:val="none" w:sz="0" w:space="0" w:color="auto"/>
      </w:divBdr>
    </w:div>
    <w:div w:id="354620456">
      <w:bodyDiv w:val="1"/>
      <w:marLeft w:val="0"/>
      <w:marRight w:val="0"/>
      <w:marTop w:val="0"/>
      <w:marBottom w:val="0"/>
      <w:divBdr>
        <w:top w:val="none" w:sz="0" w:space="0" w:color="auto"/>
        <w:left w:val="none" w:sz="0" w:space="0" w:color="auto"/>
        <w:bottom w:val="none" w:sz="0" w:space="0" w:color="auto"/>
        <w:right w:val="none" w:sz="0" w:space="0" w:color="auto"/>
      </w:divBdr>
    </w:div>
    <w:div w:id="379397887">
      <w:bodyDiv w:val="1"/>
      <w:marLeft w:val="0"/>
      <w:marRight w:val="0"/>
      <w:marTop w:val="0"/>
      <w:marBottom w:val="0"/>
      <w:divBdr>
        <w:top w:val="none" w:sz="0" w:space="0" w:color="auto"/>
        <w:left w:val="none" w:sz="0" w:space="0" w:color="auto"/>
        <w:bottom w:val="none" w:sz="0" w:space="0" w:color="auto"/>
        <w:right w:val="none" w:sz="0" w:space="0" w:color="auto"/>
      </w:divBdr>
    </w:div>
    <w:div w:id="394163024">
      <w:bodyDiv w:val="1"/>
      <w:marLeft w:val="0"/>
      <w:marRight w:val="0"/>
      <w:marTop w:val="0"/>
      <w:marBottom w:val="0"/>
      <w:divBdr>
        <w:top w:val="none" w:sz="0" w:space="0" w:color="auto"/>
        <w:left w:val="none" w:sz="0" w:space="0" w:color="auto"/>
        <w:bottom w:val="none" w:sz="0" w:space="0" w:color="auto"/>
        <w:right w:val="none" w:sz="0" w:space="0" w:color="auto"/>
      </w:divBdr>
    </w:div>
    <w:div w:id="411197189">
      <w:bodyDiv w:val="1"/>
      <w:marLeft w:val="0"/>
      <w:marRight w:val="0"/>
      <w:marTop w:val="0"/>
      <w:marBottom w:val="0"/>
      <w:divBdr>
        <w:top w:val="none" w:sz="0" w:space="0" w:color="auto"/>
        <w:left w:val="none" w:sz="0" w:space="0" w:color="auto"/>
        <w:bottom w:val="none" w:sz="0" w:space="0" w:color="auto"/>
        <w:right w:val="none" w:sz="0" w:space="0" w:color="auto"/>
      </w:divBdr>
    </w:div>
    <w:div w:id="417026160">
      <w:bodyDiv w:val="1"/>
      <w:marLeft w:val="0"/>
      <w:marRight w:val="0"/>
      <w:marTop w:val="0"/>
      <w:marBottom w:val="0"/>
      <w:divBdr>
        <w:top w:val="none" w:sz="0" w:space="0" w:color="auto"/>
        <w:left w:val="none" w:sz="0" w:space="0" w:color="auto"/>
        <w:bottom w:val="none" w:sz="0" w:space="0" w:color="auto"/>
        <w:right w:val="none" w:sz="0" w:space="0" w:color="auto"/>
      </w:divBdr>
    </w:div>
    <w:div w:id="423843484">
      <w:bodyDiv w:val="1"/>
      <w:marLeft w:val="0"/>
      <w:marRight w:val="0"/>
      <w:marTop w:val="0"/>
      <w:marBottom w:val="0"/>
      <w:divBdr>
        <w:top w:val="none" w:sz="0" w:space="0" w:color="auto"/>
        <w:left w:val="none" w:sz="0" w:space="0" w:color="auto"/>
        <w:bottom w:val="none" w:sz="0" w:space="0" w:color="auto"/>
        <w:right w:val="none" w:sz="0" w:space="0" w:color="auto"/>
      </w:divBdr>
    </w:div>
    <w:div w:id="439423685">
      <w:bodyDiv w:val="1"/>
      <w:marLeft w:val="0"/>
      <w:marRight w:val="0"/>
      <w:marTop w:val="0"/>
      <w:marBottom w:val="0"/>
      <w:divBdr>
        <w:top w:val="none" w:sz="0" w:space="0" w:color="auto"/>
        <w:left w:val="none" w:sz="0" w:space="0" w:color="auto"/>
        <w:bottom w:val="none" w:sz="0" w:space="0" w:color="auto"/>
        <w:right w:val="none" w:sz="0" w:space="0" w:color="auto"/>
      </w:divBdr>
    </w:div>
    <w:div w:id="458915126">
      <w:bodyDiv w:val="1"/>
      <w:marLeft w:val="0"/>
      <w:marRight w:val="0"/>
      <w:marTop w:val="0"/>
      <w:marBottom w:val="0"/>
      <w:divBdr>
        <w:top w:val="none" w:sz="0" w:space="0" w:color="auto"/>
        <w:left w:val="none" w:sz="0" w:space="0" w:color="auto"/>
        <w:bottom w:val="none" w:sz="0" w:space="0" w:color="auto"/>
        <w:right w:val="none" w:sz="0" w:space="0" w:color="auto"/>
      </w:divBdr>
    </w:div>
    <w:div w:id="464200251">
      <w:bodyDiv w:val="1"/>
      <w:marLeft w:val="0"/>
      <w:marRight w:val="0"/>
      <w:marTop w:val="0"/>
      <w:marBottom w:val="0"/>
      <w:divBdr>
        <w:top w:val="none" w:sz="0" w:space="0" w:color="auto"/>
        <w:left w:val="none" w:sz="0" w:space="0" w:color="auto"/>
        <w:bottom w:val="none" w:sz="0" w:space="0" w:color="auto"/>
        <w:right w:val="none" w:sz="0" w:space="0" w:color="auto"/>
      </w:divBdr>
    </w:div>
    <w:div w:id="477263286">
      <w:bodyDiv w:val="1"/>
      <w:marLeft w:val="0"/>
      <w:marRight w:val="0"/>
      <w:marTop w:val="0"/>
      <w:marBottom w:val="0"/>
      <w:divBdr>
        <w:top w:val="none" w:sz="0" w:space="0" w:color="auto"/>
        <w:left w:val="none" w:sz="0" w:space="0" w:color="auto"/>
        <w:bottom w:val="none" w:sz="0" w:space="0" w:color="auto"/>
        <w:right w:val="none" w:sz="0" w:space="0" w:color="auto"/>
      </w:divBdr>
    </w:div>
    <w:div w:id="481192998">
      <w:bodyDiv w:val="1"/>
      <w:marLeft w:val="0"/>
      <w:marRight w:val="0"/>
      <w:marTop w:val="0"/>
      <w:marBottom w:val="0"/>
      <w:divBdr>
        <w:top w:val="none" w:sz="0" w:space="0" w:color="auto"/>
        <w:left w:val="none" w:sz="0" w:space="0" w:color="auto"/>
        <w:bottom w:val="none" w:sz="0" w:space="0" w:color="auto"/>
        <w:right w:val="none" w:sz="0" w:space="0" w:color="auto"/>
      </w:divBdr>
    </w:div>
    <w:div w:id="481625886">
      <w:bodyDiv w:val="1"/>
      <w:marLeft w:val="0"/>
      <w:marRight w:val="0"/>
      <w:marTop w:val="0"/>
      <w:marBottom w:val="0"/>
      <w:divBdr>
        <w:top w:val="none" w:sz="0" w:space="0" w:color="auto"/>
        <w:left w:val="none" w:sz="0" w:space="0" w:color="auto"/>
        <w:bottom w:val="none" w:sz="0" w:space="0" w:color="auto"/>
        <w:right w:val="none" w:sz="0" w:space="0" w:color="auto"/>
      </w:divBdr>
    </w:div>
    <w:div w:id="495414249">
      <w:bodyDiv w:val="1"/>
      <w:marLeft w:val="0"/>
      <w:marRight w:val="0"/>
      <w:marTop w:val="0"/>
      <w:marBottom w:val="0"/>
      <w:divBdr>
        <w:top w:val="none" w:sz="0" w:space="0" w:color="auto"/>
        <w:left w:val="none" w:sz="0" w:space="0" w:color="auto"/>
        <w:bottom w:val="none" w:sz="0" w:space="0" w:color="auto"/>
        <w:right w:val="none" w:sz="0" w:space="0" w:color="auto"/>
      </w:divBdr>
    </w:div>
    <w:div w:id="506093169">
      <w:bodyDiv w:val="1"/>
      <w:marLeft w:val="0"/>
      <w:marRight w:val="0"/>
      <w:marTop w:val="0"/>
      <w:marBottom w:val="0"/>
      <w:divBdr>
        <w:top w:val="none" w:sz="0" w:space="0" w:color="auto"/>
        <w:left w:val="none" w:sz="0" w:space="0" w:color="auto"/>
        <w:bottom w:val="none" w:sz="0" w:space="0" w:color="auto"/>
        <w:right w:val="none" w:sz="0" w:space="0" w:color="auto"/>
      </w:divBdr>
    </w:div>
    <w:div w:id="513808458">
      <w:bodyDiv w:val="1"/>
      <w:marLeft w:val="0"/>
      <w:marRight w:val="0"/>
      <w:marTop w:val="0"/>
      <w:marBottom w:val="0"/>
      <w:divBdr>
        <w:top w:val="none" w:sz="0" w:space="0" w:color="auto"/>
        <w:left w:val="none" w:sz="0" w:space="0" w:color="auto"/>
        <w:bottom w:val="none" w:sz="0" w:space="0" w:color="auto"/>
        <w:right w:val="none" w:sz="0" w:space="0" w:color="auto"/>
      </w:divBdr>
    </w:div>
    <w:div w:id="525292203">
      <w:bodyDiv w:val="1"/>
      <w:marLeft w:val="0"/>
      <w:marRight w:val="0"/>
      <w:marTop w:val="0"/>
      <w:marBottom w:val="0"/>
      <w:divBdr>
        <w:top w:val="none" w:sz="0" w:space="0" w:color="auto"/>
        <w:left w:val="none" w:sz="0" w:space="0" w:color="auto"/>
        <w:bottom w:val="none" w:sz="0" w:space="0" w:color="auto"/>
        <w:right w:val="none" w:sz="0" w:space="0" w:color="auto"/>
      </w:divBdr>
    </w:div>
    <w:div w:id="545260782">
      <w:bodyDiv w:val="1"/>
      <w:marLeft w:val="0"/>
      <w:marRight w:val="0"/>
      <w:marTop w:val="0"/>
      <w:marBottom w:val="0"/>
      <w:divBdr>
        <w:top w:val="none" w:sz="0" w:space="0" w:color="auto"/>
        <w:left w:val="none" w:sz="0" w:space="0" w:color="auto"/>
        <w:bottom w:val="none" w:sz="0" w:space="0" w:color="auto"/>
        <w:right w:val="none" w:sz="0" w:space="0" w:color="auto"/>
      </w:divBdr>
    </w:div>
    <w:div w:id="550266607">
      <w:bodyDiv w:val="1"/>
      <w:marLeft w:val="0"/>
      <w:marRight w:val="0"/>
      <w:marTop w:val="0"/>
      <w:marBottom w:val="0"/>
      <w:divBdr>
        <w:top w:val="none" w:sz="0" w:space="0" w:color="auto"/>
        <w:left w:val="none" w:sz="0" w:space="0" w:color="auto"/>
        <w:bottom w:val="none" w:sz="0" w:space="0" w:color="auto"/>
        <w:right w:val="none" w:sz="0" w:space="0" w:color="auto"/>
      </w:divBdr>
    </w:div>
    <w:div w:id="561409673">
      <w:bodyDiv w:val="1"/>
      <w:marLeft w:val="0"/>
      <w:marRight w:val="0"/>
      <w:marTop w:val="0"/>
      <w:marBottom w:val="0"/>
      <w:divBdr>
        <w:top w:val="none" w:sz="0" w:space="0" w:color="auto"/>
        <w:left w:val="none" w:sz="0" w:space="0" w:color="auto"/>
        <w:bottom w:val="none" w:sz="0" w:space="0" w:color="auto"/>
        <w:right w:val="none" w:sz="0" w:space="0" w:color="auto"/>
      </w:divBdr>
    </w:div>
    <w:div w:id="605816195">
      <w:bodyDiv w:val="1"/>
      <w:marLeft w:val="0"/>
      <w:marRight w:val="0"/>
      <w:marTop w:val="0"/>
      <w:marBottom w:val="0"/>
      <w:divBdr>
        <w:top w:val="none" w:sz="0" w:space="0" w:color="auto"/>
        <w:left w:val="none" w:sz="0" w:space="0" w:color="auto"/>
        <w:bottom w:val="none" w:sz="0" w:space="0" w:color="auto"/>
        <w:right w:val="none" w:sz="0" w:space="0" w:color="auto"/>
      </w:divBdr>
    </w:div>
    <w:div w:id="607741889">
      <w:bodyDiv w:val="1"/>
      <w:marLeft w:val="0"/>
      <w:marRight w:val="0"/>
      <w:marTop w:val="0"/>
      <w:marBottom w:val="0"/>
      <w:divBdr>
        <w:top w:val="none" w:sz="0" w:space="0" w:color="auto"/>
        <w:left w:val="none" w:sz="0" w:space="0" w:color="auto"/>
        <w:bottom w:val="none" w:sz="0" w:space="0" w:color="auto"/>
        <w:right w:val="none" w:sz="0" w:space="0" w:color="auto"/>
      </w:divBdr>
    </w:div>
    <w:div w:id="618533413">
      <w:bodyDiv w:val="1"/>
      <w:marLeft w:val="0"/>
      <w:marRight w:val="0"/>
      <w:marTop w:val="0"/>
      <w:marBottom w:val="0"/>
      <w:divBdr>
        <w:top w:val="none" w:sz="0" w:space="0" w:color="auto"/>
        <w:left w:val="none" w:sz="0" w:space="0" w:color="auto"/>
        <w:bottom w:val="none" w:sz="0" w:space="0" w:color="auto"/>
        <w:right w:val="none" w:sz="0" w:space="0" w:color="auto"/>
      </w:divBdr>
    </w:div>
    <w:div w:id="628051884">
      <w:bodyDiv w:val="1"/>
      <w:marLeft w:val="0"/>
      <w:marRight w:val="0"/>
      <w:marTop w:val="0"/>
      <w:marBottom w:val="0"/>
      <w:divBdr>
        <w:top w:val="none" w:sz="0" w:space="0" w:color="auto"/>
        <w:left w:val="none" w:sz="0" w:space="0" w:color="auto"/>
        <w:bottom w:val="none" w:sz="0" w:space="0" w:color="auto"/>
        <w:right w:val="none" w:sz="0" w:space="0" w:color="auto"/>
      </w:divBdr>
    </w:div>
    <w:div w:id="645400963">
      <w:bodyDiv w:val="1"/>
      <w:marLeft w:val="0"/>
      <w:marRight w:val="0"/>
      <w:marTop w:val="0"/>
      <w:marBottom w:val="0"/>
      <w:divBdr>
        <w:top w:val="none" w:sz="0" w:space="0" w:color="auto"/>
        <w:left w:val="none" w:sz="0" w:space="0" w:color="auto"/>
        <w:bottom w:val="none" w:sz="0" w:space="0" w:color="auto"/>
        <w:right w:val="none" w:sz="0" w:space="0" w:color="auto"/>
      </w:divBdr>
    </w:div>
    <w:div w:id="656229184">
      <w:bodyDiv w:val="1"/>
      <w:marLeft w:val="0"/>
      <w:marRight w:val="0"/>
      <w:marTop w:val="0"/>
      <w:marBottom w:val="0"/>
      <w:divBdr>
        <w:top w:val="none" w:sz="0" w:space="0" w:color="auto"/>
        <w:left w:val="none" w:sz="0" w:space="0" w:color="auto"/>
        <w:bottom w:val="none" w:sz="0" w:space="0" w:color="auto"/>
        <w:right w:val="none" w:sz="0" w:space="0" w:color="auto"/>
      </w:divBdr>
    </w:div>
    <w:div w:id="656375549">
      <w:bodyDiv w:val="1"/>
      <w:marLeft w:val="0"/>
      <w:marRight w:val="0"/>
      <w:marTop w:val="0"/>
      <w:marBottom w:val="0"/>
      <w:divBdr>
        <w:top w:val="none" w:sz="0" w:space="0" w:color="auto"/>
        <w:left w:val="none" w:sz="0" w:space="0" w:color="auto"/>
        <w:bottom w:val="none" w:sz="0" w:space="0" w:color="auto"/>
        <w:right w:val="none" w:sz="0" w:space="0" w:color="auto"/>
      </w:divBdr>
    </w:div>
    <w:div w:id="673533645">
      <w:bodyDiv w:val="1"/>
      <w:marLeft w:val="0"/>
      <w:marRight w:val="0"/>
      <w:marTop w:val="0"/>
      <w:marBottom w:val="0"/>
      <w:divBdr>
        <w:top w:val="none" w:sz="0" w:space="0" w:color="auto"/>
        <w:left w:val="none" w:sz="0" w:space="0" w:color="auto"/>
        <w:bottom w:val="none" w:sz="0" w:space="0" w:color="auto"/>
        <w:right w:val="none" w:sz="0" w:space="0" w:color="auto"/>
      </w:divBdr>
    </w:div>
    <w:div w:id="674962332">
      <w:bodyDiv w:val="1"/>
      <w:marLeft w:val="0"/>
      <w:marRight w:val="0"/>
      <w:marTop w:val="0"/>
      <w:marBottom w:val="0"/>
      <w:divBdr>
        <w:top w:val="none" w:sz="0" w:space="0" w:color="auto"/>
        <w:left w:val="none" w:sz="0" w:space="0" w:color="auto"/>
        <w:bottom w:val="none" w:sz="0" w:space="0" w:color="auto"/>
        <w:right w:val="none" w:sz="0" w:space="0" w:color="auto"/>
      </w:divBdr>
    </w:div>
    <w:div w:id="680358502">
      <w:bodyDiv w:val="1"/>
      <w:marLeft w:val="0"/>
      <w:marRight w:val="0"/>
      <w:marTop w:val="0"/>
      <w:marBottom w:val="0"/>
      <w:divBdr>
        <w:top w:val="none" w:sz="0" w:space="0" w:color="auto"/>
        <w:left w:val="none" w:sz="0" w:space="0" w:color="auto"/>
        <w:bottom w:val="none" w:sz="0" w:space="0" w:color="auto"/>
        <w:right w:val="none" w:sz="0" w:space="0" w:color="auto"/>
      </w:divBdr>
    </w:div>
    <w:div w:id="681274108">
      <w:bodyDiv w:val="1"/>
      <w:marLeft w:val="0"/>
      <w:marRight w:val="0"/>
      <w:marTop w:val="0"/>
      <w:marBottom w:val="0"/>
      <w:divBdr>
        <w:top w:val="none" w:sz="0" w:space="0" w:color="auto"/>
        <w:left w:val="none" w:sz="0" w:space="0" w:color="auto"/>
        <w:bottom w:val="none" w:sz="0" w:space="0" w:color="auto"/>
        <w:right w:val="none" w:sz="0" w:space="0" w:color="auto"/>
      </w:divBdr>
    </w:div>
    <w:div w:id="705714128">
      <w:bodyDiv w:val="1"/>
      <w:marLeft w:val="0"/>
      <w:marRight w:val="0"/>
      <w:marTop w:val="0"/>
      <w:marBottom w:val="0"/>
      <w:divBdr>
        <w:top w:val="none" w:sz="0" w:space="0" w:color="auto"/>
        <w:left w:val="none" w:sz="0" w:space="0" w:color="auto"/>
        <w:bottom w:val="none" w:sz="0" w:space="0" w:color="auto"/>
        <w:right w:val="none" w:sz="0" w:space="0" w:color="auto"/>
      </w:divBdr>
    </w:div>
    <w:div w:id="737558770">
      <w:bodyDiv w:val="1"/>
      <w:marLeft w:val="0"/>
      <w:marRight w:val="0"/>
      <w:marTop w:val="0"/>
      <w:marBottom w:val="0"/>
      <w:divBdr>
        <w:top w:val="none" w:sz="0" w:space="0" w:color="auto"/>
        <w:left w:val="none" w:sz="0" w:space="0" w:color="auto"/>
        <w:bottom w:val="none" w:sz="0" w:space="0" w:color="auto"/>
        <w:right w:val="none" w:sz="0" w:space="0" w:color="auto"/>
      </w:divBdr>
    </w:div>
    <w:div w:id="780342913">
      <w:bodyDiv w:val="1"/>
      <w:marLeft w:val="0"/>
      <w:marRight w:val="0"/>
      <w:marTop w:val="0"/>
      <w:marBottom w:val="0"/>
      <w:divBdr>
        <w:top w:val="none" w:sz="0" w:space="0" w:color="auto"/>
        <w:left w:val="none" w:sz="0" w:space="0" w:color="auto"/>
        <w:bottom w:val="none" w:sz="0" w:space="0" w:color="auto"/>
        <w:right w:val="none" w:sz="0" w:space="0" w:color="auto"/>
      </w:divBdr>
    </w:div>
    <w:div w:id="798839765">
      <w:bodyDiv w:val="1"/>
      <w:marLeft w:val="0"/>
      <w:marRight w:val="0"/>
      <w:marTop w:val="0"/>
      <w:marBottom w:val="0"/>
      <w:divBdr>
        <w:top w:val="none" w:sz="0" w:space="0" w:color="auto"/>
        <w:left w:val="none" w:sz="0" w:space="0" w:color="auto"/>
        <w:bottom w:val="none" w:sz="0" w:space="0" w:color="auto"/>
        <w:right w:val="none" w:sz="0" w:space="0" w:color="auto"/>
      </w:divBdr>
    </w:div>
    <w:div w:id="799693697">
      <w:bodyDiv w:val="1"/>
      <w:marLeft w:val="0"/>
      <w:marRight w:val="0"/>
      <w:marTop w:val="0"/>
      <w:marBottom w:val="0"/>
      <w:divBdr>
        <w:top w:val="none" w:sz="0" w:space="0" w:color="auto"/>
        <w:left w:val="none" w:sz="0" w:space="0" w:color="auto"/>
        <w:bottom w:val="none" w:sz="0" w:space="0" w:color="auto"/>
        <w:right w:val="none" w:sz="0" w:space="0" w:color="auto"/>
      </w:divBdr>
    </w:div>
    <w:div w:id="875392773">
      <w:bodyDiv w:val="1"/>
      <w:marLeft w:val="0"/>
      <w:marRight w:val="0"/>
      <w:marTop w:val="0"/>
      <w:marBottom w:val="0"/>
      <w:divBdr>
        <w:top w:val="none" w:sz="0" w:space="0" w:color="auto"/>
        <w:left w:val="none" w:sz="0" w:space="0" w:color="auto"/>
        <w:bottom w:val="none" w:sz="0" w:space="0" w:color="auto"/>
        <w:right w:val="none" w:sz="0" w:space="0" w:color="auto"/>
      </w:divBdr>
    </w:div>
    <w:div w:id="876358361">
      <w:bodyDiv w:val="1"/>
      <w:marLeft w:val="0"/>
      <w:marRight w:val="0"/>
      <w:marTop w:val="0"/>
      <w:marBottom w:val="0"/>
      <w:divBdr>
        <w:top w:val="none" w:sz="0" w:space="0" w:color="auto"/>
        <w:left w:val="none" w:sz="0" w:space="0" w:color="auto"/>
        <w:bottom w:val="none" w:sz="0" w:space="0" w:color="auto"/>
        <w:right w:val="none" w:sz="0" w:space="0" w:color="auto"/>
      </w:divBdr>
    </w:div>
    <w:div w:id="923220120">
      <w:bodyDiv w:val="1"/>
      <w:marLeft w:val="0"/>
      <w:marRight w:val="0"/>
      <w:marTop w:val="0"/>
      <w:marBottom w:val="0"/>
      <w:divBdr>
        <w:top w:val="none" w:sz="0" w:space="0" w:color="auto"/>
        <w:left w:val="none" w:sz="0" w:space="0" w:color="auto"/>
        <w:bottom w:val="none" w:sz="0" w:space="0" w:color="auto"/>
        <w:right w:val="none" w:sz="0" w:space="0" w:color="auto"/>
      </w:divBdr>
    </w:div>
    <w:div w:id="928150665">
      <w:bodyDiv w:val="1"/>
      <w:marLeft w:val="0"/>
      <w:marRight w:val="0"/>
      <w:marTop w:val="0"/>
      <w:marBottom w:val="0"/>
      <w:divBdr>
        <w:top w:val="none" w:sz="0" w:space="0" w:color="auto"/>
        <w:left w:val="none" w:sz="0" w:space="0" w:color="auto"/>
        <w:bottom w:val="none" w:sz="0" w:space="0" w:color="auto"/>
        <w:right w:val="none" w:sz="0" w:space="0" w:color="auto"/>
      </w:divBdr>
    </w:div>
    <w:div w:id="954096139">
      <w:bodyDiv w:val="1"/>
      <w:marLeft w:val="0"/>
      <w:marRight w:val="0"/>
      <w:marTop w:val="0"/>
      <w:marBottom w:val="0"/>
      <w:divBdr>
        <w:top w:val="none" w:sz="0" w:space="0" w:color="auto"/>
        <w:left w:val="none" w:sz="0" w:space="0" w:color="auto"/>
        <w:bottom w:val="none" w:sz="0" w:space="0" w:color="auto"/>
        <w:right w:val="none" w:sz="0" w:space="0" w:color="auto"/>
      </w:divBdr>
    </w:div>
    <w:div w:id="985235444">
      <w:bodyDiv w:val="1"/>
      <w:marLeft w:val="0"/>
      <w:marRight w:val="0"/>
      <w:marTop w:val="0"/>
      <w:marBottom w:val="0"/>
      <w:divBdr>
        <w:top w:val="none" w:sz="0" w:space="0" w:color="auto"/>
        <w:left w:val="none" w:sz="0" w:space="0" w:color="auto"/>
        <w:bottom w:val="none" w:sz="0" w:space="0" w:color="auto"/>
        <w:right w:val="none" w:sz="0" w:space="0" w:color="auto"/>
      </w:divBdr>
    </w:div>
    <w:div w:id="1010909560">
      <w:bodyDiv w:val="1"/>
      <w:marLeft w:val="0"/>
      <w:marRight w:val="0"/>
      <w:marTop w:val="0"/>
      <w:marBottom w:val="0"/>
      <w:divBdr>
        <w:top w:val="none" w:sz="0" w:space="0" w:color="auto"/>
        <w:left w:val="none" w:sz="0" w:space="0" w:color="auto"/>
        <w:bottom w:val="none" w:sz="0" w:space="0" w:color="auto"/>
        <w:right w:val="none" w:sz="0" w:space="0" w:color="auto"/>
      </w:divBdr>
    </w:div>
    <w:div w:id="1030226532">
      <w:bodyDiv w:val="1"/>
      <w:marLeft w:val="0"/>
      <w:marRight w:val="0"/>
      <w:marTop w:val="0"/>
      <w:marBottom w:val="0"/>
      <w:divBdr>
        <w:top w:val="none" w:sz="0" w:space="0" w:color="auto"/>
        <w:left w:val="none" w:sz="0" w:space="0" w:color="auto"/>
        <w:bottom w:val="none" w:sz="0" w:space="0" w:color="auto"/>
        <w:right w:val="none" w:sz="0" w:space="0" w:color="auto"/>
      </w:divBdr>
    </w:div>
    <w:div w:id="1086421270">
      <w:bodyDiv w:val="1"/>
      <w:marLeft w:val="0"/>
      <w:marRight w:val="0"/>
      <w:marTop w:val="0"/>
      <w:marBottom w:val="0"/>
      <w:divBdr>
        <w:top w:val="none" w:sz="0" w:space="0" w:color="auto"/>
        <w:left w:val="none" w:sz="0" w:space="0" w:color="auto"/>
        <w:bottom w:val="none" w:sz="0" w:space="0" w:color="auto"/>
        <w:right w:val="none" w:sz="0" w:space="0" w:color="auto"/>
      </w:divBdr>
    </w:div>
    <w:div w:id="1119689758">
      <w:bodyDiv w:val="1"/>
      <w:marLeft w:val="0"/>
      <w:marRight w:val="0"/>
      <w:marTop w:val="0"/>
      <w:marBottom w:val="0"/>
      <w:divBdr>
        <w:top w:val="none" w:sz="0" w:space="0" w:color="auto"/>
        <w:left w:val="none" w:sz="0" w:space="0" w:color="auto"/>
        <w:bottom w:val="none" w:sz="0" w:space="0" w:color="auto"/>
        <w:right w:val="none" w:sz="0" w:space="0" w:color="auto"/>
      </w:divBdr>
    </w:div>
    <w:div w:id="1125807211">
      <w:bodyDiv w:val="1"/>
      <w:marLeft w:val="0"/>
      <w:marRight w:val="0"/>
      <w:marTop w:val="0"/>
      <w:marBottom w:val="0"/>
      <w:divBdr>
        <w:top w:val="none" w:sz="0" w:space="0" w:color="auto"/>
        <w:left w:val="none" w:sz="0" w:space="0" w:color="auto"/>
        <w:bottom w:val="none" w:sz="0" w:space="0" w:color="auto"/>
        <w:right w:val="none" w:sz="0" w:space="0" w:color="auto"/>
      </w:divBdr>
    </w:div>
    <w:div w:id="1155410150">
      <w:bodyDiv w:val="1"/>
      <w:marLeft w:val="0"/>
      <w:marRight w:val="0"/>
      <w:marTop w:val="0"/>
      <w:marBottom w:val="0"/>
      <w:divBdr>
        <w:top w:val="none" w:sz="0" w:space="0" w:color="auto"/>
        <w:left w:val="none" w:sz="0" w:space="0" w:color="auto"/>
        <w:bottom w:val="none" w:sz="0" w:space="0" w:color="auto"/>
        <w:right w:val="none" w:sz="0" w:space="0" w:color="auto"/>
      </w:divBdr>
    </w:div>
    <w:div w:id="1158378301">
      <w:bodyDiv w:val="1"/>
      <w:marLeft w:val="0"/>
      <w:marRight w:val="0"/>
      <w:marTop w:val="0"/>
      <w:marBottom w:val="0"/>
      <w:divBdr>
        <w:top w:val="none" w:sz="0" w:space="0" w:color="auto"/>
        <w:left w:val="none" w:sz="0" w:space="0" w:color="auto"/>
        <w:bottom w:val="none" w:sz="0" w:space="0" w:color="auto"/>
        <w:right w:val="none" w:sz="0" w:space="0" w:color="auto"/>
      </w:divBdr>
    </w:div>
    <w:div w:id="1190872505">
      <w:bodyDiv w:val="1"/>
      <w:marLeft w:val="0"/>
      <w:marRight w:val="0"/>
      <w:marTop w:val="0"/>
      <w:marBottom w:val="0"/>
      <w:divBdr>
        <w:top w:val="none" w:sz="0" w:space="0" w:color="auto"/>
        <w:left w:val="none" w:sz="0" w:space="0" w:color="auto"/>
        <w:bottom w:val="none" w:sz="0" w:space="0" w:color="auto"/>
        <w:right w:val="none" w:sz="0" w:space="0" w:color="auto"/>
      </w:divBdr>
    </w:div>
    <w:div w:id="1195729959">
      <w:bodyDiv w:val="1"/>
      <w:marLeft w:val="0"/>
      <w:marRight w:val="0"/>
      <w:marTop w:val="0"/>
      <w:marBottom w:val="0"/>
      <w:divBdr>
        <w:top w:val="none" w:sz="0" w:space="0" w:color="auto"/>
        <w:left w:val="none" w:sz="0" w:space="0" w:color="auto"/>
        <w:bottom w:val="none" w:sz="0" w:space="0" w:color="auto"/>
        <w:right w:val="none" w:sz="0" w:space="0" w:color="auto"/>
      </w:divBdr>
    </w:div>
    <w:div w:id="1196693033">
      <w:bodyDiv w:val="1"/>
      <w:marLeft w:val="0"/>
      <w:marRight w:val="0"/>
      <w:marTop w:val="0"/>
      <w:marBottom w:val="0"/>
      <w:divBdr>
        <w:top w:val="none" w:sz="0" w:space="0" w:color="auto"/>
        <w:left w:val="none" w:sz="0" w:space="0" w:color="auto"/>
        <w:bottom w:val="none" w:sz="0" w:space="0" w:color="auto"/>
        <w:right w:val="none" w:sz="0" w:space="0" w:color="auto"/>
      </w:divBdr>
    </w:div>
    <w:div w:id="1210268661">
      <w:bodyDiv w:val="1"/>
      <w:marLeft w:val="0"/>
      <w:marRight w:val="0"/>
      <w:marTop w:val="0"/>
      <w:marBottom w:val="0"/>
      <w:divBdr>
        <w:top w:val="none" w:sz="0" w:space="0" w:color="auto"/>
        <w:left w:val="none" w:sz="0" w:space="0" w:color="auto"/>
        <w:bottom w:val="none" w:sz="0" w:space="0" w:color="auto"/>
        <w:right w:val="none" w:sz="0" w:space="0" w:color="auto"/>
      </w:divBdr>
    </w:div>
    <w:div w:id="1218473127">
      <w:bodyDiv w:val="1"/>
      <w:marLeft w:val="0"/>
      <w:marRight w:val="0"/>
      <w:marTop w:val="0"/>
      <w:marBottom w:val="0"/>
      <w:divBdr>
        <w:top w:val="none" w:sz="0" w:space="0" w:color="auto"/>
        <w:left w:val="none" w:sz="0" w:space="0" w:color="auto"/>
        <w:bottom w:val="none" w:sz="0" w:space="0" w:color="auto"/>
        <w:right w:val="none" w:sz="0" w:space="0" w:color="auto"/>
      </w:divBdr>
    </w:div>
    <w:div w:id="1222325927">
      <w:bodyDiv w:val="1"/>
      <w:marLeft w:val="0"/>
      <w:marRight w:val="0"/>
      <w:marTop w:val="0"/>
      <w:marBottom w:val="0"/>
      <w:divBdr>
        <w:top w:val="none" w:sz="0" w:space="0" w:color="auto"/>
        <w:left w:val="none" w:sz="0" w:space="0" w:color="auto"/>
        <w:bottom w:val="none" w:sz="0" w:space="0" w:color="auto"/>
        <w:right w:val="none" w:sz="0" w:space="0" w:color="auto"/>
      </w:divBdr>
    </w:div>
    <w:div w:id="1250895356">
      <w:bodyDiv w:val="1"/>
      <w:marLeft w:val="0"/>
      <w:marRight w:val="0"/>
      <w:marTop w:val="0"/>
      <w:marBottom w:val="0"/>
      <w:divBdr>
        <w:top w:val="none" w:sz="0" w:space="0" w:color="auto"/>
        <w:left w:val="none" w:sz="0" w:space="0" w:color="auto"/>
        <w:bottom w:val="none" w:sz="0" w:space="0" w:color="auto"/>
        <w:right w:val="none" w:sz="0" w:space="0" w:color="auto"/>
      </w:divBdr>
    </w:div>
    <w:div w:id="1253126492">
      <w:bodyDiv w:val="1"/>
      <w:marLeft w:val="0"/>
      <w:marRight w:val="0"/>
      <w:marTop w:val="0"/>
      <w:marBottom w:val="0"/>
      <w:divBdr>
        <w:top w:val="none" w:sz="0" w:space="0" w:color="auto"/>
        <w:left w:val="none" w:sz="0" w:space="0" w:color="auto"/>
        <w:bottom w:val="none" w:sz="0" w:space="0" w:color="auto"/>
        <w:right w:val="none" w:sz="0" w:space="0" w:color="auto"/>
      </w:divBdr>
    </w:div>
    <w:div w:id="1276792237">
      <w:bodyDiv w:val="1"/>
      <w:marLeft w:val="0"/>
      <w:marRight w:val="0"/>
      <w:marTop w:val="0"/>
      <w:marBottom w:val="0"/>
      <w:divBdr>
        <w:top w:val="none" w:sz="0" w:space="0" w:color="auto"/>
        <w:left w:val="none" w:sz="0" w:space="0" w:color="auto"/>
        <w:bottom w:val="none" w:sz="0" w:space="0" w:color="auto"/>
        <w:right w:val="none" w:sz="0" w:space="0" w:color="auto"/>
      </w:divBdr>
    </w:div>
    <w:div w:id="1286736813">
      <w:bodyDiv w:val="1"/>
      <w:marLeft w:val="0"/>
      <w:marRight w:val="0"/>
      <w:marTop w:val="0"/>
      <w:marBottom w:val="0"/>
      <w:divBdr>
        <w:top w:val="none" w:sz="0" w:space="0" w:color="auto"/>
        <w:left w:val="none" w:sz="0" w:space="0" w:color="auto"/>
        <w:bottom w:val="none" w:sz="0" w:space="0" w:color="auto"/>
        <w:right w:val="none" w:sz="0" w:space="0" w:color="auto"/>
      </w:divBdr>
    </w:div>
    <w:div w:id="1320230711">
      <w:bodyDiv w:val="1"/>
      <w:marLeft w:val="0"/>
      <w:marRight w:val="0"/>
      <w:marTop w:val="0"/>
      <w:marBottom w:val="0"/>
      <w:divBdr>
        <w:top w:val="none" w:sz="0" w:space="0" w:color="auto"/>
        <w:left w:val="none" w:sz="0" w:space="0" w:color="auto"/>
        <w:bottom w:val="none" w:sz="0" w:space="0" w:color="auto"/>
        <w:right w:val="none" w:sz="0" w:space="0" w:color="auto"/>
      </w:divBdr>
    </w:div>
    <w:div w:id="1328561092">
      <w:bodyDiv w:val="1"/>
      <w:marLeft w:val="0"/>
      <w:marRight w:val="0"/>
      <w:marTop w:val="0"/>
      <w:marBottom w:val="0"/>
      <w:divBdr>
        <w:top w:val="none" w:sz="0" w:space="0" w:color="auto"/>
        <w:left w:val="none" w:sz="0" w:space="0" w:color="auto"/>
        <w:bottom w:val="none" w:sz="0" w:space="0" w:color="auto"/>
        <w:right w:val="none" w:sz="0" w:space="0" w:color="auto"/>
      </w:divBdr>
    </w:div>
    <w:div w:id="1334801563">
      <w:bodyDiv w:val="1"/>
      <w:marLeft w:val="0"/>
      <w:marRight w:val="0"/>
      <w:marTop w:val="0"/>
      <w:marBottom w:val="0"/>
      <w:divBdr>
        <w:top w:val="none" w:sz="0" w:space="0" w:color="auto"/>
        <w:left w:val="none" w:sz="0" w:space="0" w:color="auto"/>
        <w:bottom w:val="none" w:sz="0" w:space="0" w:color="auto"/>
        <w:right w:val="none" w:sz="0" w:space="0" w:color="auto"/>
      </w:divBdr>
    </w:div>
    <w:div w:id="1349212580">
      <w:bodyDiv w:val="1"/>
      <w:marLeft w:val="0"/>
      <w:marRight w:val="0"/>
      <w:marTop w:val="0"/>
      <w:marBottom w:val="0"/>
      <w:divBdr>
        <w:top w:val="none" w:sz="0" w:space="0" w:color="auto"/>
        <w:left w:val="none" w:sz="0" w:space="0" w:color="auto"/>
        <w:bottom w:val="none" w:sz="0" w:space="0" w:color="auto"/>
        <w:right w:val="none" w:sz="0" w:space="0" w:color="auto"/>
      </w:divBdr>
    </w:div>
    <w:div w:id="1368874357">
      <w:bodyDiv w:val="1"/>
      <w:marLeft w:val="0"/>
      <w:marRight w:val="0"/>
      <w:marTop w:val="0"/>
      <w:marBottom w:val="0"/>
      <w:divBdr>
        <w:top w:val="none" w:sz="0" w:space="0" w:color="auto"/>
        <w:left w:val="none" w:sz="0" w:space="0" w:color="auto"/>
        <w:bottom w:val="none" w:sz="0" w:space="0" w:color="auto"/>
        <w:right w:val="none" w:sz="0" w:space="0" w:color="auto"/>
      </w:divBdr>
    </w:div>
    <w:div w:id="1383402345">
      <w:bodyDiv w:val="1"/>
      <w:marLeft w:val="0"/>
      <w:marRight w:val="0"/>
      <w:marTop w:val="0"/>
      <w:marBottom w:val="0"/>
      <w:divBdr>
        <w:top w:val="none" w:sz="0" w:space="0" w:color="auto"/>
        <w:left w:val="none" w:sz="0" w:space="0" w:color="auto"/>
        <w:bottom w:val="none" w:sz="0" w:space="0" w:color="auto"/>
        <w:right w:val="none" w:sz="0" w:space="0" w:color="auto"/>
      </w:divBdr>
    </w:div>
    <w:div w:id="1384331210">
      <w:bodyDiv w:val="1"/>
      <w:marLeft w:val="0"/>
      <w:marRight w:val="0"/>
      <w:marTop w:val="0"/>
      <w:marBottom w:val="0"/>
      <w:divBdr>
        <w:top w:val="none" w:sz="0" w:space="0" w:color="auto"/>
        <w:left w:val="none" w:sz="0" w:space="0" w:color="auto"/>
        <w:bottom w:val="none" w:sz="0" w:space="0" w:color="auto"/>
        <w:right w:val="none" w:sz="0" w:space="0" w:color="auto"/>
      </w:divBdr>
    </w:div>
    <w:div w:id="1417895605">
      <w:bodyDiv w:val="1"/>
      <w:marLeft w:val="0"/>
      <w:marRight w:val="0"/>
      <w:marTop w:val="0"/>
      <w:marBottom w:val="0"/>
      <w:divBdr>
        <w:top w:val="none" w:sz="0" w:space="0" w:color="auto"/>
        <w:left w:val="none" w:sz="0" w:space="0" w:color="auto"/>
        <w:bottom w:val="none" w:sz="0" w:space="0" w:color="auto"/>
        <w:right w:val="none" w:sz="0" w:space="0" w:color="auto"/>
      </w:divBdr>
    </w:div>
    <w:div w:id="1418752055">
      <w:bodyDiv w:val="1"/>
      <w:marLeft w:val="0"/>
      <w:marRight w:val="0"/>
      <w:marTop w:val="0"/>
      <w:marBottom w:val="0"/>
      <w:divBdr>
        <w:top w:val="none" w:sz="0" w:space="0" w:color="auto"/>
        <w:left w:val="none" w:sz="0" w:space="0" w:color="auto"/>
        <w:bottom w:val="none" w:sz="0" w:space="0" w:color="auto"/>
        <w:right w:val="none" w:sz="0" w:space="0" w:color="auto"/>
      </w:divBdr>
    </w:div>
    <w:div w:id="1425955633">
      <w:bodyDiv w:val="1"/>
      <w:marLeft w:val="0"/>
      <w:marRight w:val="0"/>
      <w:marTop w:val="0"/>
      <w:marBottom w:val="0"/>
      <w:divBdr>
        <w:top w:val="none" w:sz="0" w:space="0" w:color="auto"/>
        <w:left w:val="none" w:sz="0" w:space="0" w:color="auto"/>
        <w:bottom w:val="none" w:sz="0" w:space="0" w:color="auto"/>
        <w:right w:val="none" w:sz="0" w:space="0" w:color="auto"/>
      </w:divBdr>
    </w:div>
    <w:div w:id="1458374430">
      <w:bodyDiv w:val="1"/>
      <w:marLeft w:val="0"/>
      <w:marRight w:val="0"/>
      <w:marTop w:val="0"/>
      <w:marBottom w:val="0"/>
      <w:divBdr>
        <w:top w:val="none" w:sz="0" w:space="0" w:color="auto"/>
        <w:left w:val="none" w:sz="0" w:space="0" w:color="auto"/>
        <w:bottom w:val="none" w:sz="0" w:space="0" w:color="auto"/>
        <w:right w:val="none" w:sz="0" w:space="0" w:color="auto"/>
      </w:divBdr>
    </w:div>
    <w:div w:id="1477986928">
      <w:bodyDiv w:val="1"/>
      <w:marLeft w:val="0"/>
      <w:marRight w:val="0"/>
      <w:marTop w:val="0"/>
      <w:marBottom w:val="0"/>
      <w:divBdr>
        <w:top w:val="none" w:sz="0" w:space="0" w:color="auto"/>
        <w:left w:val="none" w:sz="0" w:space="0" w:color="auto"/>
        <w:bottom w:val="none" w:sz="0" w:space="0" w:color="auto"/>
        <w:right w:val="none" w:sz="0" w:space="0" w:color="auto"/>
      </w:divBdr>
    </w:div>
    <w:div w:id="1510097664">
      <w:bodyDiv w:val="1"/>
      <w:marLeft w:val="0"/>
      <w:marRight w:val="0"/>
      <w:marTop w:val="0"/>
      <w:marBottom w:val="0"/>
      <w:divBdr>
        <w:top w:val="none" w:sz="0" w:space="0" w:color="auto"/>
        <w:left w:val="none" w:sz="0" w:space="0" w:color="auto"/>
        <w:bottom w:val="none" w:sz="0" w:space="0" w:color="auto"/>
        <w:right w:val="none" w:sz="0" w:space="0" w:color="auto"/>
      </w:divBdr>
    </w:div>
    <w:div w:id="1534149003">
      <w:bodyDiv w:val="1"/>
      <w:marLeft w:val="0"/>
      <w:marRight w:val="0"/>
      <w:marTop w:val="0"/>
      <w:marBottom w:val="0"/>
      <w:divBdr>
        <w:top w:val="none" w:sz="0" w:space="0" w:color="auto"/>
        <w:left w:val="none" w:sz="0" w:space="0" w:color="auto"/>
        <w:bottom w:val="none" w:sz="0" w:space="0" w:color="auto"/>
        <w:right w:val="none" w:sz="0" w:space="0" w:color="auto"/>
      </w:divBdr>
    </w:div>
    <w:div w:id="1540555850">
      <w:bodyDiv w:val="1"/>
      <w:marLeft w:val="0"/>
      <w:marRight w:val="0"/>
      <w:marTop w:val="0"/>
      <w:marBottom w:val="0"/>
      <w:divBdr>
        <w:top w:val="none" w:sz="0" w:space="0" w:color="auto"/>
        <w:left w:val="none" w:sz="0" w:space="0" w:color="auto"/>
        <w:bottom w:val="none" w:sz="0" w:space="0" w:color="auto"/>
        <w:right w:val="none" w:sz="0" w:space="0" w:color="auto"/>
      </w:divBdr>
    </w:div>
    <w:div w:id="1569874951">
      <w:bodyDiv w:val="1"/>
      <w:marLeft w:val="0"/>
      <w:marRight w:val="0"/>
      <w:marTop w:val="0"/>
      <w:marBottom w:val="0"/>
      <w:divBdr>
        <w:top w:val="none" w:sz="0" w:space="0" w:color="auto"/>
        <w:left w:val="none" w:sz="0" w:space="0" w:color="auto"/>
        <w:bottom w:val="none" w:sz="0" w:space="0" w:color="auto"/>
        <w:right w:val="none" w:sz="0" w:space="0" w:color="auto"/>
      </w:divBdr>
    </w:div>
    <w:div w:id="1605727336">
      <w:bodyDiv w:val="1"/>
      <w:marLeft w:val="0"/>
      <w:marRight w:val="0"/>
      <w:marTop w:val="0"/>
      <w:marBottom w:val="0"/>
      <w:divBdr>
        <w:top w:val="none" w:sz="0" w:space="0" w:color="auto"/>
        <w:left w:val="none" w:sz="0" w:space="0" w:color="auto"/>
        <w:bottom w:val="none" w:sz="0" w:space="0" w:color="auto"/>
        <w:right w:val="none" w:sz="0" w:space="0" w:color="auto"/>
      </w:divBdr>
    </w:div>
    <w:div w:id="1606885158">
      <w:bodyDiv w:val="1"/>
      <w:marLeft w:val="0"/>
      <w:marRight w:val="0"/>
      <w:marTop w:val="0"/>
      <w:marBottom w:val="0"/>
      <w:divBdr>
        <w:top w:val="none" w:sz="0" w:space="0" w:color="auto"/>
        <w:left w:val="none" w:sz="0" w:space="0" w:color="auto"/>
        <w:bottom w:val="none" w:sz="0" w:space="0" w:color="auto"/>
        <w:right w:val="none" w:sz="0" w:space="0" w:color="auto"/>
      </w:divBdr>
    </w:div>
    <w:div w:id="1614676465">
      <w:bodyDiv w:val="1"/>
      <w:marLeft w:val="0"/>
      <w:marRight w:val="0"/>
      <w:marTop w:val="0"/>
      <w:marBottom w:val="0"/>
      <w:divBdr>
        <w:top w:val="none" w:sz="0" w:space="0" w:color="auto"/>
        <w:left w:val="none" w:sz="0" w:space="0" w:color="auto"/>
        <w:bottom w:val="none" w:sz="0" w:space="0" w:color="auto"/>
        <w:right w:val="none" w:sz="0" w:space="0" w:color="auto"/>
      </w:divBdr>
    </w:div>
    <w:div w:id="1644580667">
      <w:bodyDiv w:val="1"/>
      <w:marLeft w:val="0"/>
      <w:marRight w:val="0"/>
      <w:marTop w:val="0"/>
      <w:marBottom w:val="0"/>
      <w:divBdr>
        <w:top w:val="none" w:sz="0" w:space="0" w:color="auto"/>
        <w:left w:val="none" w:sz="0" w:space="0" w:color="auto"/>
        <w:bottom w:val="none" w:sz="0" w:space="0" w:color="auto"/>
        <w:right w:val="none" w:sz="0" w:space="0" w:color="auto"/>
      </w:divBdr>
    </w:div>
    <w:div w:id="1680351964">
      <w:bodyDiv w:val="1"/>
      <w:marLeft w:val="0"/>
      <w:marRight w:val="0"/>
      <w:marTop w:val="0"/>
      <w:marBottom w:val="0"/>
      <w:divBdr>
        <w:top w:val="none" w:sz="0" w:space="0" w:color="auto"/>
        <w:left w:val="none" w:sz="0" w:space="0" w:color="auto"/>
        <w:bottom w:val="none" w:sz="0" w:space="0" w:color="auto"/>
        <w:right w:val="none" w:sz="0" w:space="0" w:color="auto"/>
      </w:divBdr>
    </w:div>
    <w:div w:id="1687444307">
      <w:bodyDiv w:val="1"/>
      <w:marLeft w:val="0"/>
      <w:marRight w:val="0"/>
      <w:marTop w:val="0"/>
      <w:marBottom w:val="0"/>
      <w:divBdr>
        <w:top w:val="none" w:sz="0" w:space="0" w:color="auto"/>
        <w:left w:val="none" w:sz="0" w:space="0" w:color="auto"/>
        <w:bottom w:val="none" w:sz="0" w:space="0" w:color="auto"/>
        <w:right w:val="none" w:sz="0" w:space="0" w:color="auto"/>
      </w:divBdr>
    </w:div>
    <w:div w:id="1695764239">
      <w:bodyDiv w:val="1"/>
      <w:marLeft w:val="0"/>
      <w:marRight w:val="0"/>
      <w:marTop w:val="0"/>
      <w:marBottom w:val="0"/>
      <w:divBdr>
        <w:top w:val="none" w:sz="0" w:space="0" w:color="auto"/>
        <w:left w:val="none" w:sz="0" w:space="0" w:color="auto"/>
        <w:bottom w:val="none" w:sz="0" w:space="0" w:color="auto"/>
        <w:right w:val="none" w:sz="0" w:space="0" w:color="auto"/>
      </w:divBdr>
    </w:div>
    <w:div w:id="1723945839">
      <w:bodyDiv w:val="1"/>
      <w:marLeft w:val="0"/>
      <w:marRight w:val="0"/>
      <w:marTop w:val="0"/>
      <w:marBottom w:val="0"/>
      <w:divBdr>
        <w:top w:val="none" w:sz="0" w:space="0" w:color="auto"/>
        <w:left w:val="none" w:sz="0" w:space="0" w:color="auto"/>
        <w:bottom w:val="none" w:sz="0" w:space="0" w:color="auto"/>
        <w:right w:val="none" w:sz="0" w:space="0" w:color="auto"/>
      </w:divBdr>
    </w:div>
    <w:div w:id="1777362610">
      <w:bodyDiv w:val="1"/>
      <w:marLeft w:val="0"/>
      <w:marRight w:val="0"/>
      <w:marTop w:val="0"/>
      <w:marBottom w:val="0"/>
      <w:divBdr>
        <w:top w:val="none" w:sz="0" w:space="0" w:color="auto"/>
        <w:left w:val="none" w:sz="0" w:space="0" w:color="auto"/>
        <w:bottom w:val="none" w:sz="0" w:space="0" w:color="auto"/>
        <w:right w:val="none" w:sz="0" w:space="0" w:color="auto"/>
      </w:divBdr>
    </w:div>
    <w:div w:id="1818493662">
      <w:bodyDiv w:val="1"/>
      <w:marLeft w:val="0"/>
      <w:marRight w:val="0"/>
      <w:marTop w:val="0"/>
      <w:marBottom w:val="0"/>
      <w:divBdr>
        <w:top w:val="none" w:sz="0" w:space="0" w:color="auto"/>
        <w:left w:val="none" w:sz="0" w:space="0" w:color="auto"/>
        <w:bottom w:val="none" w:sz="0" w:space="0" w:color="auto"/>
        <w:right w:val="none" w:sz="0" w:space="0" w:color="auto"/>
      </w:divBdr>
    </w:div>
    <w:div w:id="1829974055">
      <w:bodyDiv w:val="1"/>
      <w:marLeft w:val="0"/>
      <w:marRight w:val="0"/>
      <w:marTop w:val="0"/>
      <w:marBottom w:val="0"/>
      <w:divBdr>
        <w:top w:val="none" w:sz="0" w:space="0" w:color="auto"/>
        <w:left w:val="none" w:sz="0" w:space="0" w:color="auto"/>
        <w:bottom w:val="none" w:sz="0" w:space="0" w:color="auto"/>
        <w:right w:val="none" w:sz="0" w:space="0" w:color="auto"/>
      </w:divBdr>
    </w:div>
    <w:div w:id="1837651156">
      <w:bodyDiv w:val="1"/>
      <w:marLeft w:val="0"/>
      <w:marRight w:val="0"/>
      <w:marTop w:val="0"/>
      <w:marBottom w:val="0"/>
      <w:divBdr>
        <w:top w:val="none" w:sz="0" w:space="0" w:color="auto"/>
        <w:left w:val="none" w:sz="0" w:space="0" w:color="auto"/>
        <w:bottom w:val="none" w:sz="0" w:space="0" w:color="auto"/>
        <w:right w:val="none" w:sz="0" w:space="0" w:color="auto"/>
      </w:divBdr>
    </w:div>
    <w:div w:id="1867136076">
      <w:bodyDiv w:val="1"/>
      <w:marLeft w:val="0"/>
      <w:marRight w:val="0"/>
      <w:marTop w:val="0"/>
      <w:marBottom w:val="0"/>
      <w:divBdr>
        <w:top w:val="none" w:sz="0" w:space="0" w:color="auto"/>
        <w:left w:val="none" w:sz="0" w:space="0" w:color="auto"/>
        <w:bottom w:val="none" w:sz="0" w:space="0" w:color="auto"/>
        <w:right w:val="none" w:sz="0" w:space="0" w:color="auto"/>
      </w:divBdr>
    </w:div>
    <w:div w:id="1876845505">
      <w:bodyDiv w:val="1"/>
      <w:marLeft w:val="0"/>
      <w:marRight w:val="0"/>
      <w:marTop w:val="0"/>
      <w:marBottom w:val="0"/>
      <w:divBdr>
        <w:top w:val="none" w:sz="0" w:space="0" w:color="auto"/>
        <w:left w:val="none" w:sz="0" w:space="0" w:color="auto"/>
        <w:bottom w:val="none" w:sz="0" w:space="0" w:color="auto"/>
        <w:right w:val="none" w:sz="0" w:space="0" w:color="auto"/>
      </w:divBdr>
    </w:div>
    <w:div w:id="1919561283">
      <w:bodyDiv w:val="1"/>
      <w:marLeft w:val="0"/>
      <w:marRight w:val="0"/>
      <w:marTop w:val="0"/>
      <w:marBottom w:val="0"/>
      <w:divBdr>
        <w:top w:val="none" w:sz="0" w:space="0" w:color="auto"/>
        <w:left w:val="none" w:sz="0" w:space="0" w:color="auto"/>
        <w:bottom w:val="none" w:sz="0" w:space="0" w:color="auto"/>
        <w:right w:val="none" w:sz="0" w:space="0" w:color="auto"/>
      </w:divBdr>
    </w:div>
    <w:div w:id="1939672371">
      <w:bodyDiv w:val="1"/>
      <w:marLeft w:val="0"/>
      <w:marRight w:val="0"/>
      <w:marTop w:val="0"/>
      <w:marBottom w:val="0"/>
      <w:divBdr>
        <w:top w:val="none" w:sz="0" w:space="0" w:color="auto"/>
        <w:left w:val="none" w:sz="0" w:space="0" w:color="auto"/>
        <w:bottom w:val="none" w:sz="0" w:space="0" w:color="auto"/>
        <w:right w:val="none" w:sz="0" w:space="0" w:color="auto"/>
      </w:divBdr>
    </w:div>
    <w:div w:id="1949969699">
      <w:bodyDiv w:val="1"/>
      <w:marLeft w:val="0"/>
      <w:marRight w:val="0"/>
      <w:marTop w:val="0"/>
      <w:marBottom w:val="0"/>
      <w:divBdr>
        <w:top w:val="none" w:sz="0" w:space="0" w:color="auto"/>
        <w:left w:val="none" w:sz="0" w:space="0" w:color="auto"/>
        <w:bottom w:val="none" w:sz="0" w:space="0" w:color="auto"/>
        <w:right w:val="none" w:sz="0" w:space="0" w:color="auto"/>
      </w:divBdr>
    </w:div>
    <w:div w:id="1969776946">
      <w:bodyDiv w:val="1"/>
      <w:marLeft w:val="0"/>
      <w:marRight w:val="0"/>
      <w:marTop w:val="0"/>
      <w:marBottom w:val="0"/>
      <w:divBdr>
        <w:top w:val="none" w:sz="0" w:space="0" w:color="auto"/>
        <w:left w:val="none" w:sz="0" w:space="0" w:color="auto"/>
        <w:bottom w:val="none" w:sz="0" w:space="0" w:color="auto"/>
        <w:right w:val="none" w:sz="0" w:space="0" w:color="auto"/>
      </w:divBdr>
    </w:div>
    <w:div w:id="2000423909">
      <w:bodyDiv w:val="1"/>
      <w:marLeft w:val="0"/>
      <w:marRight w:val="0"/>
      <w:marTop w:val="0"/>
      <w:marBottom w:val="0"/>
      <w:divBdr>
        <w:top w:val="none" w:sz="0" w:space="0" w:color="auto"/>
        <w:left w:val="none" w:sz="0" w:space="0" w:color="auto"/>
        <w:bottom w:val="none" w:sz="0" w:space="0" w:color="auto"/>
        <w:right w:val="none" w:sz="0" w:space="0" w:color="auto"/>
      </w:divBdr>
    </w:div>
    <w:div w:id="2005812765">
      <w:bodyDiv w:val="1"/>
      <w:marLeft w:val="0"/>
      <w:marRight w:val="0"/>
      <w:marTop w:val="0"/>
      <w:marBottom w:val="0"/>
      <w:divBdr>
        <w:top w:val="none" w:sz="0" w:space="0" w:color="auto"/>
        <w:left w:val="none" w:sz="0" w:space="0" w:color="auto"/>
        <w:bottom w:val="none" w:sz="0" w:space="0" w:color="auto"/>
        <w:right w:val="none" w:sz="0" w:space="0" w:color="auto"/>
      </w:divBdr>
    </w:div>
    <w:div w:id="2008286044">
      <w:bodyDiv w:val="1"/>
      <w:marLeft w:val="0"/>
      <w:marRight w:val="0"/>
      <w:marTop w:val="0"/>
      <w:marBottom w:val="0"/>
      <w:divBdr>
        <w:top w:val="none" w:sz="0" w:space="0" w:color="auto"/>
        <w:left w:val="none" w:sz="0" w:space="0" w:color="auto"/>
        <w:bottom w:val="none" w:sz="0" w:space="0" w:color="auto"/>
        <w:right w:val="none" w:sz="0" w:space="0" w:color="auto"/>
      </w:divBdr>
    </w:div>
    <w:div w:id="2011326389">
      <w:bodyDiv w:val="1"/>
      <w:marLeft w:val="0"/>
      <w:marRight w:val="0"/>
      <w:marTop w:val="0"/>
      <w:marBottom w:val="0"/>
      <w:divBdr>
        <w:top w:val="none" w:sz="0" w:space="0" w:color="auto"/>
        <w:left w:val="none" w:sz="0" w:space="0" w:color="auto"/>
        <w:bottom w:val="none" w:sz="0" w:space="0" w:color="auto"/>
        <w:right w:val="none" w:sz="0" w:space="0" w:color="auto"/>
      </w:divBdr>
    </w:div>
    <w:div w:id="2014529913">
      <w:bodyDiv w:val="1"/>
      <w:marLeft w:val="0"/>
      <w:marRight w:val="0"/>
      <w:marTop w:val="0"/>
      <w:marBottom w:val="0"/>
      <w:divBdr>
        <w:top w:val="none" w:sz="0" w:space="0" w:color="auto"/>
        <w:left w:val="none" w:sz="0" w:space="0" w:color="auto"/>
        <w:bottom w:val="none" w:sz="0" w:space="0" w:color="auto"/>
        <w:right w:val="none" w:sz="0" w:space="0" w:color="auto"/>
      </w:divBdr>
    </w:div>
    <w:div w:id="2018144644">
      <w:bodyDiv w:val="1"/>
      <w:marLeft w:val="0"/>
      <w:marRight w:val="0"/>
      <w:marTop w:val="0"/>
      <w:marBottom w:val="0"/>
      <w:divBdr>
        <w:top w:val="none" w:sz="0" w:space="0" w:color="auto"/>
        <w:left w:val="none" w:sz="0" w:space="0" w:color="auto"/>
        <w:bottom w:val="none" w:sz="0" w:space="0" w:color="auto"/>
        <w:right w:val="none" w:sz="0" w:space="0" w:color="auto"/>
      </w:divBdr>
    </w:div>
    <w:div w:id="2042313526">
      <w:bodyDiv w:val="1"/>
      <w:marLeft w:val="0"/>
      <w:marRight w:val="0"/>
      <w:marTop w:val="0"/>
      <w:marBottom w:val="0"/>
      <w:divBdr>
        <w:top w:val="none" w:sz="0" w:space="0" w:color="auto"/>
        <w:left w:val="none" w:sz="0" w:space="0" w:color="auto"/>
        <w:bottom w:val="none" w:sz="0" w:space="0" w:color="auto"/>
        <w:right w:val="none" w:sz="0" w:space="0" w:color="auto"/>
      </w:divBdr>
    </w:div>
    <w:div w:id="2062513091">
      <w:bodyDiv w:val="1"/>
      <w:marLeft w:val="120"/>
      <w:marRight w:val="120"/>
      <w:marTop w:val="0"/>
      <w:marBottom w:val="120"/>
      <w:divBdr>
        <w:top w:val="none" w:sz="0" w:space="0" w:color="auto"/>
        <w:left w:val="none" w:sz="0" w:space="0" w:color="auto"/>
        <w:bottom w:val="none" w:sz="0" w:space="0" w:color="auto"/>
        <w:right w:val="none" w:sz="0" w:space="0" w:color="auto"/>
      </w:divBdr>
      <w:divsChild>
        <w:div w:id="420759835">
          <w:marLeft w:val="0"/>
          <w:marRight w:val="0"/>
          <w:marTop w:val="0"/>
          <w:marBottom w:val="0"/>
          <w:divBdr>
            <w:top w:val="none" w:sz="0" w:space="0" w:color="auto"/>
            <w:left w:val="none" w:sz="0" w:space="0" w:color="auto"/>
            <w:bottom w:val="none" w:sz="0" w:space="0" w:color="auto"/>
            <w:right w:val="none" w:sz="0" w:space="0" w:color="auto"/>
          </w:divBdr>
          <w:divsChild>
            <w:div w:id="280571514">
              <w:marLeft w:val="0"/>
              <w:marRight w:val="0"/>
              <w:marTop w:val="0"/>
              <w:marBottom w:val="0"/>
              <w:divBdr>
                <w:top w:val="none" w:sz="0" w:space="0" w:color="auto"/>
                <w:left w:val="none" w:sz="0" w:space="0" w:color="auto"/>
                <w:bottom w:val="none" w:sz="0" w:space="0" w:color="auto"/>
                <w:right w:val="none" w:sz="0" w:space="0" w:color="auto"/>
              </w:divBdr>
              <w:divsChild>
                <w:div w:id="392125744">
                  <w:marLeft w:val="0"/>
                  <w:marRight w:val="0"/>
                  <w:marTop w:val="0"/>
                  <w:marBottom w:val="0"/>
                  <w:divBdr>
                    <w:top w:val="none" w:sz="0" w:space="0" w:color="auto"/>
                    <w:left w:val="none" w:sz="0" w:space="0" w:color="auto"/>
                    <w:bottom w:val="none" w:sz="0" w:space="0" w:color="auto"/>
                    <w:right w:val="none" w:sz="0" w:space="0" w:color="auto"/>
                  </w:divBdr>
                  <w:divsChild>
                    <w:div w:id="479807244">
                      <w:marLeft w:val="0"/>
                      <w:marRight w:val="0"/>
                      <w:marTop w:val="0"/>
                      <w:marBottom w:val="0"/>
                      <w:divBdr>
                        <w:top w:val="none" w:sz="0" w:space="0" w:color="auto"/>
                        <w:left w:val="none" w:sz="0" w:space="0" w:color="auto"/>
                        <w:bottom w:val="none" w:sz="0" w:space="0" w:color="auto"/>
                        <w:right w:val="none" w:sz="0" w:space="0" w:color="auto"/>
                      </w:divBdr>
                    </w:div>
                    <w:div w:id="1012563595">
                      <w:marLeft w:val="0"/>
                      <w:marRight w:val="0"/>
                      <w:marTop w:val="0"/>
                      <w:marBottom w:val="0"/>
                      <w:divBdr>
                        <w:top w:val="none" w:sz="0" w:space="0" w:color="auto"/>
                        <w:left w:val="none" w:sz="0" w:space="0" w:color="auto"/>
                        <w:bottom w:val="none" w:sz="0" w:space="0" w:color="auto"/>
                        <w:right w:val="none" w:sz="0" w:space="0" w:color="auto"/>
                      </w:divBdr>
                    </w:div>
                    <w:div w:id="1380402914">
                      <w:marLeft w:val="0"/>
                      <w:marRight w:val="0"/>
                      <w:marTop w:val="0"/>
                      <w:marBottom w:val="0"/>
                      <w:divBdr>
                        <w:top w:val="none" w:sz="0" w:space="0" w:color="auto"/>
                        <w:left w:val="none" w:sz="0" w:space="0" w:color="auto"/>
                        <w:bottom w:val="none" w:sz="0" w:space="0" w:color="auto"/>
                        <w:right w:val="none" w:sz="0" w:space="0" w:color="auto"/>
                      </w:divBdr>
                    </w:div>
                    <w:div w:id="1651052697">
                      <w:marLeft w:val="0"/>
                      <w:marRight w:val="0"/>
                      <w:marTop w:val="0"/>
                      <w:marBottom w:val="0"/>
                      <w:divBdr>
                        <w:top w:val="none" w:sz="0" w:space="0" w:color="auto"/>
                        <w:left w:val="none" w:sz="0" w:space="0" w:color="auto"/>
                        <w:bottom w:val="none" w:sz="0" w:space="0" w:color="auto"/>
                        <w:right w:val="none" w:sz="0" w:space="0" w:color="auto"/>
                      </w:divBdr>
                    </w:div>
                    <w:div w:id="1122310314">
                      <w:marLeft w:val="0"/>
                      <w:marRight w:val="0"/>
                      <w:marTop w:val="0"/>
                      <w:marBottom w:val="0"/>
                      <w:divBdr>
                        <w:top w:val="none" w:sz="0" w:space="0" w:color="auto"/>
                        <w:left w:val="none" w:sz="0" w:space="0" w:color="auto"/>
                        <w:bottom w:val="none" w:sz="0" w:space="0" w:color="auto"/>
                        <w:right w:val="none" w:sz="0" w:space="0" w:color="auto"/>
                      </w:divBdr>
                    </w:div>
                    <w:div w:id="1374381368">
                      <w:marLeft w:val="0"/>
                      <w:marRight w:val="0"/>
                      <w:marTop w:val="0"/>
                      <w:marBottom w:val="0"/>
                      <w:divBdr>
                        <w:top w:val="none" w:sz="0" w:space="0" w:color="auto"/>
                        <w:left w:val="none" w:sz="0" w:space="0" w:color="auto"/>
                        <w:bottom w:val="none" w:sz="0" w:space="0" w:color="auto"/>
                        <w:right w:val="none" w:sz="0" w:space="0" w:color="auto"/>
                      </w:divBdr>
                    </w:div>
                    <w:div w:id="1253008545">
                      <w:marLeft w:val="0"/>
                      <w:marRight w:val="0"/>
                      <w:marTop w:val="0"/>
                      <w:marBottom w:val="0"/>
                      <w:divBdr>
                        <w:top w:val="none" w:sz="0" w:space="0" w:color="auto"/>
                        <w:left w:val="none" w:sz="0" w:space="0" w:color="auto"/>
                        <w:bottom w:val="none" w:sz="0" w:space="0" w:color="auto"/>
                        <w:right w:val="none" w:sz="0" w:space="0" w:color="auto"/>
                      </w:divBdr>
                    </w:div>
                    <w:div w:id="723793192">
                      <w:marLeft w:val="0"/>
                      <w:marRight w:val="0"/>
                      <w:marTop w:val="0"/>
                      <w:marBottom w:val="0"/>
                      <w:divBdr>
                        <w:top w:val="none" w:sz="0" w:space="0" w:color="auto"/>
                        <w:left w:val="none" w:sz="0" w:space="0" w:color="auto"/>
                        <w:bottom w:val="none" w:sz="0" w:space="0" w:color="auto"/>
                        <w:right w:val="none" w:sz="0" w:space="0" w:color="auto"/>
                      </w:divBdr>
                    </w:div>
                    <w:div w:id="1271207168">
                      <w:marLeft w:val="0"/>
                      <w:marRight w:val="0"/>
                      <w:marTop w:val="0"/>
                      <w:marBottom w:val="0"/>
                      <w:divBdr>
                        <w:top w:val="none" w:sz="0" w:space="0" w:color="auto"/>
                        <w:left w:val="none" w:sz="0" w:space="0" w:color="auto"/>
                        <w:bottom w:val="none" w:sz="0" w:space="0" w:color="auto"/>
                        <w:right w:val="none" w:sz="0" w:space="0" w:color="auto"/>
                      </w:divBdr>
                    </w:div>
                    <w:div w:id="885414522">
                      <w:marLeft w:val="0"/>
                      <w:marRight w:val="0"/>
                      <w:marTop w:val="0"/>
                      <w:marBottom w:val="0"/>
                      <w:divBdr>
                        <w:top w:val="none" w:sz="0" w:space="0" w:color="auto"/>
                        <w:left w:val="none" w:sz="0" w:space="0" w:color="auto"/>
                        <w:bottom w:val="none" w:sz="0" w:space="0" w:color="auto"/>
                        <w:right w:val="none" w:sz="0" w:space="0" w:color="auto"/>
                      </w:divBdr>
                    </w:div>
                    <w:div w:id="603196444">
                      <w:marLeft w:val="0"/>
                      <w:marRight w:val="0"/>
                      <w:marTop w:val="0"/>
                      <w:marBottom w:val="0"/>
                      <w:divBdr>
                        <w:top w:val="none" w:sz="0" w:space="0" w:color="auto"/>
                        <w:left w:val="none" w:sz="0" w:space="0" w:color="auto"/>
                        <w:bottom w:val="none" w:sz="0" w:space="0" w:color="auto"/>
                        <w:right w:val="none" w:sz="0" w:space="0" w:color="auto"/>
                      </w:divBdr>
                    </w:div>
                    <w:div w:id="520359496">
                      <w:marLeft w:val="0"/>
                      <w:marRight w:val="0"/>
                      <w:marTop w:val="0"/>
                      <w:marBottom w:val="0"/>
                      <w:divBdr>
                        <w:top w:val="none" w:sz="0" w:space="0" w:color="auto"/>
                        <w:left w:val="none" w:sz="0" w:space="0" w:color="auto"/>
                        <w:bottom w:val="none" w:sz="0" w:space="0" w:color="auto"/>
                        <w:right w:val="none" w:sz="0" w:space="0" w:color="auto"/>
                      </w:divBdr>
                    </w:div>
                    <w:div w:id="1738089035">
                      <w:marLeft w:val="0"/>
                      <w:marRight w:val="0"/>
                      <w:marTop w:val="0"/>
                      <w:marBottom w:val="0"/>
                      <w:divBdr>
                        <w:top w:val="none" w:sz="0" w:space="0" w:color="auto"/>
                        <w:left w:val="none" w:sz="0" w:space="0" w:color="auto"/>
                        <w:bottom w:val="none" w:sz="0" w:space="0" w:color="auto"/>
                        <w:right w:val="none" w:sz="0" w:space="0" w:color="auto"/>
                      </w:divBdr>
                    </w:div>
                    <w:div w:id="608974899">
                      <w:marLeft w:val="0"/>
                      <w:marRight w:val="0"/>
                      <w:marTop w:val="0"/>
                      <w:marBottom w:val="0"/>
                      <w:divBdr>
                        <w:top w:val="none" w:sz="0" w:space="0" w:color="auto"/>
                        <w:left w:val="none" w:sz="0" w:space="0" w:color="auto"/>
                        <w:bottom w:val="none" w:sz="0" w:space="0" w:color="auto"/>
                        <w:right w:val="none" w:sz="0" w:space="0" w:color="auto"/>
                      </w:divBdr>
                    </w:div>
                    <w:div w:id="566843197">
                      <w:marLeft w:val="0"/>
                      <w:marRight w:val="0"/>
                      <w:marTop w:val="0"/>
                      <w:marBottom w:val="0"/>
                      <w:divBdr>
                        <w:top w:val="none" w:sz="0" w:space="0" w:color="auto"/>
                        <w:left w:val="none" w:sz="0" w:space="0" w:color="auto"/>
                        <w:bottom w:val="none" w:sz="0" w:space="0" w:color="auto"/>
                        <w:right w:val="none" w:sz="0" w:space="0" w:color="auto"/>
                      </w:divBdr>
                    </w:div>
                    <w:div w:id="1683891510">
                      <w:marLeft w:val="0"/>
                      <w:marRight w:val="0"/>
                      <w:marTop w:val="0"/>
                      <w:marBottom w:val="0"/>
                      <w:divBdr>
                        <w:top w:val="none" w:sz="0" w:space="0" w:color="auto"/>
                        <w:left w:val="none" w:sz="0" w:space="0" w:color="auto"/>
                        <w:bottom w:val="none" w:sz="0" w:space="0" w:color="auto"/>
                        <w:right w:val="none" w:sz="0" w:space="0" w:color="auto"/>
                      </w:divBdr>
                    </w:div>
                    <w:div w:id="250747864">
                      <w:marLeft w:val="0"/>
                      <w:marRight w:val="0"/>
                      <w:marTop w:val="0"/>
                      <w:marBottom w:val="0"/>
                      <w:divBdr>
                        <w:top w:val="none" w:sz="0" w:space="0" w:color="auto"/>
                        <w:left w:val="none" w:sz="0" w:space="0" w:color="auto"/>
                        <w:bottom w:val="none" w:sz="0" w:space="0" w:color="auto"/>
                        <w:right w:val="none" w:sz="0" w:space="0" w:color="auto"/>
                      </w:divBdr>
                    </w:div>
                    <w:div w:id="1148354529">
                      <w:marLeft w:val="0"/>
                      <w:marRight w:val="0"/>
                      <w:marTop w:val="0"/>
                      <w:marBottom w:val="0"/>
                      <w:divBdr>
                        <w:top w:val="none" w:sz="0" w:space="0" w:color="auto"/>
                        <w:left w:val="none" w:sz="0" w:space="0" w:color="auto"/>
                        <w:bottom w:val="none" w:sz="0" w:space="0" w:color="auto"/>
                        <w:right w:val="none" w:sz="0" w:space="0" w:color="auto"/>
                      </w:divBdr>
                    </w:div>
                    <w:div w:id="451361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1655921">
      <w:bodyDiv w:val="1"/>
      <w:marLeft w:val="0"/>
      <w:marRight w:val="0"/>
      <w:marTop w:val="0"/>
      <w:marBottom w:val="0"/>
      <w:divBdr>
        <w:top w:val="none" w:sz="0" w:space="0" w:color="auto"/>
        <w:left w:val="none" w:sz="0" w:space="0" w:color="auto"/>
        <w:bottom w:val="none" w:sz="0" w:space="0" w:color="auto"/>
        <w:right w:val="none" w:sz="0" w:space="0" w:color="auto"/>
      </w:divBdr>
    </w:div>
    <w:div w:id="2101675518">
      <w:bodyDiv w:val="1"/>
      <w:marLeft w:val="0"/>
      <w:marRight w:val="0"/>
      <w:marTop w:val="0"/>
      <w:marBottom w:val="0"/>
      <w:divBdr>
        <w:top w:val="none" w:sz="0" w:space="0" w:color="auto"/>
        <w:left w:val="none" w:sz="0" w:space="0" w:color="auto"/>
        <w:bottom w:val="none" w:sz="0" w:space="0" w:color="auto"/>
        <w:right w:val="none" w:sz="0" w:space="0" w:color="auto"/>
      </w:divBdr>
    </w:div>
    <w:div w:id="2105607157">
      <w:bodyDiv w:val="1"/>
      <w:marLeft w:val="0"/>
      <w:marRight w:val="0"/>
      <w:marTop w:val="0"/>
      <w:marBottom w:val="0"/>
      <w:divBdr>
        <w:top w:val="none" w:sz="0" w:space="0" w:color="auto"/>
        <w:left w:val="none" w:sz="0" w:space="0" w:color="auto"/>
        <w:bottom w:val="none" w:sz="0" w:space="0" w:color="auto"/>
        <w:right w:val="none" w:sz="0" w:space="0" w:color="auto"/>
      </w:divBdr>
    </w:div>
    <w:div w:id="2119062663">
      <w:bodyDiv w:val="1"/>
      <w:marLeft w:val="0"/>
      <w:marRight w:val="0"/>
      <w:marTop w:val="0"/>
      <w:marBottom w:val="0"/>
      <w:divBdr>
        <w:top w:val="none" w:sz="0" w:space="0" w:color="auto"/>
        <w:left w:val="none" w:sz="0" w:space="0" w:color="auto"/>
        <w:bottom w:val="none" w:sz="0" w:space="0" w:color="auto"/>
        <w:right w:val="none" w:sz="0" w:space="0" w:color="auto"/>
      </w:divBdr>
    </w:div>
    <w:div w:id="2127044777">
      <w:bodyDiv w:val="1"/>
      <w:marLeft w:val="0"/>
      <w:marRight w:val="0"/>
      <w:marTop w:val="0"/>
      <w:marBottom w:val="0"/>
      <w:divBdr>
        <w:top w:val="none" w:sz="0" w:space="0" w:color="auto"/>
        <w:left w:val="none" w:sz="0" w:space="0" w:color="auto"/>
        <w:bottom w:val="none" w:sz="0" w:space="0" w:color="auto"/>
        <w:right w:val="none" w:sz="0" w:space="0" w:color="auto"/>
      </w:divBdr>
    </w:div>
    <w:div w:id="2136167774">
      <w:bodyDiv w:val="1"/>
      <w:marLeft w:val="0"/>
      <w:marRight w:val="0"/>
      <w:marTop w:val="0"/>
      <w:marBottom w:val="0"/>
      <w:divBdr>
        <w:top w:val="none" w:sz="0" w:space="0" w:color="auto"/>
        <w:left w:val="none" w:sz="0" w:space="0" w:color="auto"/>
        <w:bottom w:val="none" w:sz="0" w:space="0" w:color="auto"/>
        <w:right w:val="none" w:sz="0" w:space="0" w:color="auto"/>
      </w:divBdr>
    </w:div>
    <w:div w:id="2144033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efaseg.com.pe/reglamento" TargetMode="External"/><Relationship Id="rId13" Type="http://schemas.openxmlformats.org/officeDocument/2006/relationships/fontTable" Target="fontTable.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image" Target="media/image2.png"/><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 Id="rId2" Type="http://schemas.openxmlformats.org/officeDocument/2006/relationships/image" Target="media/image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CB4739-B224-40EE-99F9-7AE77CB5FDF7}">
  <ds:schemaRefs>
    <ds:schemaRef ds:uri="http://schemas.openxmlformats.org/officeDocument/2006/bibliography"/>
  </ds:schemaRefs>
</ds:datastoreItem>
</file>

<file path=customXml/itemProps2.xml><?xml version="1.0" encoding="utf-8"?>
<ds:datastoreItem xmlns:ds="http://schemas.openxmlformats.org/officeDocument/2006/customXml" ds:itemID="{BA2C2A9E-3598-49F0-AC98-68EC1F851990}"/>
</file>

<file path=customXml/itemProps3.xml><?xml version="1.0" encoding="utf-8"?>
<ds:datastoreItem xmlns:ds="http://schemas.openxmlformats.org/officeDocument/2006/customXml" ds:itemID="{D6D6EC8F-927A-4394-835E-5AAF11BFE0F7}"/>
</file>

<file path=customXml/itemProps4.xml><?xml version="1.0" encoding="utf-8"?>
<ds:datastoreItem xmlns:ds="http://schemas.openxmlformats.org/officeDocument/2006/customXml" ds:itemID="{6C9E3213-3D4A-4AE7-96E0-A9192DE2028E}"/>
</file>

<file path=docProps/app.xml><?xml version="1.0" encoding="utf-8"?>
<Properties xmlns="http://schemas.openxmlformats.org/officeDocument/2006/extended-properties" xmlns:vt="http://schemas.openxmlformats.org/officeDocument/2006/docPropsVTypes">
  <Template>Normal</Template>
  <TotalTime>338</TotalTime>
  <Pages>6</Pages>
  <Words>2584</Words>
  <Characters>14216</Characters>
  <Application>Microsoft Office Word</Application>
  <DocSecurity>0</DocSecurity>
  <Lines>118</Lines>
  <Paragraphs>33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vaio</dc:creator>
  <cp:keywords/>
  <dc:description/>
  <cp:lastModifiedBy>Alicia Martín</cp:lastModifiedBy>
  <cp:revision>382</cp:revision>
  <cp:lastPrinted>2025-06-25T18:16:00Z</cp:lastPrinted>
  <dcterms:created xsi:type="dcterms:W3CDTF">2023-02-14T22:37:00Z</dcterms:created>
  <dcterms:modified xsi:type="dcterms:W3CDTF">2025-06-25T18:17:00Z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