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1B35202F" w:rsidR="005A2497" w:rsidRPr="00657814" w:rsidRDefault="00201C0D" w:rsidP="00657814">
      <w:pPr>
        <w:spacing w:after="0" w:line="240" w:lineRule="auto"/>
        <w:jc w:val="center"/>
        <w:rPr>
          <w:rFonts w:ascii="Times New Roman" w:hAnsi="Times New Roman" w:cs="Times New Roman"/>
          <w:b/>
          <w:sz w:val="24"/>
          <w:szCs w:val="24"/>
          <w:lang w:val="es-PE" w:eastAsia="ar-SA"/>
        </w:rPr>
      </w:pPr>
      <w:r w:rsidRPr="00657814">
        <w:rPr>
          <w:rFonts w:ascii="Times New Roman" w:hAnsi="Times New Roman" w:cs="Times New Roman"/>
          <w:b/>
          <w:sz w:val="24"/>
          <w:szCs w:val="24"/>
          <w:lang w:val="es-PE" w:eastAsia="ar-SA"/>
        </w:rPr>
        <w:t xml:space="preserve">RESOLUCIÓN DE RECURSO IMPUGNATIVO </w:t>
      </w:r>
      <w:r w:rsidR="00707C99" w:rsidRPr="00657814">
        <w:rPr>
          <w:rFonts w:ascii="Times New Roman" w:hAnsi="Times New Roman" w:cs="Times New Roman"/>
          <w:b/>
          <w:sz w:val="24"/>
          <w:szCs w:val="24"/>
          <w:lang w:val="es-PE" w:eastAsia="ar-SA"/>
        </w:rPr>
        <w:t xml:space="preserve">N° </w:t>
      </w:r>
      <w:r w:rsidR="00516293" w:rsidRPr="00657814">
        <w:rPr>
          <w:rFonts w:ascii="Times New Roman" w:hAnsi="Times New Roman" w:cs="Times New Roman"/>
          <w:b/>
          <w:sz w:val="24"/>
          <w:szCs w:val="24"/>
          <w:lang w:val="es-PE" w:eastAsia="ar-SA"/>
        </w:rPr>
        <w:t>0</w:t>
      </w:r>
      <w:r w:rsidR="000C321D" w:rsidRPr="00657814">
        <w:rPr>
          <w:rFonts w:ascii="Times New Roman" w:hAnsi="Times New Roman" w:cs="Times New Roman"/>
          <w:b/>
          <w:sz w:val="24"/>
          <w:szCs w:val="24"/>
          <w:lang w:val="es-PE" w:eastAsia="ar-SA"/>
        </w:rPr>
        <w:t>3</w:t>
      </w:r>
      <w:r w:rsidR="00586D82" w:rsidRPr="00657814">
        <w:rPr>
          <w:rFonts w:ascii="Times New Roman" w:hAnsi="Times New Roman" w:cs="Times New Roman"/>
          <w:b/>
          <w:sz w:val="24"/>
          <w:szCs w:val="24"/>
          <w:lang w:val="es-PE" w:eastAsia="ar-SA"/>
        </w:rPr>
        <w:t>2</w:t>
      </w:r>
      <w:r w:rsidR="00C671F5" w:rsidRPr="00657814">
        <w:rPr>
          <w:rFonts w:ascii="Times New Roman" w:hAnsi="Times New Roman" w:cs="Times New Roman"/>
          <w:b/>
          <w:sz w:val="24"/>
          <w:szCs w:val="24"/>
          <w:lang w:val="es-PE" w:eastAsia="ar-SA"/>
        </w:rPr>
        <w:t>/2</w:t>
      </w:r>
      <w:r w:rsidR="00A74F96" w:rsidRPr="00657814">
        <w:rPr>
          <w:rFonts w:ascii="Times New Roman" w:hAnsi="Times New Roman" w:cs="Times New Roman"/>
          <w:b/>
          <w:sz w:val="24"/>
          <w:szCs w:val="24"/>
          <w:lang w:val="es-PE" w:eastAsia="ar-SA"/>
        </w:rPr>
        <w:t>5</w:t>
      </w:r>
    </w:p>
    <w:p w14:paraId="56DB191C" w14:textId="77777777" w:rsidR="005A2497" w:rsidRPr="00657814" w:rsidRDefault="005A2497" w:rsidP="00657814">
      <w:pPr>
        <w:spacing w:after="0" w:line="240" w:lineRule="auto"/>
        <w:jc w:val="both"/>
        <w:rPr>
          <w:rFonts w:ascii="Times New Roman" w:hAnsi="Times New Roman" w:cs="Times New Roman"/>
          <w:b/>
          <w:sz w:val="24"/>
          <w:szCs w:val="24"/>
          <w:lang w:val="es-PE" w:eastAsia="ar-SA"/>
        </w:rPr>
      </w:pPr>
    </w:p>
    <w:p w14:paraId="5969FBEC" w14:textId="77777777" w:rsidR="0018041E" w:rsidRPr="00657814" w:rsidRDefault="0018041E" w:rsidP="00657814">
      <w:pPr>
        <w:spacing w:line="240" w:lineRule="auto"/>
        <w:jc w:val="both"/>
        <w:outlineLvl w:val="0"/>
        <w:rPr>
          <w:rFonts w:ascii="Times New Roman" w:hAnsi="Times New Roman" w:cs="Times New Roman"/>
          <w:b/>
          <w:sz w:val="24"/>
          <w:szCs w:val="24"/>
          <w:lang w:val="es-PE"/>
        </w:rPr>
      </w:pPr>
      <w:r w:rsidRPr="00657814">
        <w:rPr>
          <w:rFonts w:ascii="Times New Roman" w:hAnsi="Times New Roman" w:cs="Times New Roman"/>
          <w:b/>
          <w:sz w:val="24"/>
          <w:szCs w:val="24"/>
          <w:lang w:val="es-PE"/>
        </w:rPr>
        <w:t>VISTOS:</w:t>
      </w:r>
    </w:p>
    <w:p w14:paraId="5F525929" w14:textId="77777777" w:rsidR="0018041E" w:rsidRPr="00657814" w:rsidRDefault="0018041E" w:rsidP="00657814">
      <w:pPr>
        <w:spacing w:line="240" w:lineRule="auto"/>
        <w:jc w:val="both"/>
        <w:rPr>
          <w:rFonts w:ascii="Times New Roman" w:hAnsi="Times New Roman" w:cs="Times New Roman"/>
          <w:bCs/>
          <w:sz w:val="24"/>
          <w:szCs w:val="24"/>
          <w:lang w:val="es-PE"/>
        </w:rPr>
      </w:pPr>
      <w:r>
        <w:rPr>
          <w:rFonts w:ascii="Times New Roman" w:hAnsi="Times New Roman"/>
          <w:sz w:val="24"/>
        </w:rPr>
        <w:t xml:space="preserve">El Recurso de Impugnación presentado el 11 de junio de 2024 por doña …………………, respecto de la Resolución Nro. 085/25 de fecha 05 de junio de 2025, expedida por esta Defensoría del Asegurado (DEFASEG), conforme a la cual se declaró INFUNDADA la reclamación interpuesta contra ………………… (…………………) respecto de la cobertura de invalidez que otorga la póliza de desgravamen N°  …………………  adquirida con motivo del crédito concedido  por el Banco Interbank;  </w:t>
      </w:r>
    </w:p>
    <w:bookmarkEnd w:id="0"/>
    <w:p w14:paraId="52084C74" w14:textId="77777777" w:rsidR="0018041E" w:rsidRPr="00657814" w:rsidRDefault="0018041E" w:rsidP="00657814">
      <w:pPr>
        <w:pStyle w:val="Textoindependiente"/>
        <w:spacing w:line="240" w:lineRule="auto"/>
        <w:rPr>
          <w:lang w:val="es-PE"/>
        </w:rPr>
      </w:pPr>
      <w:r>
        <w:rPr>
          <w:rFonts w:ascii="Times New Roman" w:hAnsi="Times New Roman"/>
          <w:sz w:val="24"/>
        </w:rPr>
        <w:t xml:space="preserve">Que, el indicado recurso se sustenta resumidamente en lo siguiente: a) no se encuentra de acuerdo con la resolución emitida, toda vez que deben basarse en lo que dice el Dictamen de Invalidez, tal como lo han hecho otras entidades bancarias a través de sus respectivas aseguradoras las cuales ya le solucionaron, siendo que entiendo que la ley es para todos por igual; b) se debe considerar el dictamen COMAFP del 22/02/2024, emitido en función al informe médico que indica que tiene “glaucoma avanzado”, además insiste que no solo se refiere al glaucoma sino también a otros trastornos de los discos invertebrales; c) que no le solicitaron Historia Clínica; d) que recurrirá a la SBS ya que es la única aseguradora que no quiere actuar conforme a ley.</w:t>
      </w:r>
    </w:p>
    <w:p w14:paraId="2369D9C8" w14:textId="77777777" w:rsidR="0018041E" w:rsidRPr="00657814" w:rsidRDefault="0018041E" w:rsidP="00657814">
      <w:pPr>
        <w:pStyle w:val="Textoindependiente"/>
        <w:spacing w:line="240" w:lineRule="auto"/>
        <w:rPr>
          <w:lang w:val="es-PE"/>
        </w:rPr>
      </w:pPr>
    </w:p>
    <w:p w14:paraId="2ED486C1" w14:textId="77777777" w:rsidR="0018041E" w:rsidRPr="00657814" w:rsidRDefault="0018041E" w:rsidP="00657814">
      <w:pPr>
        <w:pStyle w:val="Default"/>
        <w:spacing w:line="240" w:lineRule="auto"/>
        <w:jc w:val="both"/>
        <w:rPr>
          <w:rFonts w:ascii="Times New Roman" w:hAnsi="Times New Roman" w:cs="Times New Roman"/>
          <w:bCs/>
        </w:rPr>
      </w:pPr>
      <w:r>
        <w:rPr>
          <w:rFonts w:ascii="Times New Roman" w:hAnsi="Times New Roman"/>
          <w:sz w:val="24"/>
        </w:rPr>
        <w:t xml:space="preserve">Que, la aseguradora absolvió el traslado de la impugnación con fecha 25 de junio de 2025, señalando resumidamente lo siguiente: a) que los cuestionamientos formulados por la recurrente ya han sido materia de análisis de la Resolución Impugnada; b) que en lo que respecta a los trastornos de discos invertebrales, dicho diagnóstico se encontraría en una situación de preexistencia, tal como figura en los antecedentes del dictamen COMAFP, por lo que la causa de la invalidez deriva de una enfermedad preexistente a la contratación del seguro.</w:t>
      </w:r>
    </w:p>
    <w:p w14:paraId="2A425D53" w14:textId="77777777" w:rsidR="0018041E" w:rsidRPr="00657814" w:rsidRDefault="0018041E" w:rsidP="00657814">
      <w:pPr>
        <w:pStyle w:val="Default"/>
        <w:spacing w:line="240" w:lineRule="auto"/>
        <w:jc w:val="both"/>
        <w:rPr>
          <w:rFonts w:ascii="Times New Roman" w:hAnsi="Times New Roman" w:cs="Times New Roman"/>
          <w:bCs/>
        </w:rPr>
      </w:pPr>
    </w:p>
    <w:p w14:paraId="4F03105E" w14:textId="77777777" w:rsidR="0018041E" w:rsidRPr="00657814" w:rsidRDefault="0018041E" w:rsidP="00657814">
      <w:pPr>
        <w:pStyle w:val="Textoindependiente"/>
        <w:tabs>
          <w:tab w:val="left" w:pos="930"/>
        </w:tabs>
        <w:spacing w:line="240" w:lineRule="auto"/>
        <w:rPr>
          <w:lang w:val="es-PE"/>
        </w:rPr>
      </w:pPr>
      <w:r w:rsidRPr="00657814">
        <w:rPr>
          <w:rFonts w:ascii="Times New Roman" w:hAnsi="Times New Roman"/>
          <w:sz w:val="24"/>
          <w:lang w:val="es-PE"/>
        </w:rPr>
        <w:t>Atendiendo a lo expuesto, esta Defensoría resuelve finalmente lo siguiente:</w:t>
      </w:r>
    </w:p>
    <w:p w14:paraId="4397D079" w14:textId="77777777" w:rsidR="0018041E" w:rsidRPr="00657814" w:rsidRDefault="0018041E" w:rsidP="00657814">
      <w:pPr>
        <w:pStyle w:val="Default"/>
        <w:spacing w:line="240" w:lineRule="auto"/>
        <w:jc w:val="both"/>
        <w:rPr>
          <w:rFonts w:ascii="Times New Roman" w:hAnsi="Times New Roman" w:cs="Times New Roman"/>
          <w:bCs/>
        </w:rPr>
      </w:pPr>
    </w:p>
    <w:p w14:paraId="32258222" w14:textId="77777777" w:rsidR="0018041E" w:rsidRPr="00657814" w:rsidRDefault="0018041E" w:rsidP="00657814">
      <w:pPr>
        <w:spacing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45CFEC6D" w14:textId="54DF8A9F" w:rsidR="0018041E" w:rsidRPr="00657814" w:rsidRDefault="0018041E" w:rsidP="00657814">
      <w:pPr>
        <w:spacing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54ADFDA5" w14:textId="77777777" w:rsidR="0018041E" w:rsidRPr="00657814" w:rsidRDefault="0018041E" w:rsidP="00657814">
      <w:pPr>
        <w:spacing w:line="240" w:lineRule="auto"/>
        <w:jc w:val="both"/>
        <w:rPr>
          <w:rFonts w:ascii="Times New Roman" w:hAnsi="Times New Roman" w:cs="Times New Roman"/>
          <w:sz w:val="24"/>
          <w:szCs w:val="24"/>
          <w:lang w:val="es-PE"/>
        </w:rPr>
      </w:pPr>
      <w:r w:rsidRPr="00657814">
        <w:rPr>
          <w:rFonts w:ascii="Times New Roman" w:hAnsi="Times New Roman" w:cs="Times New Roman"/>
          <w:b/>
          <w:sz w:val="24"/>
          <w:szCs w:val="24"/>
          <w:u w:val="single"/>
          <w:lang w:val="es-PE"/>
        </w:rPr>
        <w:t>SEGUNDO:</w:t>
      </w:r>
      <w:r w:rsidRPr="00657814">
        <w:rPr>
          <w:rFonts w:ascii="Times New Roman" w:hAnsi="Times New Roman" w:cs="Times New Roman"/>
          <w:bCs/>
          <w:sz w:val="24"/>
          <w:szCs w:val="24"/>
          <w:lang w:val="es-PE"/>
        </w:rPr>
        <w:t xml:space="preserve">  </w:t>
      </w:r>
      <w:r w:rsidRPr="00657814">
        <w:rPr>
          <w:rFonts w:ascii="Times New Roman" w:hAnsi="Times New Roman" w:cs="Times New Roman"/>
          <w:sz w:val="24"/>
          <w:szCs w:val="24"/>
          <w:lang w:val="es-PE"/>
        </w:rPr>
        <w:t>Que el reclamante expresa su posición y manifiesta las razones por las cuales discrepa de lo resuelto por esta Defensoría, reiterando los argumentos expuestos en su reclamo y señalando que otras aseguradoras le han cubierto y todas deben proceder por igual.</w:t>
      </w:r>
    </w:p>
    <w:p w14:paraId="3E9A9B3E" w14:textId="77777777" w:rsidR="0018041E" w:rsidRPr="00657814" w:rsidRDefault="0018041E" w:rsidP="00657814">
      <w:pPr>
        <w:spacing w:line="240" w:lineRule="auto"/>
        <w:jc w:val="both"/>
        <w:rPr>
          <w:rFonts w:ascii="Times New Roman" w:hAnsi="Times New Roman" w:cs="Times New Roman"/>
          <w:sz w:val="24"/>
          <w:szCs w:val="24"/>
          <w:lang w:val="es-PE"/>
        </w:rPr>
      </w:pPr>
      <w:r w:rsidRPr="00657814">
        <w:rPr>
          <w:rFonts w:ascii="Times New Roman" w:hAnsi="Times New Roman" w:cs="Times New Roman"/>
          <w:sz w:val="24"/>
          <w:szCs w:val="24"/>
          <w:lang w:val="es-PE"/>
        </w:rPr>
        <w:t xml:space="preserve">Que, este colegiado no es competente para pronunciarse respecto de lo que otras aseguradoras han cubierto, por cuanto no forman parte del presente proceso. No obstante, tiene a bien señalar que las pólizas no necesariamente son iguales, pueden otorgar diferentes coberturas, y se suscriben en diferentes momentos, por lo que para una aseguradora puede ser preexistente, no necesariamente determinada que para otras lo sea, pues todo depende cuándo se contrató la solicitud de seguro, asimismo cada caso es distinto y reviste particularidades que determinan que una cobertura sí corresponda en </w:t>
      </w:r>
      <w:proofErr w:type="gramStart"/>
      <w:r w:rsidRPr="00657814">
        <w:rPr>
          <w:rFonts w:ascii="Times New Roman" w:hAnsi="Times New Roman" w:cs="Times New Roman"/>
          <w:sz w:val="24"/>
          <w:szCs w:val="24"/>
          <w:lang w:val="es-PE"/>
        </w:rPr>
        <w:t>algunas casos</w:t>
      </w:r>
      <w:proofErr w:type="gramEnd"/>
      <w:r w:rsidRPr="00657814">
        <w:rPr>
          <w:rFonts w:ascii="Times New Roman" w:hAnsi="Times New Roman" w:cs="Times New Roman"/>
          <w:sz w:val="24"/>
          <w:szCs w:val="24"/>
          <w:lang w:val="es-PE"/>
        </w:rPr>
        <w:t>, y en otros no.</w:t>
      </w:r>
    </w:p>
    <w:p w14:paraId="1DDA1A4E" w14:textId="77777777" w:rsidR="00657814" w:rsidRPr="00657814" w:rsidRDefault="0018041E" w:rsidP="00657814">
      <w:pPr>
        <w:spacing w:line="240" w:lineRule="auto"/>
        <w:jc w:val="both"/>
        <w:rPr>
          <w:rFonts w:ascii="Times New Roman" w:hAnsi="Times New Roman" w:cs="Times New Roman"/>
          <w:sz w:val="24"/>
          <w:szCs w:val="24"/>
          <w:lang w:val="es-PE"/>
        </w:rPr>
      </w:pPr>
      <w:r w:rsidRPr="00657814">
        <w:rPr>
          <w:rFonts w:ascii="Times New Roman" w:hAnsi="Times New Roman" w:cs="Times New Roman"/>
          <w:sz w:val="24"/>
          <w:szCs w:val="24"/>
          <w:lang w:val="es-PE"/>
        </w:rPr>
        <w:lastRenderedPageBreak/>
        <w:t>En este caso, se ha analizaron tanto los aspectos formales del caso (esto es sí se entregó la póliza de seguro para oponer la exclusión), como los aspectos de fondo,  determinando este colegiado que sí estamos ante dos enfermedades o condiciones  preexistentes que son las que originan la calificación de invalidez; y, que al haber sido pactado en la póliza que no se cubrirían situaciones que son consecuencia de enfermedades preexistentes, determinan que el rechazo basado en esta causal resulta legítimo.</w:t>
      </w:r>
    </w:p>
    <w:p w14:paraId="25FC6BB8" w14:textId="00D59C4E" w:rsidR="0018041E" w:rsidRPr="00657814" w:rsidRDefault="0018041E" w:rsidP="00657814">
      <w:pPr>
        <w:spacing w:line="240" w:lineRule="auto"/>
        <w:jc w:val="both"/>
        <w:rPr>
          <w:rFonts w:ascii="Times New Roman" w:hAnsi="Times New Roman" w:cs="Times New Roman"/>
          <w:sz w:val="24"/>
          <w:szCs w:val="24"/>
          <w:lang w:val="es-PE"/>
        </w:rPr>
      </w:pPr>
      <w:r w:rsidRPr="00657814">
        <w:rPr>
          <w:rFonts w:ascii="Times New Roman" w:hAnsi="Times New Roman" w:cs="Times New Roman"/>
          <w:sz w:val="24"/>
          <w:szCs w:val="24"/>
          <w:lang w:val="es-PE"/>
        </w:rPr>
        <w:t>En este caso no solo el glaucoma es preexistente a la contratación del seguro, sino que también lo es el diagnóstico de lumbalgia y cervicalgia asociadas a hernias.</w:t>
      </w:r>
    </w:p>
    <w:p w14:paraId="783076BB" w14:textId="77777777" w:rsidR="0018041E" w:rsidRPr="00657814" w:rsidRDefault="0018041E" w:rsidP="00657814">
      <w:pPr>
        <w:spacing w:line="240" w:lineRule="auto"/>
        <w:jc w:val="both"/>
        <w:rPr>
          <w:rFonts w:ascii="Times New Roman" w:hAnsi="Times New Roman" w:cs="Times New Roman"/>
          <w:bCs/>
          <w:sz w:val="24"/>
          <w:szCs w:val="24"/>
          <w:lang w:val="es-PE"/>
        </w:rPr>
      </w:pPr>
      <w:r>
        <w:rPr>
          <w:rFonts w:ascii="Times New Roman" w:hAnsi="Times New Roman"/>
          <w:sz w:val="24"/>
        </w:rPr>
        <w:t xml:space="preserve">En virtud de lo expuesto, este colegiado considera que no se han presentado pruebas suficientes que permitan evidenciar que se ha cometido un error en la Resolución Impugnada; en consecuencia, el recurso impugnativo interpuesto puede ser categorizado, por su contenido mismo, como una solicitud de revisión general, sustentado en el muy respetable criterio de la reclamante que este colegiado no comparte.</w:t>
      </w:r>
    </w:p>
    <w:p w14:paraId="3EB1A858" w14:textId="77777777" w:rsidR="0018041E" w:rsidRPr="00657814" w:rsidRDefault="0018041E" w:rsidP="00657814">
      <w:pPr>
        <w:spacing w:line="240" w:lineRule="auto"/>
        <w:jc w:val="both"/>
        <w:rPr>
          <w:rFonts w:ascii="Times New Roman" w:hAnsi="Times New Roman" w:cs="Times New Roman"/>
          <w:sz w:val="24"/>
          <w:szCs w:val="24"/>
          <w:lang w:val="es-PE"/>
        </w:rPr>
      </w:pPr>
      <w:r w:rsidRPr="00657814">
        <w:rPr>
          <w:rFonts w:ascii="Times New Roman" w:hAnsi="Times New Roman" w:cs="Times New Roman"/>
          <w:sz w:val="24"/>
          <w:szCs w:val="24"/>
          <w:lang w:val="es-PE"/>
        </w:rPr>
        <w:t>Finalmente, ante la indicación de la reclamante que acudirá ante la SBS, se deja expresa constancia que esta resolución no es vinculante para la asegurada cuando le es desfavorable, por lo que tiene expedito su derecho para acudir ante la entidad que considere pertinente.</w:t>
      </w:r>
    </w:p>
    <w:p w14:paraId="0800EBF7" w14:textId="77777777" w:rsidR="0018041E" w:rsidRPr="00657814" w:rsidRDefault="0018041E" w:rsidP="00657814">
      <w:pPr>
        <w:spacing w:line="240" w:lineRule="auto"/>
        <w:jc w:val="both"/>
        <w:rPr>
          <w:rFonts w:ascii="Times New Roman" w:hAnsi="Times New Roman" w:cs="Times New Roman"/>
          <w:b/>
          <w:sz w:val="24"/>
          <w:szCs w:val="24"/>
          <w:lang w:val="es-PE"/>
        </w:rPr>
      </w:pPr>
      <w:r w:rsidRPr="00657814">
        <w:rPr>
          <w:rFonts w:ascii="Times New Roman" w:hAnsi="Times New Roman" w:cs="Times New Roman"/>
          <w:b/>
          <w:sz w:val="24"/>
          <w:szCs w:val="24"/>
          <w:lang w:val="es-PE"/>
        </w:rPr>
        <w:t xml:space="preserve">Atendiendo a lo expresado, conforme a su Reglamento, este colegiado </w:t>
      </w:r>
    </w:p>
    <w:p w14:paraId="2A2F2DCA" w14:textId="77777777" w:rsidR="0018041E" w:rsidRPr="00657814" w:rsidRDefault="0018041E" w:rsidP="00657814">
      <w:pPr>
        <w:spacing w:line="240" w:lineRule="auto"/>
        <w:jc w:val="both"/>
        <w:rPr>
          <w:rFonts w:ascii="Times New Roman" w:hAnsi="Times New Roman" w:cs="Times New Roman"/>
          <w:b/>
          <w:sz w:val="24"/>
          <w:szCs w:val="24"/>
          <w:lang w:val="es-PE"/>
        </w:rPr>
      </w:pPr>
      <w:r w:rsidRPr="00657814">
        <w:rPr>
          <w:rFonts w:ascii="Times New Roman" w:hAnsi="Times New Roman" w:cs="Times New Roman"/>
          <w:b/>
          <w:sz w:val="24"/>
          <w:szCs w:val="24"/>
          <w:lang w:val="es-PE"/>
        </w:rPr>
        <w:t>Resuelve:</w:t>
      </w:r>
    </w:p>
    <w:p w14:paraId="616170A5" w14:textId="2F1B349A" w:rsidR="0018041E" w:rsidRPr="00657814" w:rsidRDefault="0018041E" w:rsidP="00657814">
      <w:pPr>
        <w:spacing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Nº 085/25 de fecha 05 de junio  de 2025 que declaró infundado el reclamo interpuesto por doña ………………… contra ………………… respecto de la cobertura de invalidez que otorga la póliza de desgravamen N° …………………, dejando a salvo el derecho de la reclamante de recurrir a las instancias que considere pertinentes.</w:t>
      </w:r>
    </w:p>
    <w:p w14:paraId="51EDAB4B" w14:textId="1C3DB2CC" w:rsidR="00B32E8A" w:rsidRPr="00657814" w:rsidRDefault="0091528B" w:rsidP="00657814">
      <w:pPr>
        <w:spacing w:line="240" w:lineRule="auto"/>
        <w:jc w:val="right"/>
        <w:rPr>
          <w:rFonts w:ascii="Times New Roman" w:hAnsi="Times New Roman" w:cs="Times New Roman"/>
          <w:sz w:val="24"/>
          <w:szCs w:val="24"/>
          <w:lang w:val="es-PE"/>
        </w:rPr>
      </w:pPr>
      <w:r w:rsidRPr="00657814">
        <w:rPr>
          <w:rFonts w:ascii="Times New Roman" w:eastAsia="Arial Unicode MS" w:hAnsi="Times New Roman" w:cs="Times New Roman"/>
          <w:sz w:val="24"/>
          <w:szCs w:val="24"/>
          <w:lang w:val="es-PE" w:eastAsia="ar-SA"/>
        </w:rPr>
        <w:t>Lima,</w:t>
      </w:r>
      <w:r w:rsidR="00774D05" w:rsidRPr="00657814">
        <w:rPr>
          <w:rFonts w:ascii="Times New Roman" w:eastAsia="Arial Unicode MS" w:hAnsi="Times New Roman" w:cs="Times New Roman"/>
          <w:sz w:val="24"/>
          <w:szCs w:val="24"/>
          <w:lang w:val="es-PE" w:eastAsia="ar-SA"/>
        </w:rPr>
        <w:t xml:space="preserve"> </w:t>
      </w:r>
      <w:r w:rsidR="00586D82" w:rsidRPr="00657814">
        <w:rPr>
          <w:rFonts w:ascii="Times New Roman" w:eastAsia="Arial Unicode MS" w:hAnsi="Times New Roman" w:cs="Times New Roman"/>
          <w:sz w:val="24"/>
          <w:szCs w:val="24"/>
          <w:lang w:val="es-PE" w:eastAsia="ar-SA"/>
        </w:rPr>
        <w:t>30</w:t>
      </w:r>
      <w:r w:rsidR="00B8209E" w:rsidRPr="00657814">
        <w:rPr>
          <w:rFonts w:ascii="Times New Roman" w:eastAsia="Arial Unicode MS" w:hAnsi="Times New Roman" w:cs="Times New Roman"/>
          <w:sz w:val="24"/>
          <w:szCs w:val="24"/>
          <w:lang w:val="es-PE" w:eastAsia="ar-SA"/>
        </w:rPr>
        <w:t xml:space="preserve"> </w:t>
      </w:r>
      <w:r w:rsidR="00707C99" w:rsidRPr="00657814">
        <w:rPr>
          <w:rFonts w:ascii="Times New Roman" w:eastAsia="Arial Unicode MS" w:hAnsi="Times New Roman" w:cs="Times New Roman"/>
          <w:sz w:val="24"/>
          <w:szCs w:val="24"/>
          <w:lang w:val="es-PE" w:eastAsia="ar-SA"/>
        </w:rPr>
        <w:t xml:space="preserve">de </w:t>
      </w:r>
      <w:r w:rsidR="00FF5223" w:rsidRPr="00657814">
        <w:rPr>
          <w:rFonts w:ascii="Times New Roman" w:eastAsia="Arial Unicode MS" w:hAnsi="Times New Roman" w:cs="Times New Roman"/>
          <w:sz w:val="24"/>
          <w:szCs w:val="24"/>
          <w:lang w:val="es-PE" w:eastAsia="ar-SA"/>
        </w:rPr>
        <w:t>junio</w:t>
      </w:r>
      <w:r w:rsidR="002F478E" w:rsidRPr="00657814">
        <w:rPr>
          <w:rFonts w:ascii="Times New Roman" w:eastAsia="Arial Unicode MS" w:hAnsi="Times New Roman" w:cs="Times New Roman"/>
          <w:sz w:val="24"/>
          <w:szCs w:val="24"/>
          <w:lang w:val="es-PE" w:eastAsia="ar-SA"/>
        </w:rPr>
        <w:t xml:space="preserve"> </w:t>
      </w:r>
      <w:r w:rsidR="00F06498" w:rsidRPr="00657814">
        <w:rPr>
          <w:rFonts w:ascii="Times New Roman" w:eastAsia="Arial Unicode MS" w:hAnsi="Times New Roman" w:cs="Times New Roman"/>
          <w:sz w:val="24"/>
          <w:szCs w:val="24"/>
          <w:lang w:val="es-PE" w:eastAsia="ar-SA"/>
        </w:rPr>
        <w:t>de 202</w:t>
      </w:r>
      <w:r w:rsidR="00AE4D37" w:rsidRPr="00657814">
        <w:rPr>
          <w:rFonts w:ascii="Times New Roman" w:eastAsia="Arial Unicode MS" w:hAnsi="Times New Roman" w:cs="Times New Roman"/>
          <w:sz w:val="24"/>
          <w:szCs w:val="24"/>
          <w:lang w:val="es-PE" w:eastAsia="ar-SA"/>
        </w:rPr>
        <w:t>5</w:t>
      </w:r>
      <w:r w:rsidR="00707C99" w:rsidRPr="00657814">
        <w:rPr>
          <w:rFonts w:ascii="Times New Roman" w:eastAsia="Times New Roman" w:hAnsi="Times New Roman" w:cs="Times New Roman"/>
          <w:sz w:val="24"/>
          <w:szCs w:val="24"/>
          <w:lang w:val="es-PE" w:eastAsia="ar-SA"/>
        </w:rPr>
        <w:t xml:space="preserve"> </w:t>
      </w:r>
    </w:p>
    <w:p w14:paraId="1B6988F6" w14:textId="77777777" w:rsidR="00A323F4" w:rsidRPr="00657814" w:rsidRDefault="00A323F4" w:rsidP="00657814">
      <w:pPr>
        <w:spacing w:after="0" w:line="240" w:lineRule="auto"/>
        <w:jc w:val="both"/>
        <w:rPr>
          <w:rFonts w:ascii="Times New Roman" w:hAnsi="Times New Roman" w:cs="Times New Roman"/>
          <w:b/>
          <w:bCs/>
          <w:i/>
          <w:iCs/>
          <w:sz w:val="24"/>
          <w:szCs w:val="24"/>
          <w:lang w:val="es-PE"/>
        </w:rPr>
      </w:pPr>
      <w:r w:rsidRPr="0065781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57814" w:rsidRDefault="008D26BA" w:rsidP="00657814">
      <w:pPr>
        <w:spacing w:after="0" w:line="360" w:lineRule="auto"/>
        <w:jc w:val="both"/>
        <w:rPr>
          <w:rFonts w:ascii="Times New Roman" w:hAnsi="Times New Roman" w:cs="Times New Roman"/>
          <w:b/>
          <w:bCs/>
          <w:i/>
          <w:iCs/>
          <w:sz w:val="24"/>
          <w:szCs w:val="24"/>
          <w:lang w:val="es-PE"/>
        </w:rPr>
      </w:pPr>
    </w:p>
    <w:p w14:paraId="220AA7AD" w14:textId="4331E0E4" w:rsidR="007543CD"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 xml:space="preserve">Rolando Eyzaguirre Maccan </w:t>
      </w:r>
      <w:r w:rsidR="007543CD" w:rsidRPr="00657814">
        <w:rPr>
          <w:rFonts w:ascii="Times New Roman" w:hAnsi="Times New Roman" w:cs="Times New Roman"/>
          <w:b/>
          <w:bCs/>
          <w:sz w:val="24"/>
          <w:szCs w:val="24"/>
          <w:lang w:val="es-PE"/>
        </w:rPr>
        <w:t xml:space="preserve">– </w:t>
      </w:r>
      <w:proofErr w:type="gramStart"/>
      <w:r w:rsidR="007543CD" w:rsidRPr="00657814">
        <w:rPr>
          <w:rFonts w:ascii="Times New Roman" w:hAnsi="Times New Roman" w:cs="Times New Roman"/>
          <w:b/>
          <w:bCs/>
          <w:sz w:val="24"/>
          <w:szCs w:val="24"/>
          <w:lang w:val="es-PE"/>
        </w:rPr>
        <w:t>Presidente</w:t>
      </w:r>
      <w:proofErr w:type="gramEnd"/>
    </w:p>
    <w:p w14:paraId="5B7063E0" w14:textId="43329098" w:rsidR="008D26BA"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María Eugenia Valdez Fernández Baca – Vocal</w:t>
      </w:r>
    </w:p>
    <w:p w14:paraId="69BFE54F" w14:textId="628D5C27" w:rsidR="007543CD" w:rsidRPr="00657814" w:rsidRDefault="001B08C0" w:rsidP="00657814">
      <w:pPr>
        <w:spacing w:after="0" w:line="360" w:lineRule="auto"/>
        <w:jc w:val="center"/>
        <w:rPr>
          <w:rFonts w:ascii="Times New Roman" w:hAnsi="Times New Roman" w:cs="Times New Roman"/>
          <w:sz w:val="24"/>
          <w:szCs w:val="24"/>
          <w:lang w:val="es-PE"/>
        </w:rPr>
      </w:pPr>
      <w:r w:rsidRPr="00657814">
        <w:rPr>
          <w:rFonts w:ascii="Times New Roman" w:hAnsi="Times New Roman" w:cs="Times New Roman"/>
          <w:b/>
          <w:bCs/>
          <w:sz w:val="24"/>
          <w:szCs w:val="24"/>
        </w:rPr>
        <w:t>Antonio José Rodríguez Lobatón</w:t>
      </w:r>
      <w:r w:rsidRPr="00657814">
        <w:rPr>
          <w:rFonts w:ascii="Times New Roman" w:hAnsi="Times New Roman" w:cs="Times New Roman"/>
          <w:b/>
          <w:bCs/>
          <w:sz w:val="24"/>
          <w:szCs w:val="24"/>
          <w:lang w:val="es-PE"/>
        </w:rPr>
        <w:t xml:space="preserve"> </w:t>
      </w:r>
      <w:r w:rsidR="007543CD" w:rsidRPr="00657814">
        <w:rPr>
          <w:rFonts w:ascii="Times New Roman" w:hAnsi="Times New Roman" w:cs="Times New Roman"/>
          <w:b/>
          <w:bCs/>
          <w:sz w:val="24"/>
          <w:szCs w:val="24"/>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36497" w14:textId="77777777" w:rsidR="006A5904" w:rsidRDefault="006A5904" w:rsidP="00784355">
      <w:pPr>
        <w:spacing w:after="0" w:line="240" w:lineRule="auto"/>
      </w:pPr>
      <w:r>
        <w:separator/>
      </w:r>
    </w:p>
  </w:endnote>
  <w:endnote w:type="continuationSeparator" w:id="0">
    <w:p w14:paraId="675B3417" w14:textId="77777777" w:rsidR="006A5904" w:rsidRDefault="006A590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055CC" w14:textId="77777777" w:rsidR="006A5904" w:rsidRDefault="006A5904" w:rsidP="00784355">
      <w:pPr>
        <w:spacing w:after="0" w:line="240" w:lineRule="auto"/>
      </w:pPr>
      <w:r>
        <w:separator/>
      </w:r>
    </w:p>
  </w:footnote>
  <w:footnote w:type="continuationSeparator" w:id="0">
    <w:p w14:paraId="5365E363" w14:textId="77777777" w:rsidR="006A5904" w:rsidRDefault="006A5904"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17B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A41AD67-4EEF-4927-A160-2AE116C45DBF}"/>
</file>

<file path=customXml/itemProps3.xml><?xml version="1.0" encoding="utf-8"?>
<ds:datastoreItem xmlns:ds="http://schemas.openxmlformats.org/officeDocument/2006/customXml" ds:itemID="{5C0F1018-BA6A-44A0-9A7A-221F83E526D7}"/>
</file>

<file path=customXml/itemProps4.xml><?xml version="1.0" encoding="utf-8"?>
<ds:datastoreItem xmlns:ds="http://schemas.openxmlformats.org/officeDocument/2006/customXml" ds:itemID="{3EBF2672-7B1B-4FF8-83B2-977A2CC7966A}"/>
</file>

<file path=docProps/app.xml><?xml version="1.0" encoding="utf-8"?>
<Properties xmlns="http://schemas.openxmlformats.org/officeDocument/2006/extended-properties" xmlns:vt="http://schemas.openxmlformats.org/officeDocument/2006/docPropsVTypes">
  <Template>Normal</Template>
  <TotalTime>344</TotalTime>
  <Pages>2</Pages>
  <Words>842</Words>
  <Characters>4636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388</cp:revision>
  <cp:lastPrinted>2025-07-01T15:32:00Z</cp:lastPrinted>
  <dcterms:created xsi:type="dcterms:W3CDTF">2023-02-14T22:37:00Z</dcterms:created>
  <dcterms:modified xsi:type="dcterms:W3CDTF">2025-07-01T15:32:00Z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