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word/theme/theme1.xml" ContentType="application/vnd.openxmlformats-officedocument.theme+xml"/>
  <Override PartName="/word/numbering.xml" ContentType="application/vnd.openxmlformats-officedocument.wordprocessingml.numbering+xml"/>
  <Override PartName="/customXml/itemProps1.xml" ContentType="application/vnd.openxmlformats-officedocument.customXmlProperties+xml"/>
  <Override PartName="/word/footnotes.xml" ContentType="application/vnd.openxmlformats-officedocument.wordprocessingml.footnotes+xml"/>
  <Override PartName="/word/fontTable.xml" ContentType="application/vnd.openxmlformats-officedocument.wordprocessingml.fontTable+xml"/>
  <Override PartName="/word/webSettings.xml" ContentType="application/vnd.openxmlformats-officedocument.wordprocessingml.webSettings+xml"/>
  <Override PartName="/word/footer1.xml" ContentType="application/vnd.openxmlformats-officedocument.wordprocessingml.footer+xml"/>
  <Override PartName="/word/settings.xml" ContentType="application/vnd.openxmlformats-officedocument.wordprocessingml.settings+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5B8FD7" w14:textId="01298B12" w:rsidR="005A2497" w:rsidRPr="00657814" w:rsidRDefault="00201C0D" w:rsidP="00657814">
      <w:pPr>
        <w:spacing w:after="0" w:line="240" w:lineRule="auto"/>
        <w:jc w:val="center"/>
        <w:rPr>
          <w:rFonts w:ascii="Times New Roman" w:hAnsi="Times New Roman" w:cs="Times New Roman"/>
          <w:b/>
          <w:sz w:val="24"/>
          <w:szCs w:val="24"/>
          <w:lang w:val="es-PE" w:eastAsia="ar-SA"/>
        </w:rPr>
      </w:pPr>
      <w:r w:rsidRPr="00657814">
        <w:rPr>
          <w:rFonts w:ascii="Times New Roman" w:hAnsi="Times New Roman" w:cs="Times New Roman"/>
          <w:b/>
          <w:sz w:val="24"/>
          <w:szCs w:val="24"/>
          <w:lang w:val="es-PE" w:eastAsia="ar-SA"/>
        </w:rPr>
        <w:t xml:space="preserve">RESOLUCIÓN DE RECURSO IMPUGNATIVO </w:t>
      </w:r>
      <w:r w:rsidR="00707C99" w:rsidRPr="00657814">
        <w:rPr>
          <w:rFonts w:ascii="Times New Roman" w:hAnsi="Times New Roman" w:cs="Times New Roman"/>
          <w:b/>
          <w:sz w:val="24"/>
          <w:szCs w:val="24"/>
          <w:lang w:val="es-PE" w:eastAsia="ar-SA"/>
        </w:rPr>
        <w:t xml:space="preserve">N° </w:t>
      </w:r>
      <w:r w:rsidR="00516293" w:rsidRPr="00657814">
        <w:rPr>
          <w:rFonts w:ascii="Times New Roman" w:hAnsi="Times New Roman" w:cs="Times New Roman"/>
          <w:b/>
          <w:sz w:val="24"/>
          <w:szCs w:val="24"/>
          <w:lang w:val="es-PE" w:eastAsia="ar-SA"/>
        </w:rPr>
        <w:t>0</w:t>
      </w:r>
      <w:r w:rsidR="000C321D" w:rsidRPr="00657814">
        <w:rPr>
          <w:rFonts w:ascii="Times New Roman" w:hAnsi="Times New Roman" w:cs="Times New Roman"/>
          <w:b/>
          <w:sz w:val="24"/>
          <w:szCs w:val="24"/>
          <w:lang w:val="es-PE" w:eastAsia="ar-SA"/>
        </w:rPr>
        <w:t>3</w:t>
      </w:r>
      <w:r w:rsidR="00245501">
        <w:rPr>
          <w:rFonts w:ascii="Times New Roman" w:hAnsi="Times New Roman" w:cs="Times New Roman"/>
          <w:b/>
          <w:sz w:val="24"/>
          <w:szCs w:val="24"/>
          <w:lang w:val="es-PE" w:eastAsia="ar-SA"/>
        </w:rPr>
        <w:t>3</w:t>
      </w:r>
      <w:r w:rsidR="00C671F5" w:rsidRPr="00657814">
        <w:rPr>
          <w:rFonts w:ascii="Times New Roman" w:hAnsi="Times New Roman" w:cs="Times New Roman"/>
          <w:b/>
          <w:sz w:val="24"/>
          <w:szCs w:val="24"/>
          <w:lang w:val="es-PE" w:eastAsia="ar-SA"/>
        </w:rPr>
        <w:t>/2</w:t>
      </w:r>
      <w:r w:rsidR="00A74F96" w:rsidRPr="00657814">
        <w:rPr>
          <w:rFonts w:ascii="Times New Roman" w:hAnsi="Times New Roman" w:cs="Times New Roman"/>
          <w:b/>
          <w:sz w:val="24"/>
          <w:szCs w:val="24"/>
          <w:lang w:val="es-PE" w:eastAsia="ar-SA"/>
        </w:rPr>
        <w:t>5</w:t>
      </w:r>
    </w:p>
    <w:p w14:paraId="56DB191C" w14:textId="77777777" w:rsidR="005A2497" w:rsidRPr="00657814" w:rsidRDefault="005A2497" w:rsidP="00657814">
      <w:pPr>
        <w:spacing w:after="0" w:line="240" w:lineRule="auto"/>
        <w:jc w:val="both"/>
        <w:rPr>
          <w:rFonts w:ascii="Times New Roman" w:hAnsi="Times New Roman" w:cs="Times New Roman"/>
          <w:b/>
          <w:sz w:val="24"/>
          <w:szCs w:val="24"/>
          <w:lang w:val="es-PE" w:eastAsia="ar-SA"/>
        </w:rPr>
      </w:pPr>
    </w:p>
    <w:p w14:paraId="5CEED106" w14:textId="77777777" w:rsidR="00011995" w:rsidRDefault="002A4AE6" w:rsidP="00011995">
      <w:pPr>
        <w:spacing w:line="240" w:lineRule="auto"/>
        <w:jc w:val="both"/>
        <w:rPr>
          <w:rFonts w:ascii="Times New Roman" w:eastAsia="Arial Unicode MS" w:hAnsi="Times New Roman" w:cs="Times New Roman"/>
          <w:b/>
          <w:bCs/>
          <w:sz w:val="24"/>
          <w:szCs w:val="24"/>
          <w:lang w:val="es-MX" w:eastAsia="ar-SA"/>
        </w:rPr>
      </w:pPr>
      <w:r w:rsidRPr="002A4AE6">
        <w:rPr>
          <w:rFonts w:ascii="Times New Roman" w:eastAsia="Arial Unicode MS" w:hAnsi="Times New Roman" w:cs="Times New Roman"/>
          <w:b/>
          <w:bCs/>
          <w:sz w:val="24"/>
          <w:szCs w:val="24"/>
          <w:lang w:val="es-MX" w:eastAsia="ar-SA"/>
        </w:rPr>
        <w:t>Vistos:</w:t>
      </w:r>
    </w:p>
    <w:p w14:paraId="776EF692" w14:textId="1C96B6C8" w:rsidR="002A4AE6" w:rsidRPr="002A4AE6" w:rsidRDefault="002A4AE6" w:rsidP="00011995">
      <w:pPr>
        <w:spacing w:line="240" w:lineRule="auto"/>
        <w:jc w:val="both"/>
        <w:rPr>
          <w:rFonts w:ascii="Times New Roman" w:eastAsia="Arial Unicode MS" w:hAnsi="Times New Roman" w:cs="Times New Roman"/>
          <w:b/>
          <w:bCs/>
          <w:sz w:val="24"/>
          <w:szCs w:val="24"/>
          <w:lang w:val="es-MX" w:eastAsia="ar-SA"/>
        </w:rPr>
      </w:pPr>
      <w:r>
        <w:rPr>
          <w:rFonts w:ascii="Times New Roman" w:hAnsi="Times New Roman"/>
          <w:sz w:val="24"/>
        </w:rPr>
        <w:t xml:space="preserve">El Recurso de Impugnación presentado por don ………………… respecto de la Resolución Nº 083/25 de fecha 04 de junio de 2025, que declara improcedente la reclamación interpuesta contra ………………… COMPAÑÍA DE SEGUROS Y REASEGUROS; dejando a salvo el derecho del reclamante de acudir a las instancias que considere pertinentes.</w:t>
      </w:r>
    </w:p>
    <w:bookmarkEnd w:id="0"/>
    <w:p w14:paraId="5FA0025F" w14:textId="77777777" w:rsidR="002A4AE6" w:rsidRPr="002A4AE6" w:rsidRDefault="002A4AE6" w:rsidP="00011995">
      <w:pPr>
        <w:spacing w:line="240" w:lineRule="auto"/>
        <w:jc w:val="both"/>
        <w:rPr>
          <w:rFonts w:ascii="Times New Roman" w:eastAsia="Arial Unicode MS" w:hAnsi="Times New Roman" w:cs="Times New Roman"/>
          <w:bCs/>
          <w:sz w:val="24"/>
          <w:szCs w:val="24"/>
          <w:lang w:val="es-MX" w:eastAsia="ar-SA"/>
        </w:rPr>
      </w:pPr>
      <w:r>
        <w:rPr>
          <w:rFonts w:ascii="Times New Roman" w:hAnsi="Times New Roman"/>
          <w:sz w:val="24"/>
        </w:rPr>
        <w:t xml:space="preserve">Que, a través del señalado recurso el reclamante manifiesta su disconformidad con lo resuelto señalando resumidamente lo siguiente: a) que no se ha tomado en cuenta la perfecta motivación de los fundamentos de su reclamo; b) que consideran existiría una presunta parcialización de lo resuelto basando su improcedencia en la supuesta idoneidad de servicios como falta de competencia funcional; c) consideran que la Resolución Impugnada es nula de pleno derecho al carecer de motivación al no probar efectivamente cuáles serían los criterios de ”idoneidad de servicio” para que no sea declarada dentro de la competencia de la DEFASEG, existiendo dualidad e criterio al momento de resolver en jurisprudencia similar que declara fundada la pretensión; d) consideran que existe suficiente sustento fáctico plenamente probado la no entrega de la póliza de seguro; e) al momento de declarar la admisibilidad del reclamo se evaluó cada uno de los requisitos establecidos para considerarse competente; por lo que la admisibilidad de su reclamo quedó firme y consentida en el periodo de evaluación previa; f) considerar que basar la improcedencia en falta de idoneidad vulnera el principio de orden y seguridad jurídica; la admisibilidad no es solo un formalismo sino una garantía de un proceso justo y ordenado; por lo que declarar incompetencia por materia vulnera sus derechos constitucionales, ya que la admisibilidad fue previamente evaluada; consideran que el colegiado si tiene capacidad para pronunciarse; siendo que resulta incomprensible  el criterio adoptado respecto de la probanza de la no entrega de la póliza; siendo que en situaciones similares se resolvió a su favor; g) considera que el colegiado si tiene competencia funcional para resolver el fondo del asunto al haberse probado que nunca se le entregó la póliza, por ende al no tener conocimiento de las cláusulas las causales de rechazo establecidas por los ajustadores, no pueden ser oponibles, resultando ilegítimas. </w:t>
      </w:r>
    </w:p>
    <w:p w14:paraId="31A0ACB5" w14:textId="77777777" w:rsidR="002A4AE6" w:rsidRPr="002A4AE6" w:rsidRDefault="002A4AE6" w:rsidP="00011995">
      <w:pPr>
        <w:spacing w:line="240" w:lineRule="auto"/>
        <w:jc w:val="both"/>
        <w:rPr>
          <w:rFonts w:ascii="Times New Roman" w:eastAsia="Arial Unicode MS" w:hAnsi="Times New Roman" w:cs="Times New Roman"/>
          <w:bCs/>
          <w:sz w:val="24"/>
          <w:szCs w:val="24"/>
          <w:lang w:val="es-MX" w:eastAsia="ar-SA"/>
        </w:rPr>
      </w:pPr>
      <w:r>
        <w:rPr>
          <w:rFonts w:ascii="Times New Roman" w:hAnsi="Times New Roman"/>
          <w:sz w:val="24"/>
        </w:rPr>
        <w:t xml:space="preserve">Que, con fecha 25 de junio de 2025, la aseguradora absolvió el traslado de la impugnación en los términos que a continuación se resumen: a) el hecho que el recurrente discrepe del análisis no implica que la Resolución Impugnada carezca de motivación; por el contrario, la resolución analiza los elementos relevantes del expediente y delimita la competencia de la DEFASEG descartando aquellos aspectos que exceden su ámbito funcional; a la aseguradora; b) el recurrente fundamentó su reclamo en la incorrecta designación de los dos ajustados, así como la falta de la entrega de la póliza y una supuesta vulneración a su derecho a elegir el segundo ajustador; aspectos que no están dentro de la competencia de la DEFASEG; si la designación resulta irregular conllevaría a que la liquidación del siniestro también fuera irregular, motivo por el cual la Defensoría no puede pronunciarse; c) la admisibilidad de un reclamo no determina la procedencia del mismo, ni restringe la facultad del órgano resolutivo de verificar los elementos de competencia funcional durante el análisis integral del expediente; d) respecto a la resolución citada como jurisprudencia, cada caso debe analizarse conforme a sus particularidades fácticas y jurídicas, siendo que en este caso sí cumplieron con entregar la póliza al asegurado; e) no se ha afectado el derecho del asegurado al remitirse a otras instancias, por el contrario, ello garantiza el respeto del debido proceso y el marco legal aplicable, toda vez que la determinación sobre si correspondía o no una nueva designación de ajustadores, son cuestiones que deben ser realizadas ante una instancia con plena competencia para ello. </w:t>
      </w:r>
    </w:p>
    <w:p w14:paraId="658CABDE" w14:textId="77777777" w:rsidR="002A4AE6" w:rsidRPr="002A4AE6" w:rsidRDefault="002A4AE6" w:rsidP="00011995">
      <w:pPr>
        <w:spacing w:line="240" w:lineRule="auto"/>
        <w:jc w:val="both"/>
        <w:rPr>
          <w:rFonts w:ascii="Times New Roman" w:eastAsia="Arial Unicode MS" w:hAnsi="Times New Roman" w:cs="Times New Roman"/>
          <w:bCs/>
          <w:sz w:val="24"/>
          <w:szCs w:val="24"/>
          <w:lang w:val="es-MX" w:eastAsia="ar-SA"/>
        </w:rPr>
      </w:pPr>
      <w:r w:rsidRPr="002A4AE6">
        <w:rPr>
          <w:rFonts w:ascii="Times New Roman" w:eastAsia="Arial Unicode MS" w:hAnsi="Times New Roman" w:cs="Times New Roman"/>
          <w:b/>
          <w:bCs/>
          <w:sz w:val="24"/>
          <w:szCs w:val="24"/>
          <w:lang w:val="es-MX" w:eastAsia="ar-SA"/>
        </w:rPr>
        <w:t>Considerando:</w:t>
      </w:r>
    </w:p>
    <w:p w14:paraId="0041BC5A" w14:textId="77777777" w:rsidR="002A4AE6" w:rsidRPr="002A4AE6" w:rsidRDefault="002A4AE6" w:rsidP="00011995">
      <w:pPr>
        <w:spacing w:line="240" w:lineRule="auto"/>
        <w:jc w:val="both"/>
        <w:rPr>
          <w:rFonts w:ascii="Times New Roman" w:eastAsia="Arial Unicode MS" w:hAnsi="Times New Roman" w:cs="Times New Roman"/>
          <w:bCs/>
          <w:sz w:val="24"/>
          <w:szCs w:val="24"/>
          <w:lang w:val="es-PE" w:eastAsia="ar-SA"/>
        </w:rPr>
      </w:pPr>
      <w:r>
        <w:rPr>
          <w:rFonts w:ascii="Times New Roman" w:hAnsi="Times New Roman"/>
          <w:sz w:val="24"/>
        </w:rPr>
        <w:t xml:space="preserve">Primero: El Reglamento de la DEFASEG (http://www.defaseg.com.pe/reglamento) establece que la parte que no se encuentre de acuerdo con lo resuelto en su oportunidad podrá impugnarlo, interponiendo el correspondiente recurso. Conforme a ello, en el caso concreto, al interponer el Recurso de Impugnación la reclamante ha ejercido formalmente su derecho a contradecir lo resuelto por la Defensoría.</w:t>
      </w:r>
    </w:p>
    <w:p w14:paraId="53E36F65" w14:textId="77777777" w:rsidR="002A4AE6" w:rsidRPr="002A4AE6" w:rsidRDefault="002A4AE6" w:rsidP="00011995">
      <w:pPr>
        <w:spacing w:line="240" w:lineRule="auto"/>
        <w:jc w:val="both"/>
        <w:rPr>
          <w:rFonts w:ascii="Times New Roman" w:eastAsia="Arial Unicode MS" w:hAnsi="Times New Roman" w:cs="Times New Roman"/>
          <w:sz w:val="24"/>
          <w:szCs w:val="24"/>
          <w:lang w:val="es-PE" w:eastAsia="ar-SA"/>
        </w:rPr>
      </w:pPr>
      <w:r w:rsidRPr="002A4AE6">
        <w:rPr>
          <w:rFonts w:ascii="Times New Roman" w:eastAsia="Arial Unicode MS" w:hAnsi="Times New Roman" w:cs="Times New Roman"/>
          <w:b/>
          <w:sz w:val="24"/>
          <w:szCs w:val="24"/>
          <w:u w:val="single"/>
          <w:lang w:val="es-PE" w:eastAsia="ar-SA"/>
        </w:rPr>
        <w:t>Segundo</w:t>
      </w:r>
      <w:r w:rsidRPr="002A4AE6">
        <w:rPr>
          <w:rFonts w:ascii="Times New Roman" w:eastAsia="Arial Unicode MS" w:hAnsi="Times New Roman" w:cs="Times New Roman"/>
          <w:b/>
          <w:sz w:val="24"/>
          <w:szCs w:val="24"/>
          <w:lang w:val="es-PE" w:eastAsia="ar-SA"/>
        </w:rPr>
        <w:t>:</w:t>
      </w:r>
      <w:r w:rsidRPr="002A4AE6">
        <w:rPr>
          <w:rFonts w:ascii="Times New Roman" w:eastAsia="Arial Unicode MS" w:hAnsi="Times New Roman" w:cs="Times New Roman"/>
          <w:sz w:val="24"/>
          <w:szCs w:val="24"/>
          <w:lang w:val="es-PE" w:eastAsia="ar-SA"/>
        </w:rPr>
        <w:t xml:space="preserve"> Atendiendo a los fundamentos de la impugnación interpuesta, se advierte que el reclamante discrepa de la resolución emitida, considerando que este colegiado sí es competente para pronunciarse y que, siendo que no se ha acreditado la entrega de la póliza, no se le puede oponer las exclusiones establecidas por los dos ajustadores.</w:t>
      </w:r>
    </w:p>
    <w:p w14:paraId="31BD7726" w14:textId="77777777" w:rsidR="002A4AE6" w:rsidRPr="002A4AE6" w:rsidRDefault="002A4AE6" w:rsidP="00011995">
      <w:pPr>
        <w:spacing w:line="240" w:lineRule="auto"/>
        <w:jc w:val="both"/>
        <w:rPr>
          <w:rFonts w:ascii="Times New Roman" w:eastAsia="Arial Unicode MS" w:hAnsi="Times New Roman" w:cs="Times New Roman"/>
          <w:sz w:val="24"/>
          <w:szCs w:val="24"/>
          <w:lang w:val="es-PE" w:eastAsia="ar-SA"/>
        </w:rPr>
      </w:pPr>
      <w:r w:rsidRPr="002A4AE6">
        <w:rPr>
          <w:rFonts w:ascii="Times New Roman" w:eastAsia="Arial Unicode MS" w:hAnsi="Times New Roman" w:cs="Times New Roman"/>
          <w:sz w:val="24"/>
          <w:szCs w:val="24"/>
          <w:lang w:val="es-PE" w:eastAsia="ar-SA"/>
        </w:rPr>
        <w:t xml:space="preserve">Que, en opinión del reclamante, al haberse admitido su reclamo, ya se evaluaron todos los requisitos de admisibilidad por lo que no puede declararse la improcedencia debiendo únicamente analizarse el fondo del asunto. </w:t>
      </w:r>
    </w:p>
    <w:p w14:paraId="6A18AE7D" w14:textId="77777777" w:rsidR="002A4AE6" w:rsidRPr="002A4AE6" w:rsidRDefault="002A4AE6" w:rsidP="00011995">
      <w:pPr>
        <w:spacing w:line="240" w:lineRule="auto"/>
        <w:jc w:val="both"/>
        <w:rPr>
          <w:rFonts w:ascii="Times New Roman" w:eastAsia="Arial Unicode MS" w:hAnsi="Times New Roman" w:cs="Times New Roman"/>
          <w:sz w:val="24"/>
          <w:szCs w:val="24"/>
          <w:lang w:val="es-PE" w:eastAsia="ar-SA"/>
        </w:rPr>
      </w:pPr>
      <w:r w:rsidRPr="002A4AE6">
        <w:rPr>
          <w:rFonts w:ascii="Times New Roman" w:eastAsia="Arial Unicode MS" w:hAnsi="Times New Roman" w:cs="Times New Roman"/>
          <w:sz w:val="24"/>
          <w:szCs w:val="24"/>
          <w:lang w:val="es-PE" w:eastAsia="ar-SA"/>
        </w:rPr>
        <w:t xml:space="preserve">Este colegiado </w:t>
      </w:r>
      <w:proofErr w:type="gramStart"/>
      <w:r w:rsidRPr="002A4AE6">
        <w:rPr>
          <w:rFonts w:ascii="Times New Roman" w:eastAsia="Arial Unicode MS" w:hAnsi="Times New Roman" w:cs="Times New Roman"/>
          <w:sz w:val="24"/>
          <w:szCs w:val="24"/>
          <w:lang w:val="es-PE" w:eastAsia="ar-SA"/>
        </w:rPr>
        <w:t>respeta</w:t>
      </w:r>
      <w:proofErr w:type="gramEnd"/>
      <w:r w:rsidRPr="002A4AE6">
        <w:rPr>
          <w:rFonts w:ascii="Times New Roman" w:eastAsia="Arial Unicode MS" w:hAnsi="Times New Roman" w:cs="Times New Roman"/>
          <w:sz w:val="24"/>
          <w:szCs w:val="24"/>
          <w:lang w:val="es-PE" w:eastAsia="ar-SA"/>
        </w:rPr>
        <w:t xml:space="preserve"> pero no comparte la apreciación del reclamante. </w:t>
      </w:r>
    </w:p>
    <w:p w14:paraId="01D3F644" w14:textId="77777777" w:rsidR="002A4AE6" w:rsidRPr="002A4AE6" w:rsidRDefault="002A4AE6" w:rsidP="00011995">
      <w:pPr>
        <w:spacing w:line="240" w:lineRule="auto"/>
        <w:jc w:val="both"/>
        <w:rPr>
          <w:rFonts w:ascii="Times New Roman" w:eastAsia="Arial Unicode MS" w:hAnsi="Times New Roman" w:cs="Times New Roman"/>
          <w:sz w:val="24"/>
          <w:szCs w:val="24"/>
          <w:lang w:val="es-PE" w:eastAsia="ar-SA"/>
        </w:rPr>
      </w:pPr>
      <w:r w:rsidRPr="002A4AE6">
        <w:rPr>
          <w:rFonts w:ascii="Times New Roman" w:eastAsia="Arial Unicode MS" w:hAnsi="Times New Roman" w:cs="Times New Roman"/>
          <w:sz w:val="24"/>
          <w:szCs w:val="24"/>
          <w:lang w:val="es-PE" w:eastAsia="ar-SA"/>
        </w:rPr>
        <w:t>No es la primera vez que esta Defensoría ha declarado improcedente un reclamo. En esos casos, la Defensoría no se pronuncia sobre el fondo del asunto, ya sea porque determina que no es competente por cuantía, materia, o por cualquier otra razón que consta en la respectiva resolución.</w:t>
      </w:r>
    </w:p>
    <w:p w14:paraId="4CC581B7" w14:textId="77777777" w:rsidR="002A4AE6" w:rsidRPr="002A4AE6" w:rsidRDefault="002A4AE6" w:rsidP="00011995">
      <w:pPr>
        <w:spacing w:line="240" w:lineRule="auto"/>
        <w:jc w:val="both"/>
        <w:rPr>
          <w:rFonts w:ascii="Times New Roman" w:eastAsia="Arial Unicode MS" w:hAnsi="Times New Roman" w:cs="Times New Roman"/>
          <w:sz w:val="24"/>
          <w:szCs w:val="24"/>
          <w:lang w:val="es-PE" w:eastAsia="ar-SA"/>
        </w:rPr>
      </w:pPr>
      <w:r w:rsidRPr="002A4AE6">
        <w:rPr>
          <w:rFonts w:ascii="Times New Roman" w:eastAsia="Arial Unicode MS" w:hAnsi="Times New Roman" w:cs="Times New Roman"/>
          <w:sz w:val="24"/>
          <w:szCs w:val="24"/>
          <w:lang w:val="es-PE" w:eastAsia="ar-SA"/>
        </w:rPr>
        <w:t xml:space="preserve">Sostener que la admisibilidad de un reclamo impide posteriormente declararlo improcedente, significaría que nunca podría declararse “improcedente” un reclamo o demanda, lo cual no se condice con la realidad. Es admitido que durante la tramitación de un proceso se comprueban elementos que no son advertidos a simple vista al inicio del proceso, ya sea que son evidenciados por una de las partes o por el propio tribunal; y, que determinan que quien resuelve el caso no pueda pronunciarse sobre el fondo del asunto. </w:t>
      </w:r>
    </w:p>
    <w:p w14:paraId="4953F3A0" w14:textId="77777777" w:rsidR="002A4AE6" w:rsidRPr="002A4AE6" w:rsidRDefault="002A4AE6" w:rsidP="00011995">
      <w:pPr>
        <w:spacing w:line="240" w:lineRule="auto"/>
        <w:jc w:val="both"/>
        <w:rPr>
          <w:rFonts w:ascii="Times New Roman" w:eastAsia="Arial Unicode MS" w:hAnsi="Times New Roman" w:cs="Times New Roman"/>
          <w:sz w:val="24"/>
          <w:szCs w:val="24"/>
          <w:lang w:val="es-PE" w:eastAsia="ar-SA"/>
        </w:rPr>
      </w:pPr>
      <w:r>
        <w:rPr>
          <w:rFonts w:ascii="Times New Roman" w:hAnsi="Times New Roman"/>
          <w:sz w:val="24"/>
        </w:rPr>
        <w:t xml:space="preserve">En este caso, el extenso reclamo presentado por el asegurado, no solo se refiere a la oponibilidad de las exclusiones, respecto de lo cual este colegiado tiene un criterio definido y conocido; sino que principalmente discrepa de la forma de designación de los ajustadores, lo que constituye un aspecto de idoneidad de servicios que -reiteramos- escapa a la competencia de este colegiado. Aspecto sobre el cual el reclamante, no se ha pronunciado en su Recurso de Impugnación, lo que evidencia que mantiene dicha controversia de fondo.</w:t>
      </w:r>
    </w:p>
    <w:p w14:paraId="48F32A60" w14:textId="77777777" w:rsidR="002A4AE6" w:rsidRPr="002A4AE6" w:rsidRDefault="002A4AE6" w:rsidP="00011995">
      <w:pPr>
        <w:spacing w:line="240" w:lineRule="auto"/>
        <w:jc w:val="both"/>
        <w:rPr>
          <w:rFonts w:ascii="Times New Roman" w:eastAsia="Arial Unicode MS" w:hAnsi="Times New Roman" w:cs="Times New Roman"/>
          <w:sz w:val="24"/>
          <w:szCs w:val="24"/>
          <w:lang w:val="es-PE" w:eastAsia="ar-SA"/>
        </w:rPr>
      </w:pPr>
      <w:r w:rsidRPr="002A4AE6">
        <w:rPr>
          <w:rFonts w:ascii="Times New Roman" w:eastAsia="Arial Unicode MS" w:hAnsi="Times New Roman" w:cs="Times New Roman"/>
          <w:sz w:val="24"/>
          <w:szCs w:val="24"/>
          <w:lang w:val="es-PE" w:eastAsia="ar-SA"/>
        </w:rPr>
        <w:t>En este caso, al admitir inicialmente el reclamo se estimó que estábamos ante una discrepancia sobre liquidación de siniestro, no obstante, al analizar el caso a detalle, se determinó que primero corresponde analizar si se observó el procedimiento para designar a sus ajustadores y así poder evaluar sus liquidaciones, o si, por el contrario, correspondería que se nombre un nuevo ajustador; dilucidación sobre la cual -reiteramos- la DEFASEG carece de competencia.</w:t>
      </w:r>
    </w:p>
    <w:p w14:paraId="248685C3" w14:textId="77777777" w:rsidR="002A4AE6" w:rsidRPr="002A4AE6" w:rsidRDefault="002A4AE6" w:rsidP="00011995">
      <w:pPr>
        <w:spacing w:line="240" w:lineRule="auto"/>
        <w:jc w:val="both"/>
        <w:rPr>
          <w:rFonts w:ascii="Times New Roman" w:eastAsia="Arial Unicode MS" w:hAnsi="Times New Roman" w:cs="Times New Roman"/>
          <w:sz w:val="24"/>
          <w:szCs w:val="24"/>
          <w:lang w:val="es-PE" w:eastAsia="ar-SA"/>
        </w:rPr>
      </w:pPr>
      <w:r>
        <w:rPr>
          <w:rFonts w:ascii="Times New Roman" w:hAnsi="Times New Roman"/>
          <w:sz w:val="24"/>
        </w:rPr>
        <w:t xml:space="preserve">A continuación, tenemos a bien transcribir parte pertinente de la Resolución Impugnada que expresa las razones por las cuales este colegiado declara improcedente el reclamo:</w:t>
      </w:r>
    </w:p>
    <w:p w14:paraId="57C659DD" w14:textId="77777777" w:rsidR="002A4AE6" w:rsidRPr="002A4AE6" w:rsidRDefault="002A4AE6" w:rsidP="00011995">
      <w:pPr>
        <w:spacing w:line="240" w:lineRule="auto"/>
        <w:jc w:val="both"/>
        <w:rPr>
          <w:rFonts w:ascii="Times New Roman" w:eastAsia="Arial Unicode MS" w:hAnsi="Times New Roman" w:cs="Times New Roman"/>
          <w:sz w:val="24"/>
          <w:szCs w:val="24"/>
          <w:lang w:val="es-PE" w:eastAsia="ar-SA"/>
        </w:rPr>
      </w:pPr>
    </w:p>
    <w:p w14:paraId="0EFA16D1" w14:textId="39939030" w:rsidR="002A4AE6" w:rsidRPr="002A4AE6" w:rsidRDefault="002A4AE6" w:rsidP="00AE6444">
      <w:pPr>
        <w:spacing w:line="240" w:lineRule="auto"/>
        <w:ind w:left="1440"/>
        <w:jc w:val="both"/>
        <w:rPr>
          <w:rFonts w:ascii="Times New Roman" w:eastAsia="Arial Unicode MS" w:hAnsi="Times New Roman" w:cs="Times New Roman"/>
          <w:i/>
          <w:iCs/>
          <w:sz w:val="20"/>
          <w:szCs w:val="20"/>
          <w:lang w:val="es-PE" w:eastAsia="ar-SA"/>
        </w:rPr>
      </w:pPr>
      <w:r w:rsidRPr="002A4AE6">
        <w:rPr>
          <w:rFonts w:ascii="Times New Roman" w:eastAsia="Arial Unicode MS" w:hAnsi="Times New Roman" w:cs="Times New Roman"/>
          <w:b/>
          <w:bCs/>
          <w:i/>
          <w:iCs/>
          <w:sz w:val="24"/>
          <w:szCs w:val="20"/>
          <w:lang w:val="es-PE" w:eastAsia="ar-SA"/>
        </w:rPr>
        <w:lastRenderedPageBreak/>
        <w:t>“</w:t>
      </w:r>
      <w:r w:rsidRPr="002A4AE6">
        <w:rPr>
          <w:rFonts w:ascii="Times New Roman" w:eastAsia="Arial Unicode MS" w:hAnsi="Times New Roman" w:cs="Times New Roman"/>
          <w:i/>
          <w:iCs/>
          <w:sz w:val="24"/>
          <w:szCs w:val="20"/>
          <w:lang w:val="es-PE" w:eastAsia="ar-SA"/>
        </w:rPr>
        <w:t>Como vemos, el Reglamento citado resulta bastante claro en lo que respecta a la competencia de DEFASEG, siendo que esta se limita al rechazo o liquidación de siniestros, con las excepciones contempladas. Asimismo, dicho apartado es claro al afirmar que no existe competencia cuando se solicitan, por ejemplo, “pretensiones indemnizatorias por daños y perjuicios, por reembolso de gastos, o idoneidad de servicios, entre otros”.</w:t>
      </w:r>
    </w:p>
    <w:p w14:paraId="53DE3C28" w14:textId="448AF694" w:rsidR="002A4AE6" w:rsidRPr="002A4AE6" w:rsidRDefault="002A4AE6" w:rsidP="00AE6444">
      <w:pPr>
        <w:spacing w:line="240" w:lineRule="auto"/>
        <w:ind w:left="1440"/>
        <w:jc w:val="both"/>
        <w:rPr>
          <w:rFonts w:ascii="Times New Roman" w:eastAsia="Arial Unicode MS" w:hAnsi="Times New Roman" w:cs="Times New Roman"/>
          <w:i/>
          <w:iCs/>
          <w:sz w:val="20"/>
          <w:szCs w:val="20"/>
          <w:lang w:val="es-PE" w:eastAsia="ar-SA"/>
        </w:rPr>
      </w:pPr>
      <w:r w:rsidRPr="002A4AE6">
        <w:rPr>
          <w:rFonts w:ascii="Times New Roman" w:eastAsia="Arial Unicode MS" w:hAnsi="Times New Roman" w:cs="Times New Roman"/>
          <w:i/>
          <w:iCs/>
          <w:sz w:val="24"/>
          <w:szCs w:val="20"/>
          <w:lang w:val="es-PE" w:eastAsia="ar-SA"/>
        </w:rPr>
        <w:t>Si únicamente estuviéramos discutiendo el monto de la liquidación, el mismo se encontraría dentro de la competencia de esta Defensoría; sin embargo, luego de leer detenidamente los argumentos de la parte reclamante, este colegiado aprecia que el inicio de la controversia no solo radica en que no se le presentó una propuesta, ni se le informaron las condiciones del seguro contratado, sino que además tuvo dificultades para ingresar el siniestro en la app, lo que motivó que la aseguradora considere que él hizo una elección del primer ajustador, lo que el reclamante señala no hizo; y que el reclamante considere que se vulneró su derecho a elegir al ajustador, dentro del plazo de ley, discrepando incluso del contenido de la póliza por cuanto en el contrato de crédito se señala un número que no correspondería al consignado en las liquidaciones de siniestro.</w:t>
      </w:r>
    </w:p>
    <w:p w14:paraId="6B907068" w14:textId="16986A23" w:rsidR="002A4AE6" w:rsidRPr="002A4AE6" w:rsidRDefault="002A4AE6" w:rsidP="00AE6444">
      <w:pPr>
        <w:spacing w:line="240" w:lineRule="auto"/>
        <w:ind w:left="1440"/>
        <w:jc w:val="both"/>
        <w:rPr>
          <w:rFonts w:ascii="Times New Roman" w:eastAsia="Arial Unicode MS" w:hAnsi="Times New Roman" w:cs="Times New Roman"/>
          <w:i/>
          <w:iCs/>
          <w:sz w:val="20"/>
          <w:szCs w:val="20"/>
          <w:lang w:val="es-PE" w:eastAsia="ar-SA"/>
        </w:rPr>
      </w:pPr>
      <w:r w:rsidRPr="002A4AE6">
        <w:rPr>
          <w:rFonts w:ascii="Times New Roman" w:eastAsia="Arial Unicode MS" w:hAnsi="Times New Roman" w:cs="Times New Roman"/>
          <w:i/>
          <w:iCs/>
          <w:sz w:val="24"/>
          <w:szCs w:val="20"/>
          <w:lang w:val="es-PE" w:eastAsia="ar-SA"/>
        </w:rPr>
        <w:t xml:space="preserve">Como ello eventualmente motivaría que se deje sin efecto la designación de los ajustadores y por ende las liquidaciones realizadas por estos, procediendo una nueva elección del ajustador de siniestros, la determinación sobre si ello corresponde o no, es una materia sobre la cual esta Defensoría carece de competencia. </w:t>
      </w:r>
    </w:p>
    <w:p w14:paraId="58AB333A" w14:textId="45C4E534" w:rsidR="002A4AE6" w:rsidRPr="002A4AE6" w:rsidRDefault="002A4AE6" w:rsidP="00AE6444">
      <w:pPr>
        <w:spacing w:line="240" w:lineRule="auto"/>
        <w:ind w:left="1440"/>
        <w:jc w:val="both"/>
        <w:rPr>
          <w:rFonts w:ascii="Times New Roman" w:eastAsia="Arial Unicode MS" w:hAnsi="Times New Roman" w:cs="Times New Roman"/>
          <w:i/>
          <w:iCs/>
          <w:sz w:val="20"/>
          <w:szCs w:val="20"/>
          <w:lang w:val="es-PE" w:eastAsia="ar-SA"/>
        </w:rPr>
      </w:pPr>
      <w:r w:rsidRPr="002A4AE6">
        <w:rPr>
          <w:rFonts w:ascii="Times New Roman" w:eastAsia="Arial Unicode MS" w:hAnsi="Times New Roman" w:cs="Times New Roman"/>
          <w:i/>
          <w:iCs/>
          <w:sz w:val="24"/>
          <w:szCs w:val="20"/>
          <w:lang w:val="es-PE" w:eastAsia="ar-SA"/>
        </w:rPr>
        <w:t>Siendo además que luego de dicha eventual nueva designación recién correspondería realizar la liquidación de siniestro, conforme a los términos y condiciones de la póliza entregada al asegurado (lo que también constituye un aspecto controvertido) en cuyo caso solo podrían oponerse aquellas exclusiones que fueron informadas previamente al asegurado; sin perjuicio de lo cual solo se cubrirá aquello que la póliza hubiera considerado como un riesgo asegurado, independientemente de si se entregó o no la póliza. Al respecto, este colegiado tiene a bien precisar que deberá distinguirse entre (i) cuáles son los riesgos asegurados por la póliza, pues a pesar que no se entregue un contrato de seguro, la aseguradora no puede otorgar cobertura más allá de lo que ha decidido asegurar (delimitación positiva de la cobertura, cuya carga de la prueba corresponde al asegurado); y, (</w:t>
      </w:r>
      <w:proofErr w:type="spellStart"/>
      <w:r w:rsidRPr="002A4AE6">
        <w:rPr>
          <w:rFonts w:ascii="Times New Roman" w:eastAsia="Arial Unicode MS" w:hAnsi="Times New Roman" w:cs="Times New Roman"/>
          <w:i/>
          <w:iCs/>
          <w:sz w:val="24"/>
          <w:szCs w:val="20"/>
          <w:lang w:val="es-PE" w:eastAsia="ar-SA"/>
        </w:rPr>
        <w:t>ii</w:t>
      </w:r>
      <w:proofErr w:type="spellEnd"/>
      <w:r w:rsidRPr="002A4AE6">
        <w:rPr>
          <w:rFonts w:ascii="Times New Roman" w:eastAsia="Arial Unicode MS" w:hAnsi="Times New Roman" w:cs="Times New Roman"/>
          <w:i/>
          <w:iCs/>
          <w:sz w:val="24"/>
          <w:szCs w:val="20"/>
          <w:lang w:val="es-PE" w:eastAsia="ar-SA"/>
        </w:rPr>
        <w:t>) qué riesgos decidió la aseguradora excluir de la cobertura otorgada (delimitación negativa de la cobertura de seguro, cuya carga de la prueba corresponde a la aseguradora).</w:t>
      </w:r>
    </w:p>
    <w:p w14:paraId="53F304BC" w14:textId="5F0AD3B5" w:rsidR="002A4AE6" w:rsidRPr="002A4AE6" w:rsidRDefault="002A4AE6" w:rsidP="00AE6444">
      <w:pPr>
        <w:spacing w:line="240" w:lineRule="auto"/>
        <w:ind w:left="1440"/>
        <w:jc w:val="both"/>
        <w:rPr>
          <w:rFonts w:ascii="Times New Roman" w:eastAsia="Arial Unicode MS" w:hAnsi="Times New Roman" w:cs="Times New Roman"/>
          <w:i/>
          <w:iCs/>
          <w:sz w:val="20"/>
          <w:szCs w:val="20"/>
          <w:lang w:val="es-PE" w:eastAsia="ar-SA"/>
        </w:rPr>
      </w:pPr>
      <w:r w:rsidRPr="002A4AE6">
        <w:rPr>
          <w:rFonts w:ascii="Times New Roman" w:eastAsia="Arial Unicode MS" w:hAnsi="Times New Roman" w:cs="Times New Roman"/>
          <w:i/>
          <w:iCs/>
          <w:sz w:val="24"/>
          <w:szCs w:val="20"/>
          <w:lang w:val="es-PE" w:eastAsia="ar-SA"/>
        </w:rPr>
        <w:t>En conclusión, el presente procedimiento no se encuentra dentro de los alcances de la competencia de DEFASEG, ya que se refiere a aspectos que van más allá de una simple discrepancia respecto de la liquidación de siniestro. Por lo indicado, el presente Colegiado no es competente para analizar dicha controversia ni, mucho menos, emitir un pronunciamiento al respecto”.</w:t>
      </w:r>
    </w:p>
    <w:p w14:paraId="611AD150" w14:textId="727FDDC6" w:rsidR="002A4AE6" w:rsidRPr="002A4AE6" w:rsidRDefault="002A4AE6" w:rsidP="00011995">
      <w:pPr>
        <w:spacing w:line="240" w:lineRule="auto"/>
        <w:jc w:val="both"/>
        <w:rPr>
          <w:rFonts w:ascii="Times New Roman" w:eastAsia="Arial Unicode MS" w:hAnsi="Times New Roman" w:cs="Times New Roman"/>
          <w:sz w:val="24"/>
          <w:szCs w:val="24"/>
          <w:lang w:val="es-PE" w:eastAsia="ar-SA"/>
        </w:rPr>
      </w:pPr>
      <w:r w:rsidRPr="002A4AE6">
        <w:rPr>
          <w:rFonts w:ascii="Times New Roman" w:eastAsia="Arial Unicode MS" w:hAnsi="Times New Roman" w:cs="Times New Roman"/>
          <w:b/>
          <w:sz w:val="24"/>
          <w:szCs w:val="24"/>
          <w:u w:val="single"/>
          <w:lang w:val="es-PE" w:eastAsia="ar-SA"/>
        </w:rPr>
        <w:t>Tercero</w:t>
      </w:r>
      <w:r w:rsidRPr="002A4AE6">
        <w:rPr>
          <w:rFonts w:ascii="Times New Roman" w:eastAsia="Arial Unicode MS" w:hAnsi="Times New Roman" w:cs="Times New Roman"/>
          <w:b/>
          <w:sz w:val="24"/>
          <w:szCs w:val="24"/>
          <w:lang w:val="es-PE" w:eastAsia="ar-SA"/>
        </w:rPr>
        <w:t>:</w:t>
      </w:r>
      <w:r w:rsidRPr="002A4AE6">
        <w:rPr>
          <w:rFonts w:ascii="Times New Roman" w:eastAsia="Arial Unicode MS" w:hAnsi="Times New Roman" w:cs="Times New Roman"/>
          <w:sz w:val="24"/>
          <w:szCs w:val="24"/>
          <w:lang w:val="es-PE" w:eastAsia="ar-SA"/>
        </w:rPr>
        <w:t xml:space="preserve"> Finalmente, este colegiado discrepa de la posición del reclamante, en el sentido que la improcedencia de su reclamo impide el acceso a la justicia y vulnera sus derechos fundamentales, toda vez que el reclamante tiene expedito su derecho para acudir a otra instancia, llámese Indecopi o el Poder Judicial, o la autoridad que considere conveniente, sin que tenga que previamente revocarse o anularse la resolución emitida por esta Defensoría. Es importante, asimismo, precisar que la DEFASEG no es una instancia administrativa en tanto no se rige por la Ley del Procedimiento Administrativo General, sino por su propio reglamento.</w:t>
      </w:r>
    </w:p>
    <w:p w14:paraId="5CDCE2EC" w14:textId="77777777" w:rsidR="002A4AE6" w:rsidRPr="002A4AE6" w:rsidRDefault="002A4AE6" w:rsidP="00011995">
      <w:pPr>
        <w:spacing w:line="240" w:lineRule="auto"/>
        <w:jc w:val="both"/>
        <w:rPr>
          <w:rFonts w:ascii="Times New Roman" w:eastAsia="Arial Unicode MS" w:hAnsi="Times New Roman" w:cs="Times New Roman"/>
          <w:sz w:val="24"/>
          <w:szCs w:val="24"/>
          <w:lang w:val="es-ES" w:eastAsia="ar-SA"/>
        </w:rPr>
      </w:pPr>
      <w:r w:rsidRPr="002A4AE6">
        <w:rPr>
          <w:rFonts w:ascii="Times New Roman" w:eastAsia="Arial Unicode MS" w:hAnsi="Times New Roman" w:cs="Times New Roman"/>
          <w:sz w:val="24"/>
          <w:szCs w:val="24"/>
          <w:lang w:val="es-419" w:eastAsia="ar-SA"/>
        </w:rPr>
        <w:t xml:space="preserve">En efecto, conforme al reglamento de la DEFASEG, </w:t>
      </w:r>
      <w:r w:rsidRPr="002A4AE6">
        <w:rPr>
          <w:rFonts w:ascii="Times New Roman" w:eastAsia="Arial Unicode MS" w:hAnsi="Times New Roman" w:cs="Times New Roman"/>
          <w:sz w:val="24"/>
          <w:szCs w:val="24"/>
          <w:lang w:val="es-ES" w:eastAsia="ar-SA"/>
        </w:rPr>
        <w:t xml:space="preserve">el sometimiento voluntario a esta instancia como medio de resolución de conflictos, no afecta el derecho a la tutela jurisdiccional del asegurado, toda vez que lo resuelto por esta Defensoría no limita su derecho a iniciar procesos ante las instancias administrativas o jurisdiccionales que considere pertinentes. Ello debido a que las resoluciones que expide esta Defensoría no son vinculantes para el asegurado o reclamante cuando éstas les son desfavorables, siendo vinculantes para las aseguradoras cuando el fallo es favorable para el asegurado.  </w:t>
      </w:r>
    </w:p>
    <w:p w14:paraId="20FA510D" w14:textId="77777777" w:rsidR="002A4AE6" w:rsidRPr="002A4AE6" w:rsidRDefault="002A4AE6" w:rsidP="00011995">
      <w:pPr>
        <w:spacing w:line="240" w:lineRule="auto"/>
        <w:jc w:val="both"/>
        <w:rPr>
          <w:rFonts w:ascii="Times New Roman" w:eastAsia="Arial Unicode MS" w:hAnsi="Times New Roman" w:cs="Times New Roman"/>
          <w:sz w:val="24"/>
          <w:szCs w:val="24"/>
          <w:lang w:val="es-ES" w:eastAsia="ar-SA"/>
        </w:rPr>
      </w:pPr>
    </w:p>
    <w:p w14:paraId="40583B0F" w14:textId="4FF272D0" w:rsidR="002A4AE6" w:rsidRPr="002A4AE6" w:rsidRDefault="002A4AE6" w:rsidP="00011995">
      <w:pPr>
        <w:spacing w:line="240" w:lineRule="auto"/>
        <w:jc w:val="both"/>
        <w:rPr>
          <w:rFonts w:ascii="Times New Roman" w:eastAsia="Arial Unicode MS" w:hAnsi="Times New Roman" w:cs="Times New Roman"/>
          <w:sz w:val="24"/>
          <w:szCs w:val="24"/>
          <w:lang w:val="es-ES" w:eastAsia="ar-SA"/>
        </w:rPr>
      </w:pPr>
      <w:r w:rsidRPr="002A4AE6">
        <w:rPr>
          <w:rFonts w:ascii="Times New Roman" w:eastAsia="Arial Unicode MS" w:hAnsi="Times New Roman" w:cs="Times New Roman"/>
          <w:sz w:val="24"/>
          <w:szCs w:val="24"/>
          <w:lang w:val="es-ES" w:eastAsia="ar-SA"/>
        </w:rPr>
        <w:t>En atención a las consideraciones precedentes, ratificando el análisis y conclusión contenidos en la resolución recurrida, este colegiado aprecia que no existe mérito, argumento ni prueba que justifique revocar la resolución recurrida; por lo tanto, conforme a su reglamente este colegiado</w:t>
      </w:r>
    </w:p>
    <w:p w14:paraId="58FD2920" w14:textId="71A2145F" w:rsidR="002A4AE6" w:rsidRPr="002A4AE6" w:rsidRDefault="002A4AE6" w:rsidP="00011995">
      <w:pPr>
        <w:spacing w:line="240" w:lineRule="auto"/>
        <w:jc w:val="both"/>
        <w:rPr>
          <w:rFonts w:ascii="Times New Roman" w:eastAsia="Arial Unicode MS" w:hAnsi="Times New Roman" w:cs="Times New Roman"/>
          <w:b/>
          <w:bCs/>
          <w:sz w:val="24"/>
          <w:szCs w:val="24"/>
          <w:lang w:val="es-PE" w:eastAsia="ar-SA"/>
        </w:rPr>
      </w:pPr>
      <w:r w:rsidRPr="002A4AE6">
        <w:rPr>
          <w:rFonts w:ascii="Times New Roman" w:eastAsia="Arial Unicode MS" w:hAnsi="Times New Roman" w:cs="Times New Roman"/>
          <w:b/>
          <w:bCs/>
          <w:sz w:val="24"/>
          <w:szCs w:val="24"/>
          <w:lang w:val="es-ES" w:eastAsia="ar-SA"/>
        </w:rPr>
        <w:t xml:space="preserve">RESUELVE: </w:t>
      </w:r>
    </w:p>
    <w:p w14:paraId="031F99C1" w14:textId="77777777" w:rsidR="002A4AE6" w:rsidRPr="002A4AE6" w:rsidRDefault="002A4AE6" w:rsidP="00011995">
      <w:pPr>
        <w:spacing w:line="240" w:lineRule="auto"/>
        <w:jc w:val="both"/>
        <w:rPr>
          <w:rFonts w:ascii="Times New Roman" w:eastAsia="Arial Unicode MS" w:hAnsi="Times New Roman" w:cs="Times New Roman"/>
          <w:sz w:val="24"/>
          <w:szCs w:val="24"/>
          <w:lang w:val="es-ES" w:eastAsia="ar-SA"/>
        </w:rPr>
      </w:pPr>
      <w:r w:rsidRPr="002A4AE6">
        <w:rPr>
          <w:rFonts w:ascii="Times New Roman" w:eastAsia="Arial Unicode MS" w:hAnsi="Times New Roman" w:cs="Times New Roman"/>
          <w:bCs/>
          <w:sz w:val="24"/>
          <w:szCs w:val="24"/>
          <w:lang w:val="es-PE" w:eastAsia="ar-SA"/>
        </w:rPr>
        <w:t xml:space="preserve">Declarar </w:t>
      </w:r>
      <w:r w:rsidRPr="002A4AE6">
        <w:rPr>
          <w:rFonts w:ascii="Times New Roman" w:eastAsia="Arial Unicode MS" w:hAnsi="Times New Roman" w:cs="Times New Roman"/>
          <w:b/>
          <w:sz w:val="24"/>
          <w:szCs w:val="24"/>
          <w:lang w:val="es-PE" w:eastAsia="ar-SA"/>
        </w:rPr>
        <w:t xml:space="preserve">INFUNDADO </w:t>
      </w:r>
      <w:r w:rsidRPr="002A4AE6">
        <w:rPr>
          <w:rFonts w:ascii="Times New Roman" w:eastAsia="Arial Unicode MS" w:hAnsi="Times New Roman" w:cs="Times New Roman"/>
          <w:bCs/>
          <w:sz w:val="24"/>
          <w:szCs w:val="24"/>
          <w:lang w:val="es-PE" w:eastAsia="ar-SA"/>
        </w:rPr>
        <w:t>el recurso impugnativo</w:t>
      </w:r>
      <w:r w:rsidRPr="002A4AE6">
        <w:rPr>
          <w:rFonts w:ascii="Times New Roman" w:eastAsia="Arial Unicode MS" w:hAnsi="Times New Roman" w:cs="Times New Roman"/>
          <w:b/>
          <w:sz w:val="24"/>
          <w:szCs w:val="24"/>
          <w:lang w:val="es-PE" w:eastAsia="ar-SA"/>
        </w:rPr>
        <w:t xml:space="preserve"> </w:t>
      </w:r>
      <w:r w:rsidRPr="002A4AE6">
        <w:rPr>
          <w:rFonts w:ascii="Times New Roman" w:eastAsia="Arial Unicode MS" w:hAnsi="Times New Roman" w:cs="Times New Roman"/>
          <w:sz w:val="24"/>
          <w:szCs w:val="24"/>
          <w:lang w:val="es-PE" w:eastAsia="ar-SA"/>
        </w:rPr>
        <w:t>interpuesto y,</w:t>
      </w:r>
      <w:r w:rsidRPr="002A4AE6">
        <w:rPr>
          <w:rFonts w:ascii="Times New Roman" w:eastAsia="Arial Unicode MS" w:hAnsi="Times New Roman" w:cs="Times New Roman"/>
          <w:bCs/>
          <w:sz w:val="24"/>
          <w:szCs w:val="24"/>
          <w:lang w:val="es-ES" w:eastAsia="ar-SA"/>
        </w:rPr>
        <w:t xml:space="preserve"> por consiguiente, ratificar</w:t>
      </w:r>
      <w:r w:rsidRPr="002A4AE6">
        <w:rPr>
          <w:rFonts w:ascii="Times New Roman" w:eastAsia="Arial Unicode MS" w:hAnsi="Times New Roman" w:cs="Times New Roman"/>
          <w:sz w:val="24"/>
          <w:szCs w:val="24"/>
          <w:lang w:val="es-ES" w:eastAsia="ar-SA"/>
        </w:rPr>
        <w:t xml:space="preserve"> la Resolución </w:t>
      </w:r>
      <w:proofErr w:type="spellStart"/>
      <w:r w:rsidRPr="002A4AE6">
        <w:rPr>
          <w:rFonts w:ascii="Times New Roman" w:eastAsia="Arial Unicode MS" w:hAnsi="Times New Roman" w:cs="Times New Roman"/>
          <w:sz w:val="24"/>
          <w:szCs w:val="24"/>
          <w:lang w:val="es-ES" w:eastAsia="ar-SA"/>
        </w:rPr>
        <w:t>Nº</w:t>
      </w:r>
      <w:proofErr w:type="spellEnd"/>
      <w:r w:rsidRPr="002A4AE6">
        <w:rPr>
          <w:rFonts w:ascii="Times New Roman" w:eastAsia="Arial Unicode MS" w:hAnsi="Times New Roman" w:cs="Times New Roman"/>
          <w:sz w:val="24"/>
          <w:szCs w:val="24"/>
          <w:lang w:val="es-ES" w:eastAsia="ar-SA"/>
        </w:rPr>
        <w:t xml:space="preserve"> 083/25 de fecha 04 de junio de 2025, dejando a salvo el derecho del reclamante de acudir ante las instancias que estime pertinente.</w:t>
      </w:r>
    </w:p>
    <w:p w14:paraId="51EDAB4B" w14:textId="1C3DB2CC" w:rsidR="00B32E8A" w:rsidRPr="00657814" w:rsidRDefault="0091528B" w:rsidP="00657814">
      <w:pPr>
        <w:spacing w:line="240" w:lineRule="auto"/>
        <w:jc w:val="right"/>
        <w:rPr>
          <w:rFonts w:ascii="Times New Roman" w:hAnsi="Times New Roman" w:cs="Times New Roman"/>
          <w:sz w:val="24"/>
          <w:szCs w:val="24"/>
          <w:lang w:val="es-PE"/>
        </w:rPr>
      </w:pPr>
      <w:r w:rsidRPr="00657814">
        <w:rPr>
          <w:rFonts w:ascii="Times New Roman" w:eastAsia="Arial Unicode MS" w:hAnsi="Times New Roman" w:cs="Times New Roman"/>
          <w:sz w:val="24"/>
          <w:szCs w:val="24"/>
          <w:lang w:val="es-PE" w:eastAsia="ar-SA"/>
        </w:rPr>
        <w:t>Lima,</w:t>
      </w:r>
      <w:r w:rsidR="00774D05" w:rsidRPr="00657814">
        <w:rPr>
          <w:rFonts w:ascii="Times New Roman" w:eastAsia="Arial Unicode MS" w:hAnsi="Times New Roman" w:cs="Times New Roman"/>
          <w:sz w:val="24"/>
          <w:szCs w:val="24"/>
          <w:lang w:val="es-PE" w:eastAsia="ar-SA"/>
        </w:rPr>
        <w:t xml:space="preserve"> </w:t>
      </w:r>
      <w:r w:rsidR="00586D82" w:rsidRPr="00657814">
        <w:rPr>
          <w:rFonts w:ascii="Times New Roman" w:eastAsia="Arial Unicode MS" w:hAnsi="Times New Roman" w:cs="Times New Roman"/>
          <w:sz w:val="24"/>
          <w:szCs w:val="24"/>
          <w:lang w:val="es-PE" w:eastAsia="ar-SA"/>
        </w:rPr>
        <w:t>30</w:t>
      </w:r>
      <w:r w:rsidR="00B8209E" w:rsidRPr="00657814">
        <w:rPr>
          <w:rFonts w:ascii="Times New Roman" w:eastAsia="Arial Unicode MS" w:hAnsi="Times New Roman" w:cs="Times New Roman"/>
          <w:sz w:val="24"/>
          <w:szCs w:val="24"/>
          <w:lang w:val="es-PE" w:eastAsia="ar-SA"/>
        </w:rPr>
        <w:t xml:space="preserve"> </w:t>
      </w:r>
      <w:r w:rsidR="00707C99" w:rsidRPr="00657814">
        <w:rPr>
          <w:rFonts w:ascii="Times New Roman" w:eastAsia="Arial Unicode MS" w:hAnsi="Times New Roman" w:cs="Times New Roman"/>
          <w:sz w:val="24"/>
          <w:szCs w:val="24"/>
          <w:lang w:val="es-PE" w:eastAsia="ar-SA"/>
        </w:rPr>
        <w:t xml:space="preserve">de </w:t>
      </w:r>
      <w:r w:rsidR="00FF5223" w:rsidRPr="00657814">
        <w:rPr>
          <w:rFonts w:ascii="Times New Roman" w:eastAsia="Arial Unicode MS" w:hAnsi="Times New Roman" w:cs="Times New Roman"/>
          <w:sz w:val="24"/>
          <w:szCs w:val="24"/>
          <w:lang w:val="es-PE" w:eastAsia="ar-SA"/>
        </w:rPr>
        <w:t>junio</w:t>
      </w:r>
      <w:r w:rsidR="002F478E" w:rsidRPr="00657814">
        <w:rPr>
          <w:rFonts w:ascii="Times New Roman" w:eastAsia="Arial Unicode MS" w:hAnsi="Times New Roman" w:cs="Times New Roman"/>
          <w:sz w:val="24"/>
          <w:szCs w:val="24"/>
          <w:lang w:val="es-PE" w:eastAsia="ar-SA"/>
        </w:rPr>
        <w:t xml:space="preserve"> </w:t>
      </w:r>
      <w:r w:rsidR="00F06498" w:rsidRPr="00657814">
        <w:rPr>
          <w:rFonts w:ascii="Times New Roman" w:eastAsia="Arial Unicode MS" w:hAnsi="Times New Roman" w:cs="Times New Roman"/>
          <w:sz w:val="24"/>
          <w:szCs w:val="24"/>
          <w:lang w:val="es-PE" w:eastAsia="ar-SA"/>
        </w:rPr>
        <w:t>de 202</w:t>
      </w:r>
      <w:r w:rsidR="00AE4D37" w:rsidRPr="00657814">
        <w:rPr>
          <w:rFonts w:ascii="Times New Roman" w:eastAsia="Arial Unicode MS" w:hAnsi="Times New Roman" w:cs="Times New Roman"/>
          <w:sz w:val="24"/>
          <w:szCs w:val="24"/>
          <w:lang w:val="es-PE" w:eastAsia="ar-SA"/>
        </w:rPr>
        <w:t>5</w:t>
      </w:r>
      <w:r w:rsidR="00707C99" w:rsidRPr="00657814">
        <w:rPr>
          <w:rFonts w:ascii="Times New Roman" w:eastAsia="Times New Roman" w:hAnsi="Times New Roman" w:cs="Times New Roman"/>
          <w:sz w:val="24"/>
          <w:szCs w:val="24"/>
          <w:lang w:val="es-PE" w:eastAsia="ar-SA"/>
        </w:rPr>
        <w:t xml:space="preserve"> </w:t>
      </w:r>
    </w:p>
    <w:p w14:paraId="1B6988F6" w14:textId="77777777" w:rsidR="00A323F4" w:rsidRPr="00657814" w:rsidRDefault="00A323F4" w:rsidP="00657814">
      <w:pPr>
        <w:spacing w:after="0" w:line="240" w:lineRule="auto"/>
        <w:jc w:val="both"/>
        <w:rPr>
          <w:rFonts w:ascii="Times New Roman" w:hAnsi="Times New Roman" w:cs="Times New Roman"/>
          <w:b/>
          <w:bCs/>
          <w:i/>
          <w:iCs/>
          <w:sz w:val="24"/>
          <w:szCs w:val="24"/>
          <w:lang w:val="es-PE"/>
        </w:rPr>
      </w:pPr>
      <w:r w:rsidRPr="00657814">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14:paraId="2B24FCBE" w14:textId="77777777" w:rsidR="008D26BA" w:rsidRPr="00657814" w:rsidRDefault="008D26BA" w:rsidP="00657814">
      <w:pPr>
        <w:spacing w:after="0" w:line="360" w:lineRule="auto"/>
        <w:jc w:val="both"/>
        <w:rPr>
          <w:rFonts w:ascii="Times New Roman" w:hAnsi="Times New Roman" w:cs="Times New Roman"/>
          <w:b/>
          <w:bCs/>
          <w:i/>
          <w:iCs/>
          <w:sz w:val="24"/>
          <w:szCs w:val="24"/>
          <w:lang w:val="es-PE"/>
        </w:rPr>
      </w:pPr>
    </w:p>
    <w:p w14:paraId="220AA7AD" w14:textId="4331E0E4" w:rsidR="007543CD" w:rsidRPr="00657814" w:rsidRDefault="008D26BA" w:rsidP="00657814">
      <w:pPr>
        <w:spacing w:after="0" w:line="360" w:lineRule="auto"/>
        <w:jc w:val="center"/>
        <w:rPr>
          <w:rFonts w:ascii="Times New Roman" w:hAnsi="Times New Roman" w:cs="Times New Roman"/>
          <w:b/>
          <w:bCs/>
          <w:sz w:val="24"/>
          <w:szCs w:val="24"/>
          <w:lang w:val="es-PE"/>
        </w:rPr>
      </w:pPr>
      <w:r w:rsidRPr="00657814">
        <w:rPr>
          <w:rFonts w:ascii="Times New Roman" w:hAnsi="Times New Roman" w:cs="Times New Roman"/>
          <w:b/>
          <w:bCs/>
          <w:sz w:val="24"/>
          <w:szCs w:val="24"/>
          <w:lang w:val="es-PE"/>
        </w:rPr>
        <w:t xml:space="preserve">Rolando Eyzaguirre </w:t>
      </w:r>
      <w:proofErr w:type="spellStart"/>
      <w:r w:rsidRPr="00657814">
        <w:rPr>
          <w:rFonts w:ascii="Times New Roman" w:hAnsi="Times New Roman" w:cs="Times New Roman"/>
          <w:b/>
          <w:bCs/>
          <w:sz w:val="24"/>
          <w:szCs w:val="24"/>
          <w:lang w:val="es-PE"/>
        </w:rPr>
        <w:t>Maccan</w:t>
      </w:r>
      <w:proofErr w:type="spellEnd"/>
      <w:r w:rsidRPr="00657814">
        <w:rPr>
          <w:rFonts w:ascii="Times New Roman" w:hAnsi="Times New Roman" w:cs="Times New Roman"/>
          <w:b/>
          <w:bCs/>
          <w:sz w:val="24"/>
          <w:szCs w:val="24"/>
          <w:lang w:val="es-PE"/>
        </w:rPr>
        <w:t xml:space="preserve"> </w:t>
      </w:r>
      <w:r w:rsidR="007543CD" w:rsidRPr="00657814">
        <w:rPr>
          <w:rFonts w:ascii="Times New Roman" w:hAnsi="Times New Roman" w:cs="Times New Roman"/>
          <w:b/>
          <w:bCs/>
          <w:sz w:val="24"/>
          <w:szCs w:val="24"/>
          <w:lang w:val="es-PE"/>
        </w:rPr>
        <w:t xml:space="preserve">– </w:t>
      </w:r>
      <w:proofErr w:type="gramStart"/>
      <w:r w:rsidR="007543CD" w:rsidRPr="00657814">
        <w:rPr>
          <w:rFonts w:ascii="Times New Roman" w:hAnsi="Times New Roman" w:cs="Times New Roman"/>
          <w:b/>
          <w:bCs/>
          <w:sz w:val="24"/>
          <w:szCs w:val="24"/>
          <w:lang w:val="es-PE"/>
        </w:rPr>
        <w:t>Presidente</w:t>
      </w:r>
      <w:proofErr w:type="gramEnd"/>
    </w:p>
    <w:p w14:paraId="5B7063E0" w14:textId="43329098" w:rsidR="008D26BA" w:rsidRPr="00657814" w:rsidRDefault="008D26BA" w:rsidP="00657814">
      <w:pPr>
        <w:spacing w:after="0" w:line="360" w:lineRule="auto"/>
        <w:jc w:val="center"/>
        <w:rPr>
          <w:rFonts w:ascii="Times New Roman" w:hAnsi="Times New Roman" w:cs="Times New Roman"/>
          <w:b/>
          <w:bCs/>
          <w:sz w:val="24"/>
          <w:szCs w:val="24"/>
          <w:lang w:val="es-PE"/>
        </w:rPr>
      </w:pPr>
      <w:r w:rsidRPr="00657814">
        <w:rPr>
          <w:rFonts w:ascii="Times New Roman" w:hAnsi="Times New Roman" w:cs="Times New Roman"/>
          <w:b/>
          <w:bCs/>
          <w:sz w:val="24"/>
          <w:szCs w:val="24"/>
          <w:lang w:val="es-PE"/>
        </w:rPr>
        <w:t>María Eugenia Valdez Fernández Baca – Vocal</w:t>
      </w:r>
    </w:p>
    <w:p w14:paraId="69BFE54F" w14:textId="628D5C27" w:rsidR="007543CD" w:rsidRPr="00657814" w:rsidRDefault="001B08C0" w:rsidP="00657814">
      <w:pPr>
        <w:spacing w:after="0" w:line="360" w:lineRule="auto"/>
        <w:jc w:val="center"/>
        <w:rPr>
          <w:rFonts w:ascii="Times New Roman" w:hAnsi="Times New Roman" w:cs="Times New Roman"/>
          <w:sz w:val="24"/>
          <w:szCs w:val="24"/>
          <w:lang w:val="es-PE"/>
        </w:rPr>
      </w:pPr>
      <w:r w:rsidRPr="00657814">
        <w:rPr>
          <w:rFonts w:ascii="Times New Roman" w:hAnsi="Times New Roman" w:cs="Times New Roman"/>
          <w:b/>
          <w:bCs/>
          <w:sz w:val="24"/>
          <w:szCs w:val="24"/>
        </w:rPr>
        <w:t>Antonio José Rodríguez Lobatón</w:t>
      </w:r>
      <w:r w:rsidRPr="00657814">
        <w:rPr>
          <w:rFonts w:ascii="Times New Roman" w:hAnsi="Times New Roman" w:cs="Times New Roman"/>
          <w:b/>
          <w:bCs/>
          <w:sz w:val="24"/>
          <w:szCs w:val="24"/>
          <w:lang w:val="es-PE"/>
        </w:rPr>
        <w:t xml:space="preserve"> </w:t>
      </w:r>
      <w:r w:rsidR="007543CD" w:rsidRPr="00657814">
        <w:rPr>
          <w:rFonts w:ascii="Times New Roman" w:hAnsi="Times New Roman" w:cs="Times New Roman"/>
          <w:b/>
          <w:bCs/>
          <w:sz w:val="24"/>
          <w:szCs w:val="24"/>
          <w:lang w:val="es-PE"/>
        </w:rPr>
        <w:t>– Vocal</w:t>
      </w:r>
    </w:p>
    <w:p w14:paraId="412CCBAA" w14:textId="77777777" w:rsidR="00986F0C" w:rsidRPr="009849E6" w:rsidRDefault="00986F0C" w:rsidP="00556526">
      <w:pPr>
        <w:spacing w:after="0" w:line="240" w:lineRule="auto"/>
        <w:jc w:val="center"/>
        <w:rPr>
          <w:rFonts w:ascii="Times New Roman" w:hAnsi="Times New Roman" w:cs="Times New Roman"/>
          <w:b/>
          <w:bCs/>
          <w:sz w:val="24"/>
          <w:szCs w:val="24"/>
          <w:lang w:val="es-PE"/>
        </w:rPr>
      </w:pPr>
    </w:p>
    <w:p w14:paraId="14DFBF1F" w14:textId="77777777" w:rsidR="00C6662D" w:rsidRPr="009849E6" w:rsidRDefault="00C6662D" w:rsidP="00C6662D">
      <w:pPr>
        <w:spacing w:after="0" w:line="240" w:lineRule="auto"/>
        <w:rPr>
          <w:rFonts w:ascii="Times New Roman" w:hAnsi="Times New Roman" w:cs="Times New Roman"/>
          <w:b/>
          <w:bCs/>
          <w:sz w:val="24"/>
          <w:szCs w:val="24"/>
          <w:lang w:val="es-PE"/>
        </w:rPr>
      </w:pPr>
    </w:p>
    <w:p w14:paraId="5D853B0D" w14:textId="088DF411" w:rsidR="00556526" w:rsidRPr="009849E6" w:rsidRDefault="00556526" w:rsidP="00B17E56">
      <w:pPr>
        <w:spacing w:line="240" w:lineRule="auto"/>
        <w:jc w:val="both"/>
        <w:rPr>
          <w:rFonts w:ascii="Times New Roman" w:hAnsi="Times New Roman" w:cs="Times New Roman"/>
          <w:b/>
          <w:bCs/>
          <w:i/>
          <w:iCs/>
          <w:sz w:val="24"/>
          <w:szCs w:val="24"/>
          <w:lang w:val="es-ES_tradnl"/>
        </w:rPr>
      </w:pPr>
    </w:p>
    <w:p w14:paraId="33E0FAB8" w14:textId="77777777" w:rsidR="00C671F5" w:rsidRPr="009849E6" w:rsidRDefault="00C671F5" w:rsidP="00C671F5">
      <w:pPr>
        <w:suppressAutoHyphens/>
        <w:spacing w:after="0" w:line="240" w:lineRule="auto"/>
        <w:outlineLvl w:val="0"/>
        <w:rPr>
          <w:rFonts w:ascii="Times New Roman" w:eastAsia="Arial Unicode MS" w:hAnsi="Times New Roman" w:cs="Times New Roman"/>
          <w:sz w:val="24"/>
          <w:szCs w:val="24"/>
          <w:lang w:val="es-PE" w:eastAsia="ar-SA"/>
        </w:rPr>
      </w:pPr>
    </w:p>
    <w:p w14:paraId="2C3A0205" w14:textId="77777777" w:rsidR="00C671F5" w:rsidRPr="009849E6" w:rsidRDefault="00C671F5" w:rsidP="00C671F5">
      <w:pPr>
        <w:spacing w:line="240" w:lineRule="auto"/>
        <w:rPr>
          <w:rFonts w:ascii="Times New Roman" w:eastAsia="Arial Unicode MS" w:hAnsi="Times New Roman" w:cs="Times New Roman"/>
          <w:sz w:val="24"/>
          <w:szCs w:val="24"/>
          <w:lang w:val="es-ES" w:eastAsia="ar-SA"/>
        </w:rPr>
      </w:pPr>
    </w:p>
    <w:sectPr w:rsidR="00C671F5" w:rsidRPr="009849E6" w:rsidSect="00077B6F">
      <w:headerReference w:type="default" r:id="rId9"/>
      <w:footerReference w:type="default" r:id="rId10"/>
      <w:headerReference w:type="first" r:id="rId13"/>
      <w:footerReference w:type="first" r:id="rId14"/>
      <w:pgSz w:w="11906" w:h="16838"/>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436497" w14:textId="77777777" w:rsidR="006A5904" w:rsidRDefault="006A5904" w:rsidP="00784355">
      <w:pPr>
        <w:spacing w:after="0" w:line="240" w:lineRule="auto"/>
      </w:pPr>
      <w:r>
        <w:separator/>
      </w:r>
    </w:p>
  </w:endnote>
  <w:endnote w:type="continuationSeparator" w:id="0">
    <w:p w14:paraId="675B3417" w14:textId="77777777" w:rsidR="006A5904" w:rsidRDefault="006A5904" w:rsidP="007843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18"/>
        <w:szCs w:val="18"/>
      </w:rPr>
      <w:id w:val="-552618902"/>
      <w:docPartObj>
        <w:docPartGallery w:val="Page Numbers (Bottom of Page)"/>
        <w:docPartUnique/>
      </w:docPartObj>
    </w:sdtPr>
    <w:sdtEndPr/>
    <w:sdtContent>
      <w:sdt>
        <w:sdtPr>
          <w:rPr>
            <w:rFonts w:ascii="Times New Roman" w:hAnsi="Times New Roman" w:cs="Times New Roman"/>
            <w:sz w:val="18"/>
            <w:szCs w:val="18"/>
          </w:rPr>
          <w:id w:val="-1769616900"/>
          <w:docPartObj>
            <w:docPartGallery w:val="Page Numbers (Top of Page)"/>
            <w:docPartUnique/>
          </w:docPartObj>
        </w:sdtPr>
        <w:sdtEndPr/>
        <w:sdtContent>
          <w:p w14:paraId="1A7D4DE2" w14:textId="27FEA839" w:rsidR="00C671F5" w:rsidRPr="00797191" w:rsidRDefault="00C671F5">
            <w:pPr>
              <w:pStyle w:val="Piedepgina"/>
              <w:jc w:val="right"/>
              <w:rPr>
                <w:rFonts w:ascii="Times New Roman" w:hAnsi="Times New Roman" w:cs="Times New Roman"/>
                <w:sz w:val="18"/>
                <w:szCs w:val="18"/>
              </w:rPr>
            </w:pPr>
            <w:r w:rsidRPr="00797191">
              <w:rPr>
                <w:rFonts w:ascii="Times New Roman" w:hAnsi="Times New Roman" w:cs="Times New Roman"/>
                <w:sz w:val="18"/>
                <w:szCs w:val="18"/>
                <w:lang w:val="es-ES"/>
              </w:rPr>
              <w:t xml:space="preserve">Página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PAGE</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r w:rsidRPr="00797191">
              <w:rPr>
                <w:rFonts w:ascii="Times New Roman" w:hAnsi="Times New Roman" w:cs="Times New Roman"/>
                <w:sz w:val="18"/>
                <w:szCs w:val="18"/>
                <w:lang w:val="es-ES"/>
              </w:rPr>
              <w:t xml:space="preserve"> de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NUMPAGES</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p>
        </w:sdtContent>
      </w:sdt>
    </w:sdtContent>
  </w:sdt>
  <w:p w14:paraId="3BA05C52" w14:textId="77777777" w:rsidR="00784355" w:rsidRDefault="00784355">
    <w:pPr>
      <w:pStyle w:val="Piedepgina"/>
      <w:spacing w:line="240" w:lineRule="auto"/>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C055CC" w14:textId="77777777" w:rsidR="006A5904" w:rsidRDefault="006A5904" w:rsidP="00784355">
      <w:pPr>
        <w:spacing w:after="0" w:line="240" w:lineRule="auto"/>
      </w:pPr>
      <w:r>
        <w:separator/>
      </w:r>
    </w:p>
  </w:footnote>
  <w:footnote w:type="continuationSeparator" w:id="0">
    <w:p w14:paraId="5365E363" w14:textId="77777777" w:rsidR="006A5904" w:rsidRDefault="006A5904" w:rsidP="007843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0BC29" w14:textId="579E5393" w:rsidR="00C671F5" w:rsidRDefault="00C671F5">
    <w:pPr>
      <w:pStyle w:val="Encabezado"/>
      <w:spacing w:line="240" w:lineRule="auto"/>
      <w:jc w:val="left"/>
    </w:pPr>
    <w:r>
      <w:rPr>
        <w:rFonts w:ascii="Times New Roman" w:hAnsi="Times New Roman"/>
        <w:sz w:val="24"/>
      </w:rPr>
      <w:t xml:space="preserve"/>
    </w:r>
    <w:r>
      <w:rPr>
        <w:rFonts w:ascii="Times New Roman" w:hAnsi="Times New Roman"/>
        <w:sz w:val="24"/>
      </w:rPr>
      <w:drawing>
        <wp:inline xmlns:a="http://schemas.openxmlformats.org/drawingml/2006/main" xmlns:pic="http://schemas.openxmlformats.org/drawingml/2006/picture">
          <wp:extent cx="2468880" cy="832529"/>
          <wp:docPr id="1" name="Picture 1"/>
          <wp:cNvGraphicFramePr>
            <a:graphicFrameLocks noChangeAspect="1"/>
          </wp:cNvGraphicFramePr>
          <a:graphic>
            <a:graphicData uri="http://schemas.openxmlformats.org/drawingml/2006/picture">
              <pic:pic>
                <pic:nvPicPr>
                  <pic:cNvPr id="0" name="fa177bcd-12e5-48bd-b0d9-586eed564aa5.png"/>
                  <pic:cNvPicPr/>
                </pic:nvPicPr>
                <pic:blipFill>
                  <a:blip r:embed="rId2"/>
                  <a:stretch>
                    <a:fillRect/>
                  </a:stretch>
                </pic:blipFill>
                <pic:spPr>
                  <a:xfrm>
                    <a:off x="0" y="0"/>
                    <a:ext cx="2468880" cy="832529"/>
                  </a:xfrm>
                  <a:prstGeom prst="rect"/>
                </pic:spPr>
              </pic:pic>
            </a:graphicData>
          </a:graphic>
        </wp:inline>
      </w:drawing>
    </w:r>
  </w:p>
  <w:p w14:paraId="52A8D4E0" w14:textId="77777777" w:rsidR="00C671F5" w:rsidRDefault="00C671F5">
    <w:pPr>
      <w:pStyle w:val="Encabezado"/>
      <w:spacing w:line="240" w:lineRule="auto"/>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44FDA"/>
    <w:multiLevelType w:val="hybridMultilevel"/>
    <w:tmpl w:val="DA1CE54A"/>
    <w:lvl w:ilvl="0" w:tplc="7BC48EC0">
      <w:numFmt w:val="bullet"/>
      <w:lvlText w:val="-"/>
      <w:lvlJc w:val="left"/>
      <w:pPr>
        <w:ind w:left="720" w:hanging="360"/>
      </w:pPr>
      <w:rPr>
        <w:rFonts w:ascii="Times New Roman" w:eastAsiaTheme="minorHAnsi" w:hAnsi="Times New Roman" w:cs="Times New Roma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03D77696"/>
    <w:multiLevelType w:val="hybridMultilevel"/>
    <w:tmpl w:val="9A7C1F9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4223664"/>
    <w:multiLevelType w:val="hybridMultilevel"/>
    <w:tmpl w:val="ADE6D766"/>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046D6F02"/>
    <w:multiLevelType w:val="hybridMultilevel"/>
    <w:tmpl w:val="CADE2F90"/>
    <w:lvl w:ilvl="0" w:tplc="95AEB3EA">
      <w:start w:val="1"/>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5"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E092A47"/>
    <w:multiLevelType w:val="hybridMultilevel"/>
    <w:tmpl w:val="1B168458"/>
    <w:lvl w:ilvl="0" w:tplc="F7CC02E2">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7" w15:restartNumberingAfterBreak="0">
    <w:nsid w:val="0EDF3783"/>
    <w:multiLevelType w:val="hybridMultilevel"/>
    <w:tmpl w:val="6168461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10E005B8"/>
    <w:multiLevelType w:val="hybridMultilevel"/>
    <w:tmpl w:val="6310B7D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12946DD6"/>
    <w:multiLevelType w:val="hybridMultilevel"/>
    <w:tmpl w:val="5A840A6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131C54E5"/>
    <w:multiLevelType w:val="hybridMultilevel"/>
    <w:tmpl w:val="54B61D7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175722F9"/>
    <w:multiLevelType w:val="hybridMultilevel"/>
    <w:tmpl w:val="6CF4460A"/>
    <w:lvl w:ilvl="0" w:tplc="786A0FB2">
      <w:start w:val="1"/>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12" w15:restartNumberingAfterBreak="0">
    <w:nsid w:val="176D6280"/>
    <w:multiLevelType w:val="multilevel"/>
    <w:tmpl w:val="17EAB3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1B6656EF"/>
    <w:multiLevelType w:val="hybridMultilevel"/>
    <w:tmpl w:val="84343FF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1B9607AE"/>
    <w:multiLevelType w:val="hybridMultilevel"/>
    <w:tmpl w:val="5690589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1CAF291C"/>
    <w:multiLevelType w:val="hybridMultilevel"/>
    <w:tmpl w:val="F30CD97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22E67CFF"/>
    <w:multiLevelType w:val="hybridMultilevel"/>
    <w:tmpl w:val="195AD7A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2A996C31"/>
    <w:multiLevelType w:val="hybridMultilevel"/>
    <w:tmpl w:val="D0ACEEF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2D1C3595"/>
    <w:multiLevelType w:val="hybridMultilevel"/>
    <w:tmpl w:val="D7383248"/>
    <w:lvl w:ilvl="0" w:tplc="3FE49FC6">
      <w:start w:val="1"/>
      <w:numFmt w:val="decimal"/>
      <w:lvlText w:val="%1)"/>
      <w:lvlJc w:val="left"/>
      <w:pPr>
        <w:ind w:left="720" w:hanging="360"/>
      </w:pPr>
      <w:rPr>
        <w:rFonts w:ascii="Times New Roman" w:eastAsiaTheme="minorHAnsi" w:hAnsi="Times New Roman" w:cs="Times New Roman"/>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30376E9A"/>
    <w:multiLevelType w:val="multilevel"/>
    <w:tmpl w:val="2084A86C"/>
    <w:lvl w:ilvl="0">
      <w:start w:val="2"/>
      <w:numFmt w:val="decimal"/>
      <w:lvlText w:val="%1."/>
      <w:lvlJc w:val="left"/>
      <w:pPr>
        <w:tabs>
          <w:tab w:val="num" w:pos="360"/>
        </w:tabs>
        <w:ind w:left="360" w:hanging="36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20" w15:restartNumberingAfterBreak="0">
    <w:nsid w:val="31105F55"/>
    <w:multiLevelType w:val="hybridMultilevel"/>
    <w:tmpl w:val="9BEC2DF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35D72AE6"/>
    <w:multiLevelType w:val="hybridMultilevel"/>
    <w:tmpl w:val="09B01E2C"/>
    <w:lvl w:ilvl="0" w:tplc="2D64B63E">
      <w:start w:val="1"/>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22" w15:restartNumberingAfterBreak="0">
    <w:nsid w:val="35F82540"/>
    <w:multiLevelType w:val="hybridMultilevel"/>
    <w:tmpl w:val="E472A49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368303A4"/>
    <w:multiLevelType w:val="hybridMultilevel"/>
    <w:tmpl w:val="263C495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37D7643D"/>
    <w:multiLevelType w:val="hybridMultilevel"/>
    <w:tmpl w:val="B20C16B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3855422B"/>
    <w:multiLevelType w:val="hybridMultilevel"/>
    <w:tmpl w:val="6928B3CC"/>
    <w:lvl w:ilvl="0" w:tplc="2FD8C1F4">
      <w:start w:val="1"/>
      <w:numFmt w:val="upperLetter"/>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26" w15:restartNumberingAfterBreak="0">
    <w:nsid w:val="3E18678C"/>
    <w:multiLevelType w:val="hybridMultilevel"/>
    <w:tmpl w:val="BF8E2F0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41617A76"/>
    <w:multiLevelType w:val="hybridMultilevel"/>
    <w:tmpl w:val="56E8743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42C94E54"/>
    <w:multiLevelType w:val="hybridMultilevel"/>
    <w:tmpl w:val="506E09A6"/>
    <w:lvl w:ilvl="0" w:tplc="5EE01CA2">
      <w:start w:val="1"/>
      <w:numFmt w:val="lowerLetter"/>
      <w:lvlText w:val="%1)"/>
      <w:lvlJc w:val="left"/>
      <w:pPr>
        <w:ind w:left="720" w:hanging="360"/>
      </w:pPr>
      <w:rPr>
        <w:rFonts w:ascii="Arial Narrow" w:eastAsia="Times New Roman" w:hAnsi="Arial Narrow" w:cs="Arial"/>
      </w:rPr>
    </w:lvl>
    <w:lvl w:ilvl="1" w:tplc="0C0A0003">
      <w:numFmt w:val="decimal"/>
      <w:lvlText w:val="o"/>
      <w:lvlJc w:val="left"/>
      <w:pPr>
        <w:ind w:left="1440" w:hanging="360"/>
      </w:pPr>
      <w:rPr>
        <w:rFonts w:ascii="Courier New" w:hAnsi="Courier New" w:cs="Courier New" w:hint="default"/>
      </w:rPr>
    </w:lvl>
    <w:lvl w:ilvl="2" w:tplc="0C0A0005">
      <w:numFmt w:val="decimal"/>
      <w:lvlText w:val=""/>
      <w:lvlJc w:val="left"/>
      <w:pPr>
        <w:ind w:left="2160" w:hanging="360"/>
      </w:pPr>
      <w:rPr>
        <w:rFonts w:ascii="Wingdings" w:hAnsi="Wingdings" w:hint="default"/>
      </w:rPr>
    </w:lvl>
    <w:lvl w:ilvl="3" w:tplc="0C0A0001">
      <w:numFmt w:val="decimal"/>
      <w:lvlText w:val=""/>
      <w:lvlJc w:val="left"/>
      <w:pPr>
        <w:ind w:left="2880" w:hanging="360"/>
      </w:pPr>
      <w:rPr>
        <w:rFonts w:ascii="Symbol" w:hAnsi="Symbol" w:hint="default"/>
      </w:rPr>
    </w:lvl>
    <w:lvl w:ilvl="4" w:tplc="0C0A0003">
      <w:numFmt w:val="decimal"/>
      <w:lvlText w:val="o"/>
      <w:lvlJc w:val="left"/>
      <w:pPr>
        <w:ind w:left="3600" w:hanging="360"/>
      </w:pPr>
      <w:rPr>
        <w:rFonts w:ascii="Courier New" w:hAnsi="Courier New" w:cs="Courier New" w:hint="default"/>
      </w:rPr>
    </w:lvl>
    <w:lvl w:ilvl="5" w:tplc="0C0A0005">
      <w:numFmt w:val="decimal"/>
      <w:lvlText w:val=""/>
      <w:lvlJc w:val="left"/>
      <w:pPr>
        <w:ind w:left="4320" w:hanging="360"/>
      </w:pPr>
      <w:rPr>
        <w:rFonts w:ascii="Wingdings" w:hAnsi="Wingdings" w:hint="default"/>
      </w:rPr>
    </w:lvl>
    <w:lvl w:ilvl="6" w:tplc="0C0A0001">
      <w:numFmt w:val="decimal"/>
      <w:lvlText w:val=""/>
      <w:lvlJc w:val="left"/>
      <w:pPr>
        <w:ind w:left="5040" w:hanging="360"/>
      </w:pPr>
      <w:rPr>
        <w:rFonts w:ascii="Symbol" w:hAnsi="Symbol" w:hint="default"/>
      </w:rPr>
    </w:lvl>
    <w:lvl w:ilvl="7" w:tplc="0C0A0003">
      <w:numFmt w:val="decimal"/>
      <w:lvlText w:val="o"/>
      <w:lvlJc w:val="left"/>
      <w:pPr>
        <w:ind w:left="5760" w:hanging="360"/>
      </w:pPr>
      <w:rPr>
        <w:rFonts w:ascii="Courier New" w:hAnsi="Courier New" w:cs="Courier New" w:hint="default"/>
      </w:rPr>
    </w:lvl>
    <w:lvl w:ilvl="8" w:tplc="0C0A0005">
      <w:numFmt w:val="decimal"/>
      <w:lvlText w:val=""/>
      <w:lvlJc w:val="left"/>
      <w:pPr>
        <w:ind w:left="6480" w:hanging="360"/>
      </w:pPr>
      <w:rPr>
        <w:rFonts w:ascii="Wingdings" w:hAnsi="Wingdings" w:hint="default"/>
      </w:rPr>
    </w:lvl>
  </w:abstractNum>
  <w:abstractNum w:abstractNumId="29" w15:restartNumberingAfterBreak="0">
    <w:nsid w:val="42CD7C71"/>
    <w:multiLevelType w:val="hybridMultilevel"/>
    <w:tmpl w:val="98766DA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43276DD0"/>
    <w:multiLevelType w:val="hybridMultilevel"/>
    <w:tmpl w:val="A564606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456C0ACA"/>
    <w:multiLevelType w:val="hybridMultilevel"/>
    <w:tmpl w:val="486244DC"/>
    <w:lvl w:ilvl="0" w:tplc="377608F0">
      <w:start w:val="1"/>
      <w:numFmt w:val="decimal"/>
      <w:lvlText w:val="%1."/>
      <w:lvlJc w:val="left"/>
      <w:pPr>
        <w:ind w:left="720" w:hanging="360"/>
      </w:pPr>
      <w:rPr>
        <w:rFonts w:eastAsia="Arial Unicode M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15:restartNumberingAfterBreak="0">
    <w:nsid w:val="4DE64270"/>
    <w:multiLevelType w:val="hybridMultilevel"/>
    <w:tmpl w:val="8340AC0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4"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6" w15:restartNumberingAfterBreak="0">
    <w:nsid w:val="690F34A9"/>
    <w:multiLevelType w:val="hybridMultilevel"/>
    <w:tmpl w:val="357AF0D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7" w15:restartNumberingAfterBreak="0">
    <w:nsid w:val="6B6A155F"/>
    <w:multiLevelType w:val="hybridMultilevel"/>
    <w:tmpl w:val="13CE1B42"/>
    <w:lvl w:ilvl="0" w:tplc="21368AC2">
      <w:start w:val="1"/>
      <w:numFmt w:val="lowerLetter"/>
      <w:lvlText w:val="%1)"/>
      <w:lvlJc w:val="left"/>
      <w:pPr>
        <w:ind w:left="720" w:hanging="360"/>
      </w:pPr>
      <w:rPr>
        <w:rFonts w:ascii="Times New Roman" w:eastAsiaTheme="minorHAnsi" w:hAnsi="Times New Roman" w:cs="Times New Roman"/>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8" w15:restartNumberingAfterBreak="0">
    <w:nsid w:val="72B00E5D"/>
    <w:multiLevelType w:val="hybridMultilevel"/>
    <w:tmpl w:val="9FF05DC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9" w15:restartNumberingAfterBreak="0">
    <w:nsid w:val="75EC3B23"/>
    <w:multiLevelType w:val="hybridMultilevel"/>
    <w:tmpl w:val="5150C97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0" w15:restartNumberingAfterBreak="0">
    <w:nsid w:val="7F773AEA"/>
    <w:multiLevelType w:val="hybridMultilevel"/>
    <w:tmpl w:val="7BB671D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711341704">
    <w:abstractNumId w:val="5"/>
  </w:num>
  <w:num w:numId="2" w16cid:durableId="1929533434">
    <w:abstractNumId w:val="35"/>
  </w:num>
  <w:num w:numId="3" w16cid:durableId="333261791">
    <w:abstractNumId w:val="32"/>
  </w:num>
  <w:num w:numId="4" w16cid:durableId="1770345525">
    <w:abstractNumId w:val="31"/>
  </w:num>
  <w:num w:numId="5" w16cid:durableId="1816144979">
    <w:abstractNumId w:val="34"/>
  </w:num>
  <w:num w:numId="6" w16cid:durableId="1304313350">
    <w:abstractNumId w:val="1"/>
  </w:num>
  <w:num w:numId="7" w16cid:durableId="166828809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0435886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02179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8631930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4445375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05318463">
    <w:abstractNumId w:val="4"/>
  </w:num>
  <w:num w:numId="13" w16cid:durableId="166890441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2461137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0204734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50199404">
    <w:abstractNumId w:val="21"/>
  </w:num>
  <w:num w:numId="17" w16cid:durableId="179988231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8065860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502964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53913797">
    <w:abstractNumId w:val="6"/>
  </w:num>
  <w:num w:numId="21" w16cid:durableId="196457426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7528190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7375036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2760541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27016281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87322751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57380944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0860547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00042749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65445045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777916714">
    <w:abstractNumId w:val="7"/>
  </w:num>
  <w:num w:numId="32" w16cid:durableId="710543418">
    <w:abstractNumId w:val="3"/>
  </w:num>
  <w:num w:numId="33" w16cid:durableId="93482823">
    <w:abstractNumId w:val="0"/>
  </w:num>
  <w:num w:numId="34" w16cid:durableId="22533479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369571147">
    <w:abstractNumId w:val="11"/>
  </w:num>
  <w:num w:numId="36" w16cid:durableId="45942401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57524168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62392188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80381453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570188198">
    <w:abstractNumId w:val="28"/>
  </w:num>
  <w:num w:numId="41" w16cid:durableId="472524592">
    <w:abstractNumId w:val="1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3141"/>
    <w:rsid w:val="00005B96"/>
    <w:rsid w:val="00007954"/>
    <w:rsid w:val="00007C03"/>
    <w:rsid w:val="00010987"/>
    <w:rsid w:val="00011995"/>
    <w:rsid w:val="00013057"/>
    <w:rsid w:val="000159CC"/>
    <w:rsid w:val="00015C22"/>
    <w:rsid w:val="000167E0"/>
    <w:rsid w:val="00017572"/>
    <w:rsid w:val="000235E9"/>
    <w:rsid w:val="0002637D"/>
    <w:rsid w:val="0002733C"/>
    <w:rsid w:val="00027978"/>
    <w:rsid w:val="00032687"/>
    <w:rsid w:val="0003359A"/>
    <w:rsid w:val="00033AB1"/>
    <w:rsid w:val="00035A04"/>
    <w:rsid w:val="0004480C"/>
    <w:rsid w:val="000505E9"/>
    <w:rsid w:val="000512AD"/>
    <w:rsid w:val="0005357E"/>
    <w:rsid w:val="00053740"/>
    <w:rsid w:val="00053D16"/>
    <w:rsid w:val="00056D9F"/>
    <w:rsid w:val="00057D0A"/>
    <w:rsid w:val="0006153B"/>
    <w:rsid w:val="000619A2"/>
    <w:rsid w:val="00062301"/>
    <w:rsid w:val="00063183"/>
    <w:rsid w:val="0006548C"/>
    <w:rsid w:val="00065584"/>
    <w:rsid w:val="00070DB6"/>
    <w:rsid w:val="00071A25"/>
    <w:rsid w:val="0007301A"/>
    <w:rsid w:val="00073EC5"/>
    <w:rsid w:val="00076E73"/>
    <w:rsid w:val="00077B6F"/>
    <w:rsid w:val="000802ED"/>
    <w:rsid w:val="00080A9A"/>
    <w:rsid w:val="000835CB"/>
    <w:rsid w:val="00083D69"/>
    <w:rsid w:val="00083F50"/>
    <w:rsid w:val="00084148"/>
    <w:rsid w:val="0008486A"/>
    <w:rsid w:val="00091C09"/>
    <w:rsid w:val="00092684"/>
    <w:rsid w:val="0009404A"/>
    <w:rsid w:val="00095105"/>
    <w:rsid w:val="000969D2"/>
    <w:rsid w:val="00096CCA"/>
    <w:rsid w:val="000A02E6"/>
    <w:rsid w:val="000A1DAF"/>
    <w:rsid w:val="000A4C6A"/>
    <w:rsid w:val="000A53CB"/>
    <w:rsid w:val="000A55BA"/>
    <w:rsid w:val="000A5666"/>
    <w:rsid w:val="000A5CAA"/>
    <w:rsid w:val="000B19A0"/>
    <w:rsid w:val="000B2CB1"/>
    <w:rsid w:val="000B58D8"/>
    <w:rsid w:val="000C0734"/>
    <w:rsid w:val="000C1AAB"/>
    <w:rsid w:val="000C321D"/>
    <w:rsid w:val="000D5F00"/>
    <w:rsid w:val="000E11BA"/>
    <w:rsid w:val="000E3730"/>
    <w:rsid w:val="000F17DA"/>
    <w:rsid w:val="000F2FE5"/>
    <w:rsid w:val="000F56CC"/>
    <w:rsid w:val="000F6340"/>
    <w:rsid w:val="000F7060"/>
    <w:rsid w:val="00105F32"/>
    <w:rsid w:val="00111342"/>
    <w:rsid w:val="0011308C"/>
    <w:rsid w:val="00116B6A"/>
    <w:rsid w:val="0012166D"/>
    <w:rsid w:val="00125B9B"/>
    <w:rsid w:val="0013051A"/>
    <w:rsid w:val="001320DF"/>
    <w:rsid w:val="00136E12"/>
    <w:rsid w:val="001373AF"/>
    <w:rsid w:val="001377EF"/>
    <w:rsid w:val="00140BBE"/>
    <w:rsid w:val="001457A0"/>
    <w:rsid w:val="0014650D"/>
    <w:rsid w:val="00150874"/>
    <w:rsid w:val="001508BC"/>
    <w:rsid w:val="001529FE"/>
    <w:rsid w:val="00157979"/>
    <w:rsid w:val="00160034"/>
    <w:rsid w:val="00160361"/>
    <w:rsid w:val="00167EDA"/>
    <w:rsid w:val="001703D8"/>
    <w:rsid w:val="00170E39"/>
    <w:rsid w:val="00171DF3"/>
    <w:rsid w:val="00174918"/>
    <w:rsid w:val="001749D2"/>
    <w:rsid w:val="00174DA5"/>
    <w:rsid w:val="0018041E"/>
    <w:rsid w:val="00181908"/>
    <w:rsid w:val="00181DCE"/>
    <w:rsid w:val="00185E11"/>
    <w:rsid w:val="00186D49"/>
    <w:rsid w:val="00187BFD"/>
    <w:rsid w:val="00190FBE"/>
    <w:rsid w:val="0019385F"/>
    <w:rsid w:val="00196365"/>
    <w:rsid w:val="001965DE"/>
    <w:rsid w:val="001A008A"/>
    <w:rsid w:val="001A3395"/>
    <w:rsid w:val="001A43EC"/>
    <w:rsid w:val="001A44E1"/>
    <w:rsid w:val="001A5178"/>
    <w:rsid w:val="001A555F"/>
    <w:rsid w:val="001A57AC"/>
    <w:rsid w:val="001B08C0"/>
    <w:rsid w:val="001B1E59"/>
    <w:rsid w:val="001B26F1"/>
    <w:rsid w:val="001B3EE9"/>
    <w:rsid w:val="001B58A3"/>
    <w:rsid w:val="001B75E0"/>
    <w:rsid w:val="001C052B"/>
    <w:rsid w:val="001C0A05"/>
    <w:rsid w:val="001C3A70"/>
    <w:rsid w:val="001C4A47"/>
    <w:rsid w:val="001D0EED"/>
    <w:rsid w:val="001D59D9"/>
    <w:rsid w:val="001D6136"/>
    <w:rsid w:val="001E119C"/>
    <w:rsid w:val="001E1C8C"/>
    <w:rsid w:val="001E6657"/>
    <w:rsid w:val="001F0F3A"/>
    <w:rsid w:val="00201C0D"/>
    <w:rsid w:val="00204407"/>
    <w:rsid w:val="00205C9E"/>
    <w:rsid w:val="00206718"/>
    <w:rsid w:val="0020749F"/>
    <w:rsid w:val="002108AD"/>
    <w:rsid w:val="00211482"/>
    <w:rsid w:val="00211977"/>
    <w:rsid w:val="002130B0"/>
    <w:rsid w:val="0021627D"/>
    <w:rsid w:val="00225288"/>
    <w:rsid w:val="00227D02"/>
    <w:rsid w:val="00231C58"/>
    <w:rsid w:val="002331C3"/>
    <w:rsid w:val="00234777"/>
    <w:rsid w:val="00234A33"/>
    <w:rsid w:val="00236B66"/>
    <w:rsid w:val="002370A8"/>
    <w:rsid w:val="00241719"/>
    <w:rsid w:val="00242425"/>
    <w:rsid w:val="00243F6B"/>
    <w:rsid w:val="00245501"/>
    <w:rsid w:val="002528B8"/>
    <w:rsid w:val="00253F42"/>
    <w:rsid w:val="00255C05"/>
    <w:rsid w:val="0026162A"/>
    <w:rsid w:val="00264D9A"/>
    <w:rsid w:val="0027261F"/>
    <w:rsid w:val="00272F4F"/>
    <w:rsid w:val="0027301E"/>
    <w:rsid w:val="00274985"/>
    <w:rsid w:val="002768C6"/>
    <w:rsid w:val="00276A92"/>
    <w:rsid w:val="00277667"/>
    <w:rsid w:val="002809AB"/>
    <w:rsid w:val="002830BC"/>
    <w:rsid w:val="00283E79"/>
    <w:rsid w:val="00286C15"/>
    <w:rsid w:val="002905EB"/>
    <w:rsid w:val="00290CA4"/>
    <w:rsid w:val="00294D98"/>
    <w:rsid w:val="00295828"/>
    <w:rsid w:val="0029673E"/>
    <w:rsid w:val="002A31D3"/>
    <w:rsid w:val="002A3D36"/>
    <w:rsid w:val="002A4AE6"/>
    <w:rsid w:val="002A7E2E"/>
    <w:rsid w:val="002B1654"/>
    <w:rsid w:val="002B726E"/>
    <w:rsid w:val="002C2A0F"/>
    <w:rsid w:val="002C2CEC"/>
    <w:rsid w:val="002C6367"/>
    <w:rsid w:val="002C7B97"/>
    <w:rsid w:val="002D0DB0"/>
    <w:rsid w:val="002D3318"/>
    <w:rsid w:val="002D3B01"/>
    <w:rsid w:val="002D4134"/>
    <w:rsid w:val="002D4977"/>
    <w:rsid w:val="002E0275"/>
    <w:rsid w:val="002E1221"/>
    <w:rsid w:val="002E17CF"/>
    <w:rsid w:val="002E17F9"/>
    <w:rsid w:val="002F09CA"/>
    <w:rsid w:val="002F35F0"/>
    <w:rsid w:val="002F478E"/>
    <w:rsid w:val="00300DDA"/>
    <w:rsid w:val="003045E3"/>
    <w:rsid w:val="00314603"/>
    <w:rsid w:val="00317805"/>
    <w:rsid w:val="0032132E"/>
    <w:rsid w:val="00321EC9"/>
    <w:rsid w:val="00327AEB"/>
    <w:rsid w:val="00331FA8"/>
    <w:rsid w:val="00334BF1"/>
    <w:rsid w:val="00335E5E"/>
    <w:rsid w:val="00340E4B"/>
    <w:rsid w:val="00341784"/>
    <w:rsid w:val="00345DF0"/>
    <w:rsid w:val="00345F7F"/>
    <w:rsid w:val="00347D7E"/>
    <w:rsid w:val="003526ED"/>
    <w:rsid w:val="00353092"/>
    <w:rsid w:val="003544B1"/>
    <w:rsid w:val="00356F61"/>
    <w:rsid w:val="00357D70"/>
    <w:rsid w:val="00360239"/>
    <w:rsid w:val="00362449"/>
    <w:rsid w:val="00364E0F"/>
    <w:rsid w:val="00366842"/>
    <w:rsid w:val="00367746"/>
    <w:rsid w:val="00372864"/>
    <w:rsid w:val="0038290F"/>
    <w:rsid w:val="00391D8F"/>
    <w:rsid w:val="00391F72"/>
    <w:rsid w:val="00392259"/>
    <w:rsid w:val="00392AF8"/>
    <w:rsid w:val="003A3F8C"/>
    <w:rsid w:val="003B348C"/>
    <w:rsid w:val="003B3A93"/>
    <w:rsid w:val="003B41F7"/>
    <w:rsid w:val="003B798E"/>
    <w:rsid w:val="003C1581"/>
    <w:rsid w:val="003D09A9"/>
    <w:rsid w:val="003D2B30"/>
    <w:rsid w:val="003D4684"/>
    <w:rsid w:val="003D4687"/>
    <w:rsid w:val="003D5A42"/>
    <w:rsid w:val="003D690E"/>
    <w:rsid w:val="003D7247"/>
    <w:rsid w:val="003E0091"/>
    <w:rsid w:val="003E0CC2"/>
    <w:rsid w:val="003E450C"/>
    <w:rsid w:val="003E6410"/>
    <w:rsid w:val="003F0C97"/>
    <w:rsid w:val="003F1149"/>
    <w:rsid w:val="003F1B5F"/>
    <w:rsid w:val="003F20C7"/>
    <w:rsid w:val="003F2DC2"/>
    <w:rsid w:val="00403814"/>
    <w:rsid w:val="00403B24"/>
    <w:rsid w:val="00404288"/>
    <w:rsid w:val="004049B9"/>
    <w:rsid w:val="00411866"/>
    <w:rsid w:val="00414A7B"/>
    <w:rsid w:val="00417E23"/>
    <w:rsid w:val="0042236E"/>
    <w:rsid w:val="00425ACB"/>
    <w:rsid w:val="00425F75"/>
    <w:rsid w:val="00426C11"/>
    <w:rsid w:val="00440BC2"/>
    <w:rsid w:val="00442879"/>
    <w:rsid w:val="00444232"/>
    <w:rsid w:val="00444DE9"/>
    <w:rsid w:val="00460C30"/>
    <w:rsid w:val="00465FB9"/>
    <w:rsid w:val="00466302"/>
    <w:rsid w:val="0046647B"/>
    <w:rsid w:val="0047370C"/>
    <w:rsid w:val="0047522D"/>
    <w:rsid w:val="00476BA1"/>
    <w:rsid w:val="00484281"/>
    <w:rsid w:val="00490898"/>
    <w:rsid w:val="00494F04"/>
    <w:rsid w:val="0049581F"/>
    <w:rsid w:val="0049582C"/>
    <w:rsid w:val="00495D9A"/>
    <w:rsid w:val="00496A1A"/>
    <w:rsid w:val="00497091"/>
    <w:rsid w:val="004A183E"/>
    <w:rsid w:val="004A3E25"/>
    <w:rsid w:val="004A41F6"/>
    <w:rsid w:val="004A718F"/>
    <w:rsid w:val="004B155C"/>
    <w:rsid w:val="004B27E2"/>
    <w:rsid w:val="004B51ED"/>
    <w:rsid w:val="004C1C34"/>
    <w:rsid w:val="004C34ED"/>
    <w:rsid w:val="004C51EC"/>
    <w:rsid w:val="004C5A91"/>
    <w:rsid w:val="004C6A9B"/>
    <w:rsid w:val="004D05F2"/>
    <w:rsid w:val="004E0A1D"/>
    <w:rsid w:val="004E65DD"/>
    <w:rsid w:val="004F0319"/>
    <w:rsid w:val="004F1255"/>
    <w:rsid w:val="004F549E"/>
    <w:rsid w:val="00504C79"/>
    <w:rsid w:val="005112A3"/>
    <w:rsid w:val="00516293"/>
    <w:rsid w:val="00516C00"/>
    <w:rsid w:val="005175FE"/>
    <w:rsid w:val="005201E9"/>
    <w:rsid w:val="00521013"/>
    <w:rsid w:val="00521B4C"/>
    <w:rsid w:val="005225EF"/>
    <w:rsid w:val="00522E2A"/>
    <w:rsid w:val="005259E7"/>
    <w:rsid w:val="005265A5"/>
    <w:rsid w:val="00527B27"/>
    <w:rsid w:val="005316B2"/>
    <w:rsid w:val="00531BEE"/>
    <w:rsid w:val="005323A2"/>
    <w:rsid w:val="0053470F"/>
    <w:rsid w:val="00535473"/>
    <w:rsid w:val="00537DBF"/>
    <w:rsid w:val="00540F01"/>
    <w:rsid w:val="00541534"/>
    <w:rsid w:val="00543015"/>
    <w:rsid w:val="00544667"/>
    <w:rsid w:val="00544BFC"/>
    <w:rsid w:val="00547EE5"/>
    <w:rsid w:val="00547F11"/>
    <w:rsid w:val="00556526"/>
    <w:rsid w:val="0056773D"/>
    <w:rsid w:val="00567DEC"/>
    <w:rsid w:val="0057035B"/>
    <w:rsid w:val="00570ED6"/>
    <w:rsid w:val="005818E3"/>
    <w:rsid w:val="00582D26"/>
    <w:rsid w:val="0058358B"/>
    <w:rsid w:val="00583A87"/>
    <w:rsid w:val="00585D65"/>
    <w:rsid w:val="00586D82"/>
    <w:rsid w:val="005948EF"/>
    <w:rsid w:val="00597430"/>
    <w:rsid w:val="005A0B70"/>
    <w:rsid w:val="005A2497"/>
    <w:rsid w:val="005A40A4"/>
    <w:rsid w:val="005A5D81"/>
    <w:rsid w:val="005A6FD4"/>
    <w:rsid w:val="005A782D"/>
    <w:rsid w:val="005B2924"/>
    <w:rsid w:val="005C11CD"/>
    <w:rsid w:val="005C3266"/>
    <w:rsid w:val="005C524E"/>
    <w:rsid w:val="005C5AB9"/>
    <w:rsid w:val="005C5FAC"/>
    <w:rsid w:val="005C6AB8"/>
    <w:rsid w:val="005D3E68"/>
    <w:rsid w:val="005D5F88"/>
    <w:rsid w:val="005E0EC2"/>
    <w:rsid w:val="005E17C2"/>
    <w:rsid w:val="005E2CBE"/>
    <w:rsid w:val="005E4870"/>
    <w:rsid w:val="005F220A"/>
    <w:rsid w:val="005F3495"/>
    <w:rsid w:val="005F4C97"/>
    <w:rsid w:val="00603D48"/>
    <w:rsid w:val="006043E9"/>
    <w:rsid w:val="00605902"/>
    <w:rsid w:val="00606105"/>
    <w:rsid w:val="00613A39"/>
    <w:rsid w:val="006229DD"/>
    <w:rsid w:val="00622ABC"/>
    <w:rsid w:val="00623204"/>
    <w:rsid w:val="00624034"/>
    <w:rsid w:val="00627505"/>
    <w:rsid w:val="00631C06"/>
    <w:rsid w:val="00631C1D"/>
    <w:rsid w:val="006338AF"/>
    <w:rsid w:val="0064374C"/>
    <w:rsid w:val="006442E0"/>
    <w:rsid w:val="0064607A"/>
    <w:rsid w:val="00647AEA"/>
    <w:rsid w:val="00652672"/>
    <w:rsid w:val="00654FC9"/>
    <w:rsid w:val="0065542B"/>
    <w:rsid w:val="00655834"/>
    <w:rsid w:val="0065594D"/>
    <w:rsid w:val="00655A90"/>
    <w:rsid w:val="00655BA3"/>
    <w:rsid w:val="00657814"/>
    <w:rsid w:val="006578A4"/>
    <w:rsid w:val="00657AD2"/>
    <w:rsid w:val="00660D6F"/>
    <w:rsid w:val="00660E60"/>
    <w:rsid w:val="00664F22"/>
    <w:rsid w:val="00667A13"/>
    <w:rsid w:val="00671DB5"/>
    <w:rsid w:val="006768BB"/>
    <w:rsid w:val="00680D8A"/>
    <w:rsid w:val="00686BB2"/>
    <w:rsid w:val="006878E1"/>
    <w:rsid w:val="0069304A"/>
    <w:rsid w:val="0069583E"/>
    <w:rsid w:val="00697D6C"/>
    <w:rsid w:val="006A2ADE"/>
    <w:rsid w:val="006A551F"/>
    <w:rsid w:val="006A5904"/>
    <w:rsid w:val="006A5E39"/>
    <w:rsid w:val="006A770A"/>
    <w:rsid w:val="006B5CAE"/>
    <w:rsid w:val="006B7A62"/>
    <w:rsid w:val="006C1704"/>
    <w:rsid w:val="006C1A65"/>
    <w:rsid w:val="006C29A7"/>
    <w:rsid w:val="006C2E60"/>
    <w:rsid w:val="006C6261"/>
    <w:rsid w:val="006D2BA9"/>
    <w:rsid w:val="006D397E"/>
    <w:rsid w:val="006E2366"/>
    <w:rsid w:val="006E4547"/>
    <w:rsid w:val="006E5BE6"/>
    <w:rsid w:val="006F300D"/>
    <w:rsid w:val="006F36EF"/>
    <w:rsid w:val="006F47A8"/>
    <w:rsid w:val="006F4986"/>
    <w:rsid w:val="006F646A"/>
    <w:rsid w:val="006F6CBD"/>
    <w:rsid w:val="0070030F"/>
    <w:rsid w:val="00701598"/>
    <w:rsid w:val="00701639"/>
    <w:rsid w:val="00701893"/>
    <w:rsid w:val="00703430"/>
    <w:rsid w:val="00704A95"/>
    <w:rsid w:val="00706392"/>
    <w:rsid w:val="00706EB2"/>
    <w:rsid w:val="00707C99"/>
    <w:rsid w:val="00714C48"/>
    <w:rsid w:val="0072050F"/>
    <w:rsid w:val="00720DBC"/>
    <w:rsid w:val="0072240A"/>
    <w:rsid w:val="007261FD"/>
    <w:rsid w:val="00727198"/>
    <w:rsid w:val="007300C4"/>
    <w:rsid w:val="00731154"/>
    <w:rsid w:val="00734430"/>
    <w:rsid w:val="00737844"/>
    <w:rsid w:val="00741A01"/>
    <w:rsid w:val="00743BA7"/>
    <w:rsid w:val="00744136"/>
    <w:rsid w:val="00744447"/>
    <w:rsid w:val="00744789"/>
    <w:rsid w:val="007543CD"/>
    <w:rsid w:val="00761F1D"/>
    <w:rsid w:val="007703E9"/>
    <w:rsid w:val="007708AB"/>
    <w:rsid w:val="00771625"/>
    <w:rsid w:val="00772376"/>
    <w:rsid w:val="00774D05"/>
    <w:rsid w:val="00775711"/>
    <w:rsid w:val="0077599F"/>
    <w:rsid w:val="00781235"/>
    <w:rsid w:val="00784355"/>
    <w:rsid w:val="00784708"/>
    <w:rsid w:val="00786117"/>
    <w:rsid w:val="007906AF"/>
    <w:rsid w:val="00794424"/>
    <w:rsid w:val="007950DD"/>
    <w:rsid w:val="007965C0"/>
    <w:rsid w:val="007965E2"/>
    <w:rsid w:val="00797191"/>
    <w:rsid w:val="007A09BB"/>
    <w:rsid w:val="007A4108"/>
    <w:rsid w:val="007A4EA9"/>
    <w:rsid w:val="007A7451"/>
    <w:rsid w:val="007A7E93"/>
    <w:rsid w:val="007A7F95"/>
    <w:rsid w:val="007B1018"/>
    <w:rsid w:val="007B2721"/>
    <w:rsid w:val="007B3518"/>
    <w:rsid w:val="007B3958"/>
    <w:rsid w:val="007C14D0"/>
    <w:rsid w:val="007C213D"/>
    <w:rsid w:val="007C4D67"/>
    <w:rsid w:val="007C4E10"/>
    <w:rsid w:val="007C69FE"/>
    <w:rsid w:val="007D13E3"/>
    <w:rsid w:val="007D13F3"/>
    <w:rsid w:val="007D2A4B"/>
    <w:rsid w:val="007D39D3"/>
    <w:rsid w:val="007D5BB1"/>
    <w:rsid w:val="007D7213"/>
    <w:rsid w:val="007E47CA"/>
    <w:rsid w:val="007E4E23"/>
    <w:rsid w:val="007E5917"/>
    <w:rsid w:val="007E7310"/>
    <w:rsid w:val="007F2000"/>
    <w:rsid w:val="007F38DF"/>
    <w:rsid w:val="007F74F1"/>
    <w:rsid w:val="008010D0"/>
    <w:rsid w:val="008020A1"/>
    <w:rsid w:val="0080698B"/>
    <w:rsid w:val="00812473"/>
    <w:rsid w:val="00816B3F"/>
    <w:rsid w:val="0081754D"/>
    <w:rsid w:val="008177B9"/>
    <w:rsid w:val="00817F65"/>
    <w:rsid w:val="00821801"/>
    <w:rsid w:val="00827313"/>
    <w:rsid w:val="00836831"/>
    <w:rsid w:val="00837DDE"/>
    <w:rsid w:val="008400B6"/>
    <w:rsid w:val="00845093"/>
    <w:rsid w:val="008523F5"/>
    <w:rsid w:val="008548F9"/>
    <w:rsid w:val="0085575C"/>
    <w:rsid w:val="0085791F"/>
    <w:rsid w:val="00857988"/>
    <w:rsid w:val="0086244F"/>
    <w:rsid w:val="008639D3"/>
    <w:rsid w:val="00867EB6"/>
    <w:rsid w:val="00871F40"/>
    <w:rsid w:val="00883121"/>
    <w:rsid w:val="0088392F"/>
    <w:rsid w:val="00884426"/>
    <w:rsid w:val="00886745"/>
    <w:rsid w:val="0088680C"/>
    <w:rsid w:val="00886D60"/>
    <w:rsid w:val="0088746E"/>
    <w:rsid w:val="00887814"/>
    <w:rsid w:val="008916FF"/>
    <w:rsid w:val="00891DB3"/>
    <w:rsid w:val="00895A85"/>
    <w:rsid w:val="00896F8E"/>
    <w:rsid w:val="008A1D12"/>
    <w:rsid w:val="008A3A47"/>
    <w:rsid w:val="008B2385"/>
    <w:rsid w:val="008B47F3"/>
    <w:rsid w:val="008B5C61"/>
    <w:rsid w:val="008B61EE"/>
    <w:rsid w:val="008B69A3"/>
    <w:rsid w:val="008B6A09"/>
    <w:rsid w:val="008B760D"/>
    <w:rsid w:val="008D1D39"/>
    <w:rsid w:val="008D26BA"/>
    <w:rsid w:val="008D5049"/>
    <w:rsid w:val="008D6DDF"/>
    <w:rsid w:val="008D721C"/>
    <w:rsid w:val="008E33FD"/>
    <w:rsid w:val="008F1161"/>
    <w:rsid w:val="008F3570"/>
    <w:rsid w:val="008F479E"/>
    <w:rsid w:val="009011F1"/>
    <w:rsid w:val="00901835"/>
    <w:rsid w:val="009024E8"/>
    <w:rsid w:val="00902B75"/>
    <w:rsid w:val="009117F7"/>
    <w:rsid w:val="009127A6"/>
    <w:rsid w:val="0091528B"/>
    <w:rsid w:val="009157B1"/>
    <w:rsid w:val="00916028"/>
    <w:rsid w:val="00917CAF"/>
    <w:rsid w:val="009271BE"/>
    <w:rsid w:val="009272D7"/>
    <w:rsid w:val="009305A8"/>
    <w:rsid w:val="00933532"/>
    <w:rsid w:val="00942733"/>
    <w:rsid w:val="00942B53"/>
    <w:rsid w:val="00943343"/>
    <w:rsid w:val="00946694"/>
    <w:rsid w:val="00950AD3"/>
    <w:rsid w:val="00951B99"/>
    <w:rsid w:val="00951CDB"/>
    <w:rsid w:val="00952F86"/>
    <w:rsid w:val="00955C03"/>
    <w:rsid w:val="00964237"/>
    <w:rsid w:val="00966813"/>
    <w:rsid w:val="00967B16"/>
    <w:rsid w:val="0097301B"/>
    <w:rsid w:val="00974D2D"/>
    <w:rsid w:val="009754DD"/>
    <w:rsid w:val="009755C7"/>
    <w:rsid w:val="0098136F"/>
    <w:rsid w:val="009849E6"/>
    <w:rsid w:val="00986F0C"/>
    <w:rsid w:val="00992529"/>
    <w:rsid w:val="0099320E"/>
    <w:rsid w:val="009976D9"/>
    <w:rsid w:val="00997863"/>
    <w:rsid w:val="009A3D48"/>
    <w:rsid w:val="009A40B3"/>
    <w:rsid w:val="009A5B27"/>
    <w:rsid w:val="009A6404"/>
    <w:rsid w:val="009A701F"/>
    <w:rsid w:val="009A7E68"/>
    <w:rsid w:val="009B29C9"/>
    <w:rsid w:val="009B4291"/>
    <w:rsid w:val="009B4F3F"/>
    <w:rsid w:val="009B559E"/>
    <w:rsid w:val="009C0809"/>
    <w:rsid w:val="009C1066"/>
    <w:rsid w:val="009C1372"/>
    <w:rsid w:val="009C29C6"/>
    <w:rsid w:val="009C4779"/>
    <w:rsid w:val="009C4791"/>
    <w:rsid w:val="009C5373"/>
    <w:rsid w:val="009C6404"/>
    <w:rsid w:val="009D3B98"/>
    <w:rsid w:val="009D56D8"/>
    <w:rsid w:val="009D6055"/>
    <w:rsid w:val="009D63E7"/>
    <w:rsid w:val="009D7BF6"/>
    <w:rsid w:val="009E5F11"/>
    <w:rsid w:val="009E7994"/>
    <w:rsid w:val="009F143B"/>
    <w:rsid w:val="009F2EEB"/>
    <w:rsid w:val="009F5942"/>
    <w:rsid w:val="009F75DF"/>
    <w:rsid w:val="00A00055"/>
    <w:rsid w:val="00A00101"/>
    <w:rsid w:val="00A02270"/>
    <w:rsid w:val="00A046BC"/>
    <w:rsid w:val="00A077D2"/>
    <w:rsid w:val="00A109DB"/>
    <w:rsid w:val="00A10CAE"/>
    <w:rsid w:val="00A12C5F"/>
    <w:rsid w:val="00A16942"/>
    <w:rsid w:val="00A17A72"/>
    <w:rsid w:val="00A20E69"/>
    <w:rsid w:val="00A237EE"/>
    <w:rsid w:val="00A25F51"/>
    <w:rsid w:val="00A30393"/>
    <w:rsid w:val="00A32246"/>
    <w:rsid w:val="00A323F4"/>
    <w:rsid w:val="00A328C0"/>
    <w:rsid w:val="00A3714C"/>
    <w:rsid w:val="00A427D6"/>
    <w:rsid w:val="00A46E96"/>
    <w:rsid w:val="00A52030"/>
    <w:rsid w:val="00A57F3B"/>
    <w:rsid w:val="00A62A69"/>
    <w:rsid w:val="00A62BEC"/>
    <w:rsid w:val="00A648E1"/>
    <w:rsid w:val="00A658C1"/>
    <w:rsid w:val="00A734AD"/>
    <w:rsid w:val="00A74F96"/>
    <w:rsid w:val="00A770E4"/>
    <w:rsid w:val="00A77C09"/>
    <w:rsid w:val="00A837A0"/>
    <w:rsid w:val="00A90926"/>
    <w:rsid w:val="00A91E44"/>
    <w:rsid w:val="00A94273"/>
    <w:rsid w:val="00A96279"/>
    <w:rsid w:val="00A97287"/>
    <w:rsid w:val="00AA024E"/>
    <w:rsid w:val="00AA18F9"/>
    <w:rsid w:val="00AA2DED"/>
    <w:rsid w:val="00AA7CBD"/>
    <w:rsid w:val="00AB1C66"/>
    <w:rsid w:val="00AB2F11"/>
    <w:rsid w:val="00AB7BFE"/>
    <w:rsid w:val="00AC07E0"/>
    <w:rsid w:val="00AC4971"/>
    <w:rsid w:val="00AC4C86"/>
    <w:rsid w:val="00AC4CF3"/>
    <w:rsid w:val="00AC5A9E"/>
    <w:rsid w:val="00AD1FEC"/>
    <w:rsid w:val="00AD2DF1"/>
    <w:rsid w:val="00AD5481"/>
    <w:rsid w:val="00AD59A0"/>
    <w:rsid w:val="00AE3EA8"/>
    <w:rsid w:val="00AE4125"/>
    <w:rsid w:val="00AE4D37"/>
    <w:rsid w:val="00AE58A1"/>
    <w:rsid w:val="00AE6444"/>
    <w:rsid w:val="00AE6BD5"/>
    <w:rsid w:val="00AE7E00"/>
    <w:rsid w:val="00AF1C99"/>
    <w:rsid w:val="00AF5E87"/>
    <w:rsid w:val="00B00552"/>
    <w:rsid w:val="00B02BEE"/>
    <w:rsid w:val="00B033A5"/>
    <w:rsid w:val="00B11C1C"/>
    <w:rsid w:val="00B12E7A"/>
    <w:rsid w:val="00B13613"/>
    <w:rsid w:val="00B17BD8"/>
    <w:rsid w:val="00B17E56"/>
    <w:rsid w:val="00B30B53"/>
    <w:rsid w:val="00B313E9"/>
    <w:rsid w:val="00B32325"/>
    <w:rsid w:val="00B32E8A"/>
    <w:rsid w:val="00B340A4"/>
    <w:rsid w:val="00B340D4"/>
    <w:rsid w:val="00B355EC"/>
    <w:rsid w:val="00B448A4"/>
    <w:rsid w:val="00B45C2D"/>
    <w:rsid w:val="00B46B01"/>
    <w:rsid w:val="00B47FD0"/>
    <w:rsid w:val="00B53696"/>
    <w:rsid w:val="00B56649"/>
    <w:rsid w:val="00B625F2"/>
    <w:rsid w:val="00B663DC"/>
    <w:rsid w:val="00B710D8"/>
    <w:rsid w:val="00B73566"/>
    <w:rsid w:val="00B73629"/>
    <w:rsid w:val="00B7466E"/>
    <w:rsid w:val="00B779BD"/>
    <w:rsid w:val="00B8021E"/>
    <w:rsid w:val="00B8028F"/>
    <w:rsid w:val="00B8209E"/>
    <w:rsid w:val="00B833BE"/>
    <w:rsid w:val="00B87B08"/>
    <w:rsid w:val="00B93C7A"/>
    <w:rsid w:val="00B956C4"/>
    <w:rsid w:val="00B9570E"/>
    <w:rsid w:val="00BA3C20"/>
    <w:rsid w:val="00BB1EA9"/>
    <w:rsid w:val="00BB2152"/>
    <w:rsid w:val="00BB2BE0"/>
    <w:rsid w:val="00BB405B"/>
    <w:rsid w:val="00BB4B19"/>
    <w:rsid w:val="00BC29D0"/>
    <w:rsid w:val="00BD33F4"/>
    <w:rsid w:val="00BD797F"/>
    <w:rsid w:val="00BE1470"/>
    <w:rsid w:val="00BE695C"/>
    <w:rsid w:val="00BE7C72"/>
    <w:rsid w:val="00BF1421"/>
    <w:rsid w:val="00BF414E"/>
    <w:rsid w:val="00BF6C46"/>
    <w:rsid w:val="00BF7815"/>
    <w:rsid w:val="00BF78BF"/>
    <w:rsid w:val="00C00BBF"/>
    <w:rsid w:val="00C00F54"/>
    <w:rsid w:val="00C02CC4"/>
    <w:rsid w:val="00C04AA4"/>
    <w:rsid w:val="00C05445"/>
    <w:rsid w:val="00C12CBD"/>
    <w:rsid w:val="00C134DB"/>
    <w:rsid w:val="00C16D8A"/>
    <w:rsid w:val="00C202F1"/>
    <w:rsid w:val="00C25B78"/>
    <w:rsid w:val="00C32068"/>
    <w:rsid w:val="00C33FEF"/>
    <w:rsid w:val="00C34C5C"/>
    <w:rsid w:val="00C4007D"/>
    <w:rsid w:val="00C405D5"/>
    <w:rsid w:val="00C4163B"/>
    <w:rsid w:val="00C41F24"/>
    <w:rsid w:val="00C42000"/>
    <w:rsid w:val="00C43FD0"/>
    <w:rsid w:val="00C47619"/>
    <w:rsid w:val="00C4792C"/>
    <w:rsid w:val="00C51445"/>
    <w:rsid w:val="00C517B4"/>
    <w:rsid w:val="00C52848"/>
    <w:rsid w:val="00C61FF5"/>
    <w:rsid w:val="00C6662D"/>
    <w:rsid w:val="00C671F5"/>
    <w:rsid w:val="00C67E5D"/>
    <w:rsid w:val="00C70DB9"/>
    <w:rsid w:val="00C72528"/>
    <w:rsid w:val="00C748FF"/>
    <w:rsid w:val="00C74DA7"/>
    <w:rsid w:val="00C767DA"/>
    <w:rsid w:val="00C805FB"/>
    <w:rsid w:val="00C81B42"/>
    <w:rsid w:val="00C8227D"/>
    <w:rsid w:val="00C83750"/>
    <w:rsid w:val="00C8675B"/>
    <w:rsid w:val="00C86CD7"/>
    <w:rsid w:val="00C86F17"/>
    <w:rsid w:val="00C9376B"/>
    <w:rsid w:val="00C9581A"/>
    <w:rsid w:val="00C960BE"/>
    <w:rsid w:val="00C9791B"/>
    <w:rsid w:val="00CA27CB"/>
    <w:rsid w:val="00CA3682"/>
    <w:rsid w:val="00CA718D"/>
    <w:rsid w:val="00CB44BB"/>
    <w:rsid w:val="00CC4AEF"/>
    <w:rsid w:val="00CC6C0C"/>
    <w:rsid w:val="00CC719D"/>
    <w:rsid w:val="00CD4BE8"/>
    <w:rsid w:val="00CE2834"/>
    <w:rsid w:val="00CF158B"/>
    <w:rsid w:val="00CF31C5"/>
    <w:rsid w:val="00CF55D6"/>
    <w:rsid w:val="00CF6484"/>
    <w:rsid w:val="00CF7839"/>
    <w:rsid w:val="00CF78D3"/>
    <w:rsid w:val="00D07E5C"/>
    <w:rsid w:val="00D10B27"/>
    <w:rsid w:val="00D12CFF"/>
    <w:rsid w:val="00D156AF"/>
    <w:rsid w:val="00D16367"/>
    <w:rsid w:val="00D202EA"/>
    <w:rsid w:val="00D206C0"/>
    <w:rsid w:val="00D2092C"/>
    <w:rsid w:val="00D228DE"/>
    <w:rsid w:val="00D22DC3"/>
    <w:rsid w:val="00D25683"/>
    <w:rsid w:val="00D26530"/>
    <w:rsid w:val="00D27042"/>
    <w:rsid w:val="00D3103B"/>
    <w:rsid w:val="00D322D9"/>
    <w:rsid w:val="00D422AF"/>
    <w:rsid w:val="00D4253A"/>
    <w:rsid w:val="00D4286C"/>
    <w:rsid w:val="00D43EB8"/>
    <w:rsid w:val="00D451C9"/>
    <w:rsid w:val="00D50B42"/>
    <w:rsid w:val="00D50BAF"/>
    <w:rsid w:val="00D57228"/>
    <w:rsid w:val="00D61C6D"/>
    <w:rsid w:val="00D6267A"/>
    <w:rsid w:val="00D64034"/>
    <w:rsid w:val="00D6797E"/>
    <w:rsid w:val="00D73109"/>
    <w:rsid w:val="00D76C43"/>
    <w:rsid w:val="00D810EC"/>
    <w:rsid w:val="00D835B6"/>
    <w:rsid w:val="00D84464"/>
    <w:rsid w:val="00D9001E"/>
    <w:rsid w:val="00DA0540"/>
    <w:rsid w:val="00DA2840"/>
    <w:rsid w:val="00DA4030"/>
    <w:rsid w:val="00DB15FD"/>
    <w:rsid w:val="00DB3399"/>
    <w:rsid w:val="00DB3DD5"/>
    <w:rsid w:val="00DB5079"/>
    <w:rsid w:val="00DB58EC"/>
    <w:rsid w:val="00DB7347"/>
    <w:rsid w:val="00DB74D5"/>
    <w:rsid w:val="00DB78F3"/>
    <w:rsid w:val="00DC399B"/>
    <w:rsid w:val="00DD0F92"/>
    <w:rsid w:val="00DD109C"/>
    <w:rsid w:val="00DD5E2B"/>
    <w:rsid w:val="00DE585A"/>
    <w:rsid w:val="00DE7053"/>
    <w:rsid w:val="00DF0424"/>
    <w:rsid w:val="00DF3781"/>
    <w:rsid w:val="00DF6E69"/>
    <w:rsid w:val="00DF719C"/>
    <w:rsid w:val="00E077A6"/>
    <w:rsid w:val="00E107CA"/>
    <w:rsid w:val="00E109E4"/>
    <w:rsid w:val="00E1216B"/>
    <w:rsid w:val="00E1477F"/>
    <w:rsid w:val="00E16C63"/>
    <w:rsid w:val="00E25D54"/>
    <w:rsid w:val="00E30B3A"/>
    <w:rsid w:val="00E30E76"/>
    <w:rsid w:val="00E3322A"/>
    <w:rsid w:val="00E341F5"/>
    <w:rsid w:val="00E41161"/>
    <w:rsid w:val="00E43D94"/>
    <w:rsid w:val="00E45B51"/>
    <w:rsid w:val="00E531B9"/>
    <w:rsid w:val="00E53BC5"/>
    <w:rsid w:val="00E53E47"/>
    <w:rsid w:val="00E556C7"/>
    <w:rsid w:val="00E57768"/>
    <w:rsid w:val="00E57869"/>
    <w:rsid w:val="00E61DBC"/>
    <w:rsid w:val="00E64057"/>
    <w:rsid w:val="00E66AFF"/>
    <w:rsid w:val="00E6771C"/>
    <w:rsid w:val="00E70381"/>
    <w:rsid w:val="00E70F8F"/>
    <w:rsid w:val="00E73DEF"/>
    <w:rsid w:val="00E7512C"/>
    <w:rsid w:val="00E80D65"/>
    <w:rsid w:val="00E91723"/>
    <w:rsid w:val="00EA21E9"/>
    <w:rsid w:val="00EA2DDA"/>
    <w:rsid w:val="00EA4C4B"/>
    <w:rsid w:val="00EA77BE"/>
    <w:rsid w:val="00EB1C7E"/>
    <w:rsid w:val="00EC19C1"/>
    <w:rsid w:val="00EC283A"/>
    <w:rsid w:val="00EC3551"/>
    <w:rsid w:val="00EC60F5"/>
    <w:rsid w:val="00EC7271"/>
    <w:rsid w:val="00ED2086"/>
    <w:rsid w:val="00ED38AF"/>
    <w:rsid w:val="00ED4124"/>
    <w:rsid w:val="00ED60A1"/>
    <w:rsid w:val="00ED6123"/>
    <w:rsid w:val="00EE1C4A"/>
    <w:rsid w:val="00EE2E2E"/>
    <w:rsid w:val="00EE2F04"/>
    <w:rsid w:val="00EE3E0F"/>
    <w:rsid w:val="00EE556A"/>
    <w:rsid w:val="00EE6211"/>
    <w:rsid w:val="00EE6D21"/>
    <w:rsid w:val="00EF1116"/>
    <w:rsid w:val="00F0089C"/>
    <w:rsid w:val="00F01B55"/>
    <w:rsid w:val="00F0237B"/>
    <w:rsid w:val="00F06498"/>
    <w:rsid w:val="00F06E99"/>
    <w:rsid w:val="00F0723B"/>
    <w:rsid w:val="00F11E0A"/>
    <w:rsid w:val="00F13013"/>
    <w:rsid w:val="00F14F22"/>
    <w:rsid w:val="00F16104"/>
    <w:rsid w:val="00F16CF9"/>
    <w:rsid w:val="00F20B09"/>
    <w:rsid w:val="00F2149C"/>
    <w:rsid w:val="00F25216"/>
    <w:rsid w:val="00F3167E"/>
    <w:rsid w:val="00F3335E"/>
    <w:rsid w:val="00F33829"/>
    <w:rsid w:val="00F349E0"/>
    <w:rsid w:val="00F36BF0"/>
    <w:rsid w:val="00F40531"/>
    <w:rsid w:val="00F42F97"/>
    <w:rsid w:val="00F439B5"/>
    <w:rsid w:val="00F5087A"/>
    <w:rsid w:val="00F52E75"/>
    <w:rsid w:val="00F54BD0"/>
    <w:rsid w:val="00F54C75"/>
    <w:rsid w:val="00F57875"/>
    <w:rsid w:val="00F57DED"/>
    <w:rsid w:val="00F6058F"/>
    <w:rsid w:val="00F60A18"/>
    <w:rsid w:val="00F63F49"/>
    <w:rsid w:val="00F65837"/>
    <w:rsid w:val="00F713A4"/>
    <w:rsid w:val="00F72D00"/>
    <w:rsid w:val="00F7567C"/>
    <w:rsid w:val="00F76FC7"/>
    <w:rsid w:val="00F80B95"/>
    <w:rsid w:val="00F81150"/>
    <w:rsid w:val="00F833B7"/>
    <w:rsid w:val="00F839AB"/>
    <w:rsid w:val="00F83A22"/>
    <w:rsid w:val="00F84CF9"/>
    <w:rsid w:val="00F87C6C"/>
    <w:rsid w:val="00F87E38"/>
    <w:rsid w:val="00F91A73"/>
    <w:rsid w:val="00F97EA2"/>
    <w:rsid w:val="00FA1290"/>
    <w:rsid w:val="00FA155E"/>
    <w:rsid w:val="00FA2322"/>
    <w:rsid w:val="00FA31B9"/>
    <w:rsid w:val="00FA5102"/>
    <w:rsid w:val="00FB297F"/>
    <w:rsid w:val="00FB4B0C"/>
    <w:rsid w:val="00FC049B"/>
    <w:rsid w:val="00FC0D10"/>
    <w:rsid w:val="00FC1934"/>
    <w:rsid w:val="00FD2326"/>
    <w:rsid w:val="00FD7793"/>
    <w:rsid w:val="00FE38F0"/>
    <w:rsid w:val="00FE43A9"/>
    <w:rsid w:val="00FE6588"/>
    <w:rsid w:val="00FE69B1"/>
    <w:rsid w:val="00FE73F3"/>
    <w:rsid w:val="00FF11AC"/>
    <w:rsid w:val="00FF3F82"/>
    <w:rsid w:val="00FF41F3"/>
    <w:rsid w:val="00FF52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sz w:val="24"/>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eastAsia="Times New Roman" w:hAnsi="Times New Roman" w:cs="Times New Roman"/>
      <w:bCs/>
      <w:sz w:val="24"/>
      <w:szCs w:val="24"/>
      <w:lang w:val="es-MX" w:eastAsia="ar-SA"/>
    </w:rPr>
  </w:style>
  <w:style w:type="character" w:customStyle="1" w:styleId="TextoindependienteCar">
    <w:name w:val="Texto independiente Car"/>
    <w:basedOn w:val="Fuentedeprrafopredeter"/>
    <w:link w:val="Textoindependiente"/>
    <w:rsid w:val="00BD797F"/>
    <w:rPr>
      <w:rFonts w:ascii="Times New Roman" w:eastAsia="Times New Roman" w:hAnsi="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customStyle="1" w:styleId="Mencionar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customStyle="1" w:styleId="Mencinsinresolver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eastAsia="Calibri" w:hAnsi="Calibri" w:cs="Times New Roman"/>
      <w:lang w:val="es-PE"/>
    </w:rPr>
  </w:style>
  <w:style w:type="character" w:customStyle="1" w:styleId="SangradetextonormalCar">
    <w:name w:val="Sangría de texto normal Car"/>
    <w:basedOn w:val="Fuentedeprrafopredeter"/>
    <w:link w:val="Sangradetextonormal"/>
    <w:uiPriority w:val="99"/>
    <w:rsid w:val="00D22DC3"/>
    <w:rPr>
      <w:rFonts w:ascii="Calibri" w:eastAsia="Calibri" w:hAnsi="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84355"/>
  </w:style>
  <w:style w:type="paragraph" w:customStyle="1" w:styleId="Default">
    <w:name w:val="Default"/>
    <w:rsid w:val="00DB5079"/>
    <w:pPr>
      <w:autoSpaceDE w:val="0"/>
      <w:autoSpaceDN w:val="0"/>
      <w:adjustRightInd w:val="0"/>
      <w:spacing w:after="0" w:line="240" w:lineRule="auto"/>
    </w:pPr>
    <w:rPr>
      <w:rFonts w:ascii="Calibri" w:eastAsia="Times New Roman" w:hAnsi="Calibri" w:cs="Calibri"/>
      <w:color w:val="000000"/>
      <w:sz w:val="24"/>
      <w:szCs w:val="24"/>
      <w:lang w:val="es-PE" w:eastAsia="es-PE"/>
    </w:rPr>
  </w:style>
  <w:style w:type="character" w:styleId="Textoennegrita">
    <w:name w:val="Strong"/>
    <w:basedOn w:val="Fuentedeprrafopredeter"/>
    <w:uiPriority w:val="22"/>
    <w:qFormat/>
    <w:rsid w:val="000619A2"/>
    <w:rPr>
      <w:b/>
      <w:bCs w:val="0"/>
    </w:rPr>
  </w:style>
  <w:style w:type="character" w:styleId="Mencinsinresolver">
    <w:name w:val="Unresolved Mention"/>
    <w:basedOn w:val="Fuentedeprrafopredeter"/>
    <w:uiPriority w:val="99"/>
    <w:semiHidden/>
    <w:unhideWhenUsed/>
    <w:rsid w:val="00C4792C"/>
    <w:rPr>
      <w:color w:val="605E5C"/>
      <w:shd w:val="clear" w:color="auto" w:fill="E1DFDD"/>
    </w:rPr>
  </w:style>
  <w:style w:type="paragraph" w:styleId="Textonotapie">
    <w:name w:val="footnote text"/>
    <w:basedOn w:val="Normal"/>
    <w:link w:val="TextonotapieCar"/>
    <w:uiPriority w:val="99"/>
    <w:semiHidden/>
    <w:unhideWhenUsed/>
    <w:rsid w:val="002D4134"/>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2D4134"/>
    <w:rPr>
      <w:sz w:val="20"/>
      <w:szCs w:val="20"/>
    </w:rPr>
  </w:style>
  <w:style w:type="character" w:styleId="Refdenotaalpie">
    <w:name w:val="footnote reference"/>
    <w:uiPriority w:val="99"/>
    <w:semiHidden/>
    <w:unhideWhenUsed/>
    <w:rsid w:val="002D413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946110">
      <w:bodyDiv w:val="1"/>
      <w:marLeft w:val="0"/>
      <w:marRight w:val="0"/>
      <w:marTop w:val="0"/>
      <w:marBottom w:val="0"/>
      <w:divBdr>
        <w:top w:val="none" w:sz="0" w:space="0" w:color="auto"/>
        <w:left w:val="none" w:sz="0" w:space="0" w:color="auto"/>
        <w:bottom w:val="none" w:sz="0" w:space="0" w:color="auto"/>
        <w:right w:val="none" w:sz="0" w:space="0" w:color="auto"/>
      </w:divBdr>
    </w:div>
    <w:div w:id="46954666">
      <w:bodyDiv w:val="1"/>
      <w:marLeft w:val="0"/>
      <w:marRight w:val="0"/>
      <w:marTop w:val="0"/>
      <w:marBottom w:val="0"/>
      <w:divBdr>
        <w:top w:val="none" w:sz="0" w:space="0" w:color="auto"/>
        <w:left w:val="none" w:sz="0" w:space="0" w:color="auto"/>
        <w:bottom w:val="none" w:sz="0" w:space="0" w:color="auto"/>
        <w:right w:val="none" w:sz="0" w:space="0" w:color="auto"/>
      </w:divBdr>
    </w:div>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108161495">
      <w:bodyDiv w:val="1"/>
      <w:marLeft w:val="0"/>
      <w:marRight w:val="0"/>
      <w:marTop w:val="0"/>
      <w:marBottom w:val="0"/>
      <w:divBdr>
        <w:top w:val="none" w:sz="0" w:space="0" w:color="auto"/>
        <w:left w:val="none" w:sz="0" w:space="0" w:color="auto"/>
        <w:bottom w:val="none" w:sz="0" w:space="0" w:color="auto"/>
        <w:right w:val="none" w:sz="0" w:space="0" w:color="auto"/>
      </w:divBdr>
    </w:div>
    <w:div w:id="121046241">
      <w:bodyDiv w:val="1"/>
      <w:marLeft w:val="0"/>
      <w:marRight w:val="0"/>
      <w:marTop w:val="0"/>
      <w:marBottom w:val="0"/>
      <w:divBdr>
        <w:top w:val="none" w:sz="0" w:space="0" w:color="auto"/>
        <w:left w:val="none" w:sz="0" w:space="0" w:color="auto"/>
        <w:bottom w:val="none" w:sz="0" w:space="0" w:color="auto"/>
        <w:right w:val="none" w:sz="0" w:space="0" w:color="auto"/>
      </w:divBdr>
    </w:div>
    <w:div w:id="135146593">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185679924">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22913527">
      <w:bodyDiv w:val="1"/>
      <w:marLeft w:val="0"/>
      <w:marRight w:val="0"/>
      <w:marTop w:val="0"/>
      <w:marBottom w:val="0"/>
      <w:divBdr>
        <w:top w:val="none" w:sz="0" w:space="0" w:color="auto"/>
        <w:left w:val="none" w:sz="0" w:space="0" w:color="auto"/>
        <w:bottom w:val="none" w:sz="0" w:space="0" w:color="auto"/>
        <w:right w:val="none" w:sz="0" w:space="0" w:color="auto"/>
      </w:divBdr>
    </w:div>
    <w:div w:id="249243614">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281227790">
      <w:bodyDiv w:val="1"/>
      <w:marLeft w:val="0"/>
      <w:marRight w:val="0"/>
      <w:marTop w:val="0"/>
      <w:marBottom w:val="0"/>
      <w:divBdr>
        <w:top w:val="none" w:sz="0" w:space="0" w:color="auto"/>
        <w:left w:val="none" w:sz="0" w:space="0" w:color="auto"/>
        <w:bottom w:val="none" w:sz="0" w:space="0" w:color="auto"/>
        <w:right w:val="none" w:sz="0" w:space="0" w:color="auto"/>
      </w:divBdr>
    </w:div>
    <w:div w:id="286470139">
      <w:bodyDiv w:val="1"/>
      <w:marLeft w:val="0"/>
      <w:marRight w:val="0"/>
      <w:marTop w:val="0"/>
      <w:marBottom w:val="0"/>
      <w:divBdr>
        <w:top w:val="none" w:sz="0" w:space="0" w:color="auto"/>
        <w:left w:val="none" w:sz="0" w:space="0" w:color="auto"/>
        <w:bottom w:val="none" w:sz="0" w:space="0" w:color="auto"/>
        <w:right w:val="none" w:sz="0" w:space="0" w:color="auto"/>
      </w:divBdr>
    </w:div>
    <w:div w:id="329212063">
      <w:bodyDiv w:val="1"/>
      <w:marLeft w:val="0"/>
      <w:marRight w:val="0"/>
      <w:marTop w:val="0"/>
      <w:marBottom w:val="0"/>
      <w:divBdr>
        <w:top w:val="none" w:sz="0" w:space="0" w:color="auto"/>
        <w:left w:val="none" w:sz="0" w:space="0" w:color="auto"/>
        <w:bottom w:val="none" w:sz="0" w:space="0" w:color="auto"/>
        <w:right w:val="none" w:sz="0" w:space="0" w:color="auto"/>
      </w:divBdr>
    </w:div>
    <w:div w:id="342242791">
      <w:bodyDiv w:val="1"/>
      <w:marLeft w:val="0"/>
      <w:marRight w:val="0"/>
      <w:marTop w:val="0"/>
      <w:marBottom w:val="0"/>
      <w:divBdr>
        <w:top w:val="none" w:sz="0" w:space="0" w:color="auto"/>
        <w:left w:val="none" w:sz="0" w:space="0" w:color="auto"/>
        <w:bottom w:val="none" w:sz="0" w:space="0" w:color="auto"/>
        <w:right w:val="none" w:sz="0" w:space="0" w:color="auto"/>
      </w:divBdr>
    </w:div>
    <w:div w:id="351878448">
      <w:bodyDiv w:val="1"/>
      <w:marLeft w:val="0"/>
      <w:marRight w:val="0"/>
      <w:marTop w:val="0"/>
      <w:marBottom w:val="0"/>
      <w:divBdr>
        <w:top w:val="none" w:sz="0" w:space="0" w:color="auto"/>
        <w:left w:val="none" w:sz="0" w:space="0" w:color="auto"/>
        <w:bottom w:val="none" w:sz="0" w:space="0" w:color="auto"/>
        <w:right w:val="none" w:sz="0" w:space="0" w:color="auto"/>
      </w:divBdr>
    </w:div>
    <w:div w:id="354620456">
      <w:bodyDiv w:val="1"/>
      <w:marLeft w:val="0"/>
      <w:marRight w:val="0"/>
      <w:marTop w:val="0"/>
      <w:marBottom w:val="0"/>
      <w:divBdr>
        <w:top w:val="none" w:sz="0" w:space="0" w:color="auto"/>
        <w:left w:val="none" w:sz="0" w:space="0" w:color="auto"/>
        <w:bottom w:val="none" w:sz="0" w:space="0" w:color="auto"/>
        <w:right w:val="none" w:sz="0" w:space="0" w:color="auto"/>
      </w:divBdr>
    </w:div>
    <w:div w:id="379397887">
      <w:bodyDiv w:val="1"/>
      <w:marLeft w:val="0"/>
      <w:marRight w:val="0"/>
      <w:marTop w:val="0"/>
      <w:marBottom w:val="0"/>
      <w:divBdr>
        <w:top w:val="none" w:sz="0" w:space="0" w:color="auto"/>
        <w:left w:val="none" w:sz="0" w:space="0" w:color="auto"/>
        <w:bottom w:val="none" w:sz="0" w:space="0" w:color="auto"/>
        <w:right w:val="none" w:sz="0" w:space="0" w:color="auto"/>
      </w:divBdr>
    </w:div>
    <w:div w:id="394163024">
      <w:bodyDiv w:val="1"/>
      <w:marLeft w:val="0"/>
      <w:marRight w:val="0"/>
      <w:marTop w:val="0"/>
      <w:marBottom w:val="0"/>
      <w:divBdr>
        <w:top w:val="none" w:sz="0" w:space="0" w:color="auto"/>
        <w:left w:val="none" w:sz="0" w:space="0" w:color="auto"/>
        <w:bottom w:val="none" w:sz="0" w:space="0" w:color="auto"/>
        <w:right w:val="none" w:sz="0" w:space="0" w:color="auto"/>
      </w:divBdr>
    </w:div>
    <w:div w:id="411197189">
      <w:bodyDiv w:val="1"/>
      <w:marLeft w:val="0"/>
      <w:marRight w:val="0"/>
      <w:marTop w:val="0"/>
      <w:marBottom w:val="0"/>
      <w:divBdr>
        <w:top w:val="none" w:sz="0" w:space="0" w:color="auto"/>
        <w:left w:val="none" w:sz="0" w:space="0" w:color="auto"/>
        <w:bottom w:val="none" w:sz="0" w:space="0" w:color="auto"/>
        <w:right w:val="none" w:sz="0" w:space="0" w:color="auto"/>
      </w:divBdr>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23843484">
      <w:bodyDiv w:val="1"/>
      <w:marLeft w:val="0"/>
      <w:marRight w:val="0"/>
      <w:marTop w:val="0"/>
      <w:marBottom w:val="0"/>
      <w:divBdr>
        <w:top w:val="none" w:sz="0" w:space="0" w:color="auto"/>
        <w:left w:val="none" w:sz="0" w:space="0" w:color="auto"/>
        <w:bottom w:val="none" w:sz="0" w:space="0" w:color="auto"/>
        <w:right w:val="none" w:sz="0" w:space="0" w:color="auto"/>
      </w:divBdr>
    </w:div>
    <w:div w:id="439423685">
      <w:bodyDiv w:val="1"/>
      <w:marLeft w:val="0"/>
      <w:marRight w:val="0"/>
      <w:marTop w:val="0"/>
      <w:marBottom w:val="0"/>
      <w:divBdr>
        <w:top w:val="none" w:sz="0" w:space="0" w:color="auto"/>
        <w:left w:val="none" w:sz="0" w:space="0" w:color="auto"/>
        <w:bottom w:val="none" w:sz="0" w:space="0" w:color="auto"/>
        <w:right w:val="none" w:sz="0" w:space="0" w:color="auto"/>
      </w:divBdr>
    </w:div>
    <w:div w:id="458915126">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477263286">
      <w:bodyDiv w:val="1"/>
      <w:marLeft w:val="0"/>
      <w:marRight w:val="0"/>
      <w:marTop w:val="0"/>
      <w:marBottom w:val="0"/>
      <w:divBdr>
        <w:top w:val="none" w:sz="0" w:space="0" w:color="auto"/>
        <w:left w:val="none" w:sz="0" w:space="0" w:color="auto"/>
        <w:bottom w:val="none" w:sz="0" w:space="0" w:color="auto"/>
        <w:right w:val="none" w:sz="0" w:space="0" w:color="auto"/>
      </w:divBdr>
    </w:div>
    <w:div w:id="481192998">
      <w:bodyDiv w:val="1"/>
      <w:marLeft w:val="0"/>
      <w:marRight w:val="0"/>
      <w:marTop w:val="0"/>
      <w:marBottom w:val="0"/>
      <w:divBdr>
        <w:top w:val="none" w:sz="0" w:space="0" w:color="auto"/>
        <w:left w:val="none" w:sz="0" w:space="0" w:color="auto"/>
        <w:bottom w:val="none" w:sz="0" w:space="0" w:color="auto"/>
        <w:right w:val="none" w:sz="0" w:space="0" w:color="auto"/>
      </w:divBdr>
    </w:div>
    <w:div w:id="481625886">
      <w:bodyDiv w:val="1"/>
      <w:marLeft w:val="0"/>
      <w:marRight w:val="0"/>
      <w:marTop w:val="0"/>
      <w:marBottom w:val="0"/>
      <w:divBdr>
        <w:top w:val="none" w:sz="0" w:space="0" w:color="auto"/>
        <w:left w:val="none" w:sz="0" w:space="0" w:color="auto"/>
        <w:bottom w:val="none" w:sz="0" w:space="0" w:color="auto"/>
        <w:right w:val="none" w:sz="0" w:space="0" w:color="auto"/>
      </w:divBdr>
    </w:div>
    <w:div w:id="495414249">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13808458">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561409673">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18533413">
      <w:bodyDiv w:val="1"/>
      <w:marLeft w:val="0"/>
      <w:marRight w:val="0"/>
      <w:marTop w:val="0"/>
      <w:marBottom w:val="0"/>
      <w:divBdr>
        <w:top w:val="none" w:sz="0" w:space="0" w:color="auto"/>
        <w:left w:val="none" w:sz="0" w:space="0" w:color="auto"/>
        <w:bottom w:val="none" w:sz="0" w:space="0" w:color="auto"/>
        <w:right w:val="none" w:sz="0" w:space="0" w:color="auto"/>
      </w:divBdr>
    </w:div>
    <w:div w:id="628051884">
      <w:bodyDiv w:val="1"/>
      <w:marLeft w:val="0"/>
      <w:marRight w:val="0"/>
      <w:marTop w:val="0"/>
      <w:marBottom w:val="0"/>
      <w:divBdr>
        <w:top w:val="none" w:sz="0" w:space="0" w:color="auto"/>
        <w:left w:val="none" w:sz="0" w:space="0" w:color="auto"/>
        <w:bottom w:val="none" w:sz="0" w:space="0" w:color="auto"/>
        <w:right w:val="none" w:sz="0" w:space="0" w:color="auto"/>
      </w:divBdr>
    </w:div>
    <w:div w:id="645400963">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56375549">
      <w:bodyDiv w:val="1"/>
      <w:marLeft w:val="0"/>
      <w:marRight w:val="0"/>
      <w:marTop w:val="0"/>
      <w:marBottom w:val="0"/>
      <w:divBdr>
        <w:top w:val="none" w:sz="0" w:space="0" w:color="auto"/>
        <w:left w:val="none" w:sz="0" w:space="0" w:color="auto"/>
        <w:bottom w:val="none" w:sz="0" w:space="0" w:color="auto"/>
        <w:right w:val="none" w:sz="0" w:space="0" w:color="auto"/>
      </w:divBdr>
    </w:div>
    <w:div w:id="67353364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035850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705714128">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8839765">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923220120">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985235444">
      <w:bodyDiv w:val="1"/>
      <w:marLeft w:val="0"/>
      <w:marRight w:val="0"/>
      <w:marTop w:val="0"/>
      <w:marBottom w:val="0"/>
      <w:divBdr>
        <w:top w:val="none" w:sz="0" w:space="0" w:color="auto"/>
        <w:left w:val="none" w:sz="0" w:space="0" w:color="auto"/>
        <w:bottom w:val="none" w:sz="0" w:space="0" w:color="auto"/>
        <w:right w:val="none" w:sz="0" w:space="0" w:color="auto"/>
      </w:divBdr>
    </w:div>
    <w:div w:id="1010909560">
      <w:bodyDiv w:val="1"/>
      <w:marLeft w:val="0"/>
      <w:marRight w:val="0"/>
      <w:marTop w:val="0"/>
      <w:marBottom w:val="0"/>
      <w:divBdr>
        <w:top w:val="none" w:sz="0" w:space="0" w:color="auto"/>
        <w:left w:val="none" w:sz="0" w:space="0" w:color="auto"/>
        <w:bottom w:val="none" w:sz="0" w:space="0" w:color="auto"/>
        <w:right w:val="none" w:sz="0" w:space="0" w:color="auto"/>
      </w:divBdr>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086421270">
      <w:bodyDiv w:val="1"/>
      <w:marLeft w:val="0"/>
      <w:marRight w:val="0"/>
      <w:marTop w:val="0"/>
      <w:marBottom w:val="0"/>
      <w:divBdr>
        <w:top w:val="none" w:sz="0" w:space="0" w:color="auto"/>
        <w:left w:val="none" w:sz="0" w:space="0" w:color="auto"/>
        <w:bottom w:val="none" w:sz="0" w:space="0" w:color="auto"/>
        <w:right w:val="none" w:sz="0" w:space="0" w:color="auto"/>
      </w:divBdr>
    </w:div>
    <w:div w:id="1119689758">
      <w:bodyDiv w:val="1"/>
      <w:marLeft w:val="0"/>
      <w:marRight w:val="0"/>
      <w:marTop w:val="0"/>
      <w:marBottom w:val="0"/>
      <w:divBdr>
        <w:top w:val="none" w:sz="0" w:space="0" w:color="auto"/>
        <w:left w:val="none" w:sz="0" w:space="0" w:color="auto"/>
        <w:bottom w:val="none" w:sz="0" w:space="0" w:color="auto"/>
        <w:right w:val="none" w:sz="0" w:space="0" w:color="auto"/>
      </w:divBdr>
    </w:div>
    <w:div w:id="1125807211">
      <w:bodyDiv w:val="1"/>
      <w:marLeft w:val="0"/>
      <w:marRight w:val="0"/>
      <w:marTop w:val="0"/>
      <w:marBottom w:val="0"/>
      <w:divBdr>
        <w:top w:val="none" w:sz="0" w:space="0" w:color="auto"/>
        <w:left w:val="none" w:sz="0" w:space="0" w:color="auto"/>
        <w:bottom w:val="none" w:sz="0" w:space="0" w:color="auto"/>
        <w:right w:val="none" w:sz="0" w:space="0" w:color="auto"/>
      </w:divBdr>
    </w:div>
    <w:div w:id="1142314150">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158378301">
      <w:bodyDiv w:val="1"/>
      <w:marLeft w:val="0"/>
      <w:marRight w:val="0"/>
      <w:marTop w:val="0"/>
      <w:marBottom w:val="0"/>
      <w:divBdr>
        <w:top w:val="none" w:sz="0" w:space="0" w:color="auto"/>
        <w:left w:val="none" w:sz="0" w:space="0" w:color="auto"/>
        <w:bottom w:val="none" w:sz="0" w:space="0" w:color="auto"/>
        <w:right w:val="none" w:sz="0" w:space="0" w:color="auto"/>
      </w:divBdr>
    </w:div>
    <w:div w:id="1190872505">
      <w:bodyDiv w:val="1"/>
      <w:marLeft w:val="0"/>
      <w:marRight w:val="0"/>
      <w:marTop w:val="0"/>
      <w:marBottom w:val="0"/>
      <w:divBdr>
        <w:top w:val="none" w:sz="0" w:space="0" w:color="auto"/>
        <w:left w:val="none" w:sz="0" w:space="0" w:color="auto"/>
        <w:bottom w:val="none" w:sz="0" w:space="0" w:color="auto"/>
        <w:right w:val="none" w:sz="0" w:space="0" w:color="auto"/>
      </w:divBdr>
    </w:div>
    <w:div w:id="1195729959">
      <w:bodyDiv w:val="1"/>
      <w:marLeft w:val="0"/>
      <w:marRight w:val="0"/>
      <w:marTop w:val="0"/>
      <w:marBottom w:val="0"/>
      <w:divBdr>
        <w:top w:val="none" w:sz="0" w:space="0" w:color="auto"/>
        <w:left w:val="none" w:sz="0" w:space="0" w:color="auto"/>
        <w:bottom w:val="none" w:sz="0" w:space="0" w:color="auto"/>
        <w:right w:val="none" w:sz="0" w:space="0" w:color="auto"/>
      </w:divBdr>
    </w:div>
    <w:div w:id="1196693033">
      <w:bodyDiv w:val="1"/>
      <w:marLeft w:val="0"/>
      <w:marRight w:val="0"/>
      <w:marTop w:val="0"/>
      <w:marBottom w:val="0"/>
      <w:divBdr>
        <w:top w:val="none" w:sz="0" w:space="0" w:color="auto"/>
        <w:left w:val="none" w:sz="0" w:space="0" w:color="auto"/>
        <w:bottom w:val="none" w:sz="0" w:space="0" w:color="auto"/>
        <w:right w:val="none" w:sz="0" w:space="0" w:color="auto"/>
      </w:divBdr>
    </w:div>
    <w:div w:id="1200125400">
      <w:bodyDiv w:val="1"/>
      <w:marLeft w:val="0"/>
      <w:marRight w:val="0"/>
      <w:marTop w:val="0"/>
      <w:marBottom w:val="0"/>
      <w:divBdr>
        <w:top w:val="none" w:sz="0" w:space="0" w:color="auto"/>
        <w:left w:val="none" w:sz="0" w:space="0" w:color="auto"/>
        <w:bottom w:val="none" w:sz="0" w:space="0" w:color="auto"/>
        <w:right w:val="none" w:sz="0" w:space="0" w:color="auto"/>
      </w:divBdr>
    </w:div>
    <w:div w:id="1210268661">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250895356">
      <w:bodyDiv w:val="1"/>
      <w:marLeft w:val="0"/>
      <w:marRight w:val="0"/>
      <w:marTop w:val="0"/>
      <w:marBottom w:val="0"/>
      <w:divBdr>
        <w:top w:val="none" w:sz="0" w:space="0" w:color="auto"/>
        <w:left w:val="none" w:sz="0" w:space="0" w:color="auto"/>
        <w:bottom w:val="none" w:sz="0" w:space="0" w:color="auto"/>
        <w:right w:val="none" w:sz="0" w:space="0" w:color="auto"/>
      </w:divBdr>
    </w:div>
    <w:div w:id="1253126492">
      <w:bodyDiv w:val="1"/>
      <w:marLeft w:val="0"/>
      <w:marRight w:val="0"/>
      <w:marTop w:val="0"/>
      <w:marBottom w:val="0"/>
      <w:divBdr>
        <w:top w:val="none" w:sz="0" w:space="0" w:color="auto"/>
        <w:left w:val="none" w:sz="0" w:space="0" w:color="auto"/>
        <w:bottom w:val="none" w:sz="0" w:space="0" w:color="auto"/>
        <w:right w:val="none" w:sz="0" w:space="0" w:color="auto"/>
      </w:divBdr>
    </w:div>
    <w:div w:id="1276792237">
      <w:bodyDiv w:val="1"/>
      <w:marLeft w:val="0"/>
      <w:marRight w:val="0"/>
      <w:marTop w:val="0"/>
      <w:marBottom w:val="0"/>
      <w:divBdr>
        <w:top w:val="none" w:sz="0" w:space="0" w:color="auto"/>
        <w:left w:val="none" w:sz="0" w:space="0" w:color="auto"/>
        <w:bottom w:val="none" w:sz="0" w:space="0" w:color="auto"/>
        <w:right w:val="none" w:sz="0" w:space="0" w:color="auto"/>
      </w:divBdr>
    </w:div>
    <w:div w:id="1286736813">
      <w:bodyDiv w:val="1"/>
      <w:marLeft w:val="0"/>
      <w:marRight w:val="0"/>
      <w:marTop w:val="0"/>
      <w:marBottom w:val="0"/>
      <w:divBdr>
        <w:top w:val="none" w:sz="0" w:space="0" w:color="auto"/>
        <w:left w:val="none" w:sz="0" w:space="0" w:color="auto"/>
        <w:bottom w:val="none" w:sz="0" w:space="0" w:color="auto"/>
        <w:right w:val="none" w:sz="0" w:space="0" w:color="auto"/>
      </w:divBdr>
    </w:div>
    <w:div w:id="1320230711">
      <w:bodyDiv w:val="1"/>
      <w:marLeft w:val="0"/>
      <w:marRight w:val="0"/>
      <w:marTop w:val="0"/>
      <w:marBottom w:val="0"/>
      <w:divBdr>
        <w:top w:val="none" w:sz="0" w:space="0" w:color="auto"/>
        <w:left w:val="none" w:sz="0" w:space="0" w:color="auto"/>
        <w:bottom w:val="none" w:sz="0" w:space="0" w:color="auto"/>
        <w:right w:val="none" w:sz="0" w:space="0" w:color="auto"/>
      </w:divBdr>
    </w:div>
    <w:div w:id="1328561092">
      <w:bodyDiv w:val="1"/>
      <w:marLeft w:val="0"/>
      <w:marRight w:val="0"/>
      <w:marTop w:val="0"/>
      <w:marBottom w:val="0"/>
      <w:divBdr>
        <w:top w:val="none" w:sz="0" w:space="0" w:color="auto"/>
        <w:left w:val="none" w:sz="0" w:space="0" w:color="auto"/>
        <w:bottom w:val="none" w:sz="0" w:space="0" w:color="auto"/>
        <w:right w:val="none" w:sz="0" w:space="0" w:color="auto"/>
      </w:divBdr>
    </w:div>
    <w:div w:id="1334801563">
      <w:bodyDiv w:val="1"/>
      <w:marLeft w:val="0"/>
      <w:marRight w:val="0"/>
      <w:marTop w:val="0"/>
      <w:marBottom w:val="0"/>
      <w:divBdr>
        <w:top w:val="none" w:sz="0" w:space="0" w:color="auto"/>
        <w:left w:val="none" w:sz="0" w:space="0" w:color="auto"/>
        <w:bottom w:val="none" w:sz="0" w:space="0" w:color="auto"/>
        <w:right w:val="none" w:sz="0" w:space="0" w:color="auto"/>
      </w:divBdr>
    </w:div>
    <w:div w:id="1349212580">
      <w:bodyDiv w:val="1"/>
      <w:marLeft w:val="0"/>
      <w:marRight w:val="0"/>
      <w:marTop w:val="0"/>
      <w:marBottom w:val="0"/>
      <w:divBdr>
        <w:top w:val="none" w:sz="0" w:space="0" w:color="auto"/>
        <w:left w:val="none" w:sz="0" w:space="0" w:color="auto"/>
        <w:bottom w:val="none" w:sz="0" w:space="0" w:color="auto"/>
        <w:right w:val="none" w:sz="0" w:space="0" w:color="auto"/>
      </w:divBdr>
    </w:div>
    <w:div w:id="1368874357">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418752055">
      <w:bodyDiv w:val="1"/>
      <w:marLeft w:val="0"/>
      <w:marRight w:val="0"/>
      <w:marTop w:val="0"/>
      <w:marBottom w:val="0"/>
      <w:divBdr>
        <w:top w:val="none" w:sz="0" w:space="0" w:color="auto"/>
        <w:left w:val="none" w:sz="0" w:space="0" w:color="auto"/>
        <w:bottom w:val="none" w:sz="0" w:space="0" w:color="auto"/>
        <w:right w:val="none" w:sz="0" w:space="0" w:color="auto"/>
      </w:divBdr>
    </w:div>
    <w:div w:id="1425955633">
      <w:bodyDiv w:val="1"/>
      <w:marLeft w:val="0"/>
      <w:marRight w:val="0"/>
      <w:marTop w:val="0"/>
      <w:marBottom w:val="0"/>
      <w:divBdr>
        <w:top w:val="none" w:sz="0" w:space="0" w:color="auto"/>
        <w:left w:val="none" w:sz="0" w:space="0" w:color="auto"/>
        <w:bottom w:val="none" w:sz="0" w:space="0" w:color="auto"/>
        <w:right w:val="none" w:sz="0" w:space="0" w:color="auto"/>
      </w:divBdr>
    </w:div>
    <w:div w:id="1458374430">
      <w:bodyDiv w:val="1"/>
      <w:marLeft w:val="0"/>
      <w:marRight w:val="0"/>
      <w:marTop w:val="0"/>
      <w:marBottom w:val="0"/>
      <w:divBdr>
        <w:top w:val="none" w:sz="0" w:space="0" w:color="auto"/>
        <w:left w:val="none" w:sz="0" w:space="0" w:color="auto"/>
        <w:bottom w:val="none" w:sz="0" w:space="0" w:color="auto"/>
        <w:right w:val="none" w:sz="0" w:space="0" w:color="auto"/>
      </w:divBdr>
    </w:div>
    <w:div w:id="1477986928">
      <w:bodyDiv w:val="1"/>
      <w:marLeft w:val="0"/>
      <w:marRight w:val="0"/>
      <w:marTop w:val="0"/>
      <w:marBottom w:val="0"/>
      <w:divBdr>
        <w:top w:val="none" w:sz="0" w:space="0" w:color="auto"/>
        <w:left w:val="none" w:sz="0" w:space="0" w:color="auto"/>
        <w:bottom w:val="none" w:sz="0" w:space="0" w:color="auto"/>
        <w:right w:val="none" w:sz="0" w:space="0" w:color="auto"/>
      </w:divBdr>
    </w:div>
    <w:div w:id="1510097664">
      <w:bodyDiv w:val="1"/>
      <w:marLeft w:val="0"/>
      <w:marRight w:val="0"/>
      <w:marTop w:val="0"/>
      <w:marBottom w:val="0"/>
      <w:divBdr>
        <w:top w:val="none" w:sz="0" w:space="0" w:color="auto"/>
        <w:left w:val="none" w:sz="0" w:space="0" w:color="auto"/>
        <w:bottom w:val="none" w:sz="0" w:space="0" w:color="auto"/>
        <w:right w:val="none" w:sz="0" w:space="0" w:color="auto"/>
      </w:divBdr>
    </w:div>
    <w:div w:id="1534149003">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06885158">
      <w:bodyDiv w:val="1"/>
      <w:marLeft w:val="0"/>
      <w:marRight w:val="0"/>
      <w:marTop w:val="0"/>
      <w:marBottom w:val="0"/>
      <w:divBdr>
        <w:top w:val="none" w:sz="0" w:space="0" w:color="auto"/>
        <w:left w:val="none" w:sz="0" w:space="0" w:color="auto"/>
        <w:bottom w:val="none" w:sz="0" w:space="0" w:color="auto"/>
        <w:right w:val="none" w:sz="0" w:space="0" w:color="auto"/>
      </w:divBdr>
    </w:div>
    <w:div w:id="1614676465">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80351964">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695764239">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77362610">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829974055">
      <w:bodyDiv w:val="1"/>
      <w:marLeft w:val="0"/>
      <w:marRight w:val="0"/>
      <w:marTop w:val="0"/>
      <w:marBottom w:val="0"/>
      <w:divBdr>
        <w:top w:val="none" w:sz="0" w:space="0" w:color="auto"/>
        <w:left w:val="none" w:sz="0" w:space="0" w:color="auto"/>
        <w:bottom w:val="none" w:sz="0" w:space="0" w:color="auto"/>
        <w:right w:val="none" w:sz="0" w:space="0" w:color="auto"/>
      </w:divBdr>
    </w:div>
    <w:div w:id="1837651156">
      <w:bodyDiv w:val="1"/>
      <w:marLeft w:val="0"/>
      <w:marRight w:val="0"/>
      <w:marTop w:val="0"/>
      <w:marBottom w:val="0"/>
      <w:divBdr>
        <w:top w:val="none" w:sz="0" w:space="0" w:color="auto"/>
        <w:left w:val="none" w:sz="0" w:space="0" w:color="auto"/>
        <w:bottom w:val="none" w:sz="0" w:space="0" w:color="auto"/>
        <w:right w:val="none" w:sz="0" w:space="0" w:color="auto"/>
      </w:divBdr>
    </w:div>
    <w:div w:id="1867136076">
      <w:bodyDiv w:val="1"/>
      <w:marLeft w:val="0"/>
      <w:marRight w:val="0"/>
      <w:marTop w:val="0"/>
      <w:marBottom w:val="0"/>
      <w:divBdr>
        <w:top w:val="none" w:sz="0" w:space="0" w:color="auto"/>
        <w:left w:val="none" w:sz="0" w:space="0" w:color="auto"/>
        <w:bottom w:val="none" w:sz="0" w:space="0" w:color="auto"/>
        <w:right w:val="none" w:sz="0" w:space="0" w:color="auto"/>
      </w:divBdr>
    </w:div>
    <w:div w:id="1876845505">
      <w:bodyDiv w:val="1"/>
      <w:marLeft w:val="0"/>
      <w:marRight w:val="0"/>
      <w:marTop w:val="0"/>
      <w:marBottom w:val="0"/>
      <w:divBdr>
        <w:top w:val="none" w:sz="0" w:space="0" w:color="auto"/>
        <w:left w:val="none" w:sz="0" w:space="0" w:color="auto"/>
        <w:bottom w:val="none" w:sz="0" w:space="0" w:color="auto"/>
        <w:right w:val="none" w:sz="0" w:space="0" w:color="auto"/>
      </w:divBdr>
    </w:div>
    <w:div w:id="1919561283">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1969776946">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1326389">
      <w:bodyDiv w:val="1"/>
      <w:marLeft w:val="0"/>
      <w:marRight w:val="0"/>
      <w:marTop w:val="0"/>
      <w:marBottom w:val="0"/>
      <w:divBdr>
        <w:top w:val="none" w:sz="0" w:space="0" w:color="auto"/>
        <w:left w:val="none" w:sz="0" w:space="0" w:color="auto"/>
        <w:bottom w:val="none" w:sz="0" w:space="0" w:color="auto"/>
        <w:right w:val="none" w:sz="0" w:space="0" w:color="auto"/>
      </w:divBdr>
    </w:div>
    <w:div w:id="2014529913">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42313526">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1655921">
      <w:bodyDiv w:val="1"/>
      <w:marLeft w:val="0"/>
      <w:marRight w:val="0"/>
      <w:marTop w:val="0"/>
      <w:marBottom w:val="0"/>
      <w:divBdr>
        <w:top w:val="none" w:sz="0" w:space="0" w:color="auto"/>
        <w:left w:val="none" w:sz="0" w:space="0" w:color="auto"/>
        <w:bottom w:val="none" w:sz="0" w:space="0" w:color="auto"/>
        <w:right w:val="none" w:sz="0" w:space="0" w:color="auto"/>
      </w:divBdr>
    </w:div>
    <w:div w:id="2101675518">
      <w:bodyDiv w:val="1"/>
      <w:marLeft w:val="0"/>
      <w:marRight w:val="0"/>
      <w:marTop w:val="0"/>
      <w:marBottom w:val="0"/>
      <w:divBdr>
        <w:top w:val="none" w:sz="0" w:space="0" w:color="auto"/>
        <w:left w:val="none" w:sz="0" w:space="0" w:color="auto"/>
        <w:bottom w:val="none" w:sz="0" w:space="0" w:color="auto"/>
        <w:right w:val="none" w:sz="0" w:space="0" w:color="auto"/>
      </w:divBdr>
    </w:div>
    <w:div w:id="2105607157">
      <w:bodyDiv w:val="1"/>
      <w:marLeft w:val="0"/>
      <w:marRight w:val="0"/>
      <w:marTop w:val="0"/>
      <w:marBottom w:val="0"/>
      <w:divBdr>
        <w:top w:val="none" w:sz="0" w:space="0" w:color="auto"/>
        <w:left w:val="none" w:sz="0" w:space="0" w:color="auto"/>
        <w:bottom w:val="none" w:sz="0" w:space="0" w:color="auto"/>
        <w:right w:val="none" w:sz="0" w:space="0" w:color="auto"/>
      </w:divBdr>
    </w:div>
    <w:div w:id="2119062663">
      <w:bodyDiv w:val="1"/>
      <w:marLeft w:val="0"/>
      <w:marRight w:val="0"/>
      <w:marTop w:val="0"/>
      <w:marBottom w:val="0"/>
      <w:divBdr>
        <w:top w:val="none" w:sz="0" w:space="0" w:color="auto"/>
        <w:left w:val="none" w:sz="0" w:space="0" w:color="auto"/>
        <w:bottom w:val="none" w:sz="0" w:space="0" w:color="auto"/>
        <w:right w:val="none" w:sz="0" w:space="0" w:color="auto"/>
      </w:divBdr>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 w:id="2144033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52121C32-D8B5-438C-8477-36C0305A523A}"/>
</file>

<file path=customXml/itemProps3.xml><?xml version="1.0" encoding="utf-8"?>
<ds:datastoreItem xmlns:ds="http://schemas.openxmlformats.org/officeDocument/2006/customXml" ds:itemID="{00AC831A-82CA-4A0C-B33D-8D5133DA34F1}"/>
</file>

<file path=customXml/itemProps4.xml><?xml version="1.0" encoding="utf-8"?>
<ds:datastoreItem xmlns:ds="http://schemas.openxmlformats.org/officeDocument/2006/customXml" ds:itemID="{922EFD37-FA3F-45C4-B410-4487AF7265A7}"/>
</file>

<file path=docProps/app.xml><?xml version="1.0" encoding="utf-8"?>
<Properties xmlns="http://schemas.openxmlformats.org/officeDocument/2006/extended-properties" xmlns:vt="http://schemas.openxmlformats.org/officeDocument/2006/docPropsVTypes">
  <Template>Normal</Template>
  <TotalTime>349</TotalTime>
  <Pages>4</Pages>
  <Words>1880</Words>
  <Characters>10344</Characters>
  <Application>Microsoft Office Word</Application>
  <DocSecurity>0</DocSecurity>
  <Lines>86</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Alicia Martín</cp:lastModifiedBy>
  <cp:revision>394</cp:revision>
  <cp:lastPrinted>2025-07-01T15:41:00Z</cp:lastPrinted>
  <dcterms:created xsi:type="dcterms:W3CDTF">2023-02-14T22:37:00Z</dcterms:created>
  <dcterms:modified xsi:type="dcterms:W3CDTF">2025-07-01T15:41:00Z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