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7A07D137" w:rsidR="005A2497" w:rsidRPr="00657814" w:rsidRDefault="00201C0D" w:rsidP="00657814">
      <w:pPr>
        <w:spacing w:after="0" w:line="240" w:lineRule="auto"/>
        <w:jc w:val="center"/>
        <w:rPr>
          <w:rFonts w:ascii="Times New Roman" w:hAnsi="Times New Roman" w:cs="Times New Roman"/>
          <w:b/>
          <w:sz w:val="24"/>
          <w:szCs w:val="24"/>
          <w:lang w:val="es-PE" w:eastAsia="ar-SA"/>
        </w:rPr>
      </w:pPr>
      <w:r w:rsidRPr="00657814">
        <w:rPr>
          <w:rFonts w:ascii="Times New Roman" w:hAnsi="Times New Roman" w:cs="Times New Roman"/>
          <w:b/>
          <w:sz w:val="24"/>
          <w:szCs w:val="24"/>
          <w:lang w:val="es-PE" w:eastAsia="ar-SA"/>
        </w:rPr>
        <w:t xml:space="preserve">RESOLUCIÓN DE RECURSO IMPUGNATIVO </w:t>
      </w:r>
      <w:r w:rsidR="00707C99" w:rsidRPr="00657814">
        <w:rPr>
          <w:rFonts w:ascii="Times New Roman" w:hAnsi="Times New Roman" w:cs="Times New Roman"/>
          <w:b/>
          <w:sz w:val="24"/>
          <w:szCs w:val="24"/>
          <w:lang w:val="es-PE" w:eastAsia="ar-SA"/>
        </w:rPr>
        <w:t xml:space="preserve">N° </w:t>
      </w:r>
      <w:r w:rsidR="00516293" w:rsidRPr="00657814">
        <w:rPr>
          <w:rFonts w:ascii="Times New Roman" w:hAnsi="Times New Roman" w:cs="Times New Roman"/>
          <w:b/>
          <w:sz w:val="24"/>
          <w:szCs w:val="24"/>
          <w:lang w:val="es-PE" w:eastAsia="ar-SA"/>
        </w:rPr>
        <w:t>0</w:t>
      </w:r>
      <w:r w:rsidR="000C321D" w:rsidRPr="00657814">
        <w:rPr>
          <w:rFonts w:ascii="Times New Roman" w:hAnsi="Times New Roman" w:cs="Times New Roman"/>
          <w:b/>
          <w:sz w:val="24"/>
          <w:szCs w:val="24"/>
          <w:lang w:val="es-PE" w:eastAsia="ar-SA"/>
        </w:rPr>
        <w:t>3</w:t>
      </w:r>
      <w:r w:rsidR="003748C6">
        <w:rPr>
          <w:rFonts w:ascii="Times New Roman" w:hAnsi="Times New Roman" w:cs="Times New Roman"/>
          <w:b/>
          <w:sz w:val="24"/>
          <w:szCs w:val="24"/>
          <w:lang w:val="es-PE" w:eastAsia="ar-SA"/>
        </w:rPr>
        <w:t>5</w:t>
      </w:r>
      <w:r w:rsidR="00C671F5" w:rsidRPr="00657814">
        <w:rPr>
          <w:rFonts w:ascii="Times New Roman" w:hAnsi="Times New Roman" w:cs="Times New Roman"/>
          <w:b/>
          <w:sz w:val="24"/>
          <w:szCs w:val="24"/>
          <w:lang w:val="es-PE" w:eastAsia="ar-SA"/>
        </w:rPr>
        <w:t>/2</w:t>
      </w:r>
      <w:r w:rsidR="00A74F96" w:rsidRPr="00657814">
        <w:rPr>
          <w:rFonts w:ascii="Times New Roman" w:hAnsi="Times New Roman" w:cs="Times New Roman"/>
          <w:b/>
          <w:sz w:val="24"/>
          <w:szCs w:val="24"/>
          <w:lang w:val="es-PE" w:eastAsia="ar-SA"/>
        </w:rPr>
        <w:t>5</w:t>
      </w:r>
    </w:p>
    <w:p w14:paraId="7EB10DC5" w14:textId="77777777" w:rsidR="003F4500" w:rsidRPr="003F4500" w:rsidRDefault="003F4500" w:rsidP="003F4500">
      <w:pPr>
        <w:spacing w:line="240" w:lineRule="auto"/>
        <w:jc w:val="right"/>
        <w:rPr>
          <w:rFonts w:ascii="Times New Roman" w:eastAsia="Arial Unicode MS" w:hAnsi="Times New Roman" w:cs="Times New Roman"/>
          <w:bCs/>
          <w:sz w:val="24"/>
          <w:szCs w:val="24"/>
          <w:lang w:val="es-MX" w:eastAsia="ar-SA"/>
        </w:rPr>
      </w:pPr>
    </w:p>
    <w:p w14:paraId="696A3AB8" w14:textId="77777777" w:rsidR="003F4500" w:rsidRPr="003F4500" w:rsidRDefault="003F4500" w:rsidP="003F4500">
      <w:pPr>
        <w:spacing w:line="240" w:lineRule="auto"/>
        <w:jc w:val="both"/>
        <w:rPr>
          <w:rFonts w:ascii="Times New Roman" w:eastAsia="Arial Unicode MS" w:hAnsi="Times New Roman" w:cs="Times New Roman"/>
          <w:b/>
          <w:sz w:val="24"/>
          <w:szCs w:val="24"/>
          <w:lang w:val="es-MX" w:eastAsia="ar-SA"/>
        </w:rPr>
      </w:pPr>
      <w:r w:rsidRPr="003F4500">
        <w:rPr>
          <w:rFonts w:ascii="Times New Roman" w:eastAsia="Arial Unicode MS" w:hAnsi="Times New Roman" w:cs="Times New Roman"/>
          <w:b/>
          <w:sz w:val="24"/>
          <w:szCs w:val="24"/>
          <w:lang w:val="es-MX" w:eastAsia="ar-SA"/>
        </w:rPr>
        <w:t>VISTOS:</w:t>
      </w:r>
    </w:p>
    <w:p w14:paraId="75BAD052" w14:textId="77777777" w:rsidR="003F4500" w:rsidRPr="003F4500" w:rsidRDefault="003F4500" w:rsidP="003F450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El Recurso de Impugnación presentado el 11 de junio de 2024 por don …………………, representado por Elio Nestor Ferreyra Avila, respecto de la Resolución Nro. 077/25 de fecha 30 de mayo de 2025, expedida por esta Defensoría del Asegurado (DEFASEG), conforme a la cual se declaró INFUNDADA la reclamación interpuesta contra ………………… (…………………) respecto de la póliza de seguro de accidentes personales No. ………………… contratada a través de Essalud;  </w:t>
      </w:r>
    </w:p>
    <w:bookmarkEnd w:id="0"/>
    <w:p w14:paraId="3FD1B2E2" w14:textId="77777777" w:rsidR="003F4500" w:rsidRPr="003F4500" w:rsidRDefault="003F4500" w:rsidP="003F4500">
      <w:pPr>
        <w:spacing w:line="240" w:lineRule="auto"/>
        <w:jc w:val="both"/>
        <w:rPr>
          <w:rFonts w:ascii="Times New Roman" w:eastAsia="Arial Unicode MS" w:hAnsi="Times New Roman" w:cs="Times New Roman"/>
          <w:bCs/>
          <w:sz w:val="24"/>
          <w:szCs w:val="24"/>
          <w:lang w:val="es-MX" w:eastAsia="ar-SA"/>
        </w:rPr>
      </w:pPr>
      <w:r w:rsidRPr="003F4500">
        <w:rPr>
          <w:rFonts w:ascii="Times New Roman" w:eastAsia="Arial Unicode MS" w:hAnsi="Times New Roman" w:cs="Times New Roman"/>
          <w:bCs/>
          <w:sz w:val="24"/>
          <w:szCs w:val="24"/>
          <w:lang w:val="es-MX" w:eastAsia="ar-SA"/>
        </w:rPr>
        <w:t>Que, el indicado recurso se sustenta resumidamente en lo siguiente: a) es claro que la póliza indemniza tratándose de miembros superiores  y particularmente del brazo; b) ha sufrido un menoscabo en la funcionalidad de su hombro izquierdo, lo que considera se encuentra comprendido dentro de la cobertura pérdida de un brazo (arriba del codo), ello porque ya no tiene funcionalidad no solo arriba del codo si no todo el brazo, la rigidez afecta al brazo , limitando su movimiento, no puede vestirse, peinarse o alcanzar objetos; c) siendo que la pérdida debe interpretarse tanto en forma física como funcional, y estamos ante una pérdida funcional que le imposibilita mover el brazo, solicita se le otorgue la cobertura de seguro reclamada.</w:t>
      </w:r>
    </w:p>
    <w:p w14:paraId="22D85DF1" w14:textId="77777777" w:rsidR="003F4500" w:rsidRPr="003F4500" w:rsidRDefault="003F4500" w:rsidP="003F450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Que, habiéndose corrido traslado de la respectiva impugnación a la compañía de seguros, esta señala resumidamente lo siguiente: a) el reclamante fue declarado con invalidez permanente parcial debido a la inmovilidad del 52.1% de su hombro izquierdo; b) la póliza otorga cobertura por la pérdida del brazo, dando una cobertura mayor o proporcional si se tratase de pérdida del antebrazo o arriba del codo, pero sin hacer  mencionar lesiones al hombro; c) de acuerdo a la Ley del Contrato de Seguro, la cobertura, exclusiones y en general la extensión del riesgo deben interpretarse literalmente; estando, asimismo, las aseguradoras impedidas de pagar indemnizaciones en exceso de lo pactado, por lo que solicitan declarar infundado el recurso impugnatorio. </w:t>
      </w:r>
    </w:p>
    <w:p w14:paraId="3A6A6166" w14:textId="77777777" w:rsidR="003F4500" w:rsidRPr="003F4500" w:rsidRDefault="003F4500" w:rsidP="003F4500">
      <w:pPr>
        <w:spacing w:line="240" w:lineRule="auto"/>
        <w:jc w:val="both"/>
        <w:rPr>
          <w:rFonts w:ascii="Times New Roman" w:eastAsia="Arial Unicode MS" w:hAnsi="Times New Roman" w:cs="Times New Roman"/>
          <w:bCs/>
          <w:sz w:val="24"/>
          <w:szCs w:val="24"/>
          <w:lang w:val="es-MX" w:eastAsia="ar-SA"/>
        </w:rPr>
      </w:pPr>
      <w:r w:rsidRPr="003F4500">
        <w:rPr>
          <w:rFonts w:ascii="Times New Roman" w:eastAsia="Arial Unicode MS" w:hAnsi="Times New Roman" w:cs="Times New Roman"/>
          <w:bCs/>
          <w:sz w:val="24"/>
          <w:szCs w:val="24"/>
          <w:lang w:val="es-MX" w:eastAsia="ar-SA"/>
        </w:rPr>
        <w:t>Atendiendo a lo expuesto, esta Defensoría resuelve finalmente lo siguiente:</w:t>
      </w:r>
    </w:p>
    <w:p w14:paraId="682C1F23" w14:textId="77777777" w:rsidR="003F4500" w:rsidRPr="003F4500" w:rsidRDefault="003F4500" w:rsidP="003F450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211C4D9E" w14:textId="77777777" w:rsidR="003F4500" w:rsidRPr="003F4500" w:rsidRDefault="003F4500" w:rsidP="003F450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39A77F25" w14:textId="77777777" w:rsidR="003F4500" w:rsidRPr="003F4500" w:rsidRDefault="003F4500" w:rsidP="003F4500">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SEGUNDO:  Que el reclamante expresa su posición y manifiesta las razones por las cuales discrepa de lo resuelto por esta Defensoría, señalando que el menoscabo del hombro le impide mover todo el brazo. Sin embargo, no especifica ni adjunta un informe médico o documento que corrobore que la limitación del hombro le impide mover las manos o el codo; más allá de que tenga una limitación funcional para mover el hombro, lo cual no se desconoce, pero que no constituye el supuesto de hecho cubierto por la póliza, el cual debe aplicarse literalmente, tal como lo establece la Ley del Contrato de Seguro.</w:t>
      </w:r>
    </w:p>
    <w:p w14:paraId="69C57DA3" w14:textId="77777777" w:rsidR="003F4500" w:rsidRPr="003F4500" w:rsidRDefault="003F4500" w:rsidP="003F4500">
      <w:pPr>
        <w:spacing w:line="240" w:lineRule="auto"/>
        <w:jc w:val="both"/>
        <w:rPr>
          <w:rFonts w:ascii="Times New Roman" w:eastAsia="Arial Unicode MS" w:hAnsi="Times New Roman" w:cs="Times New Roman"/>
          <w:sz w:val="24"/>
          <w:szCs w:val="24"/>
          <w:lang w:val="es-ES" w:eastAsia="ar-SA"/>
        </w:rPr>
      </w:pPr>
    </w:p>
    <w:p w14:paraId="2232F8EF" w14:textId="3FF9E0EF" w:rsidR="003F4500" w:rsidRPr="003F4500" w:rsidRDefault="003F4500" w:rsidP="003F4500">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Sobre el particular, a continuación, transcribimos parte pertinente de la Resolución Impugnada:</w:t>
      </w:r>
    </w:p>
    <w:p w14:paraId="34361315" w14:textId="6E44D30E" w:rsidR="003F4500" w:rsidRPr="003F4500" w:rsidRDefault="003F4500" w:rsidP="0067765F">
      <w:pPr>
        <w:spacing w:line="240" w:lineRule="auto"/>
        <w:ind w:left="1440"/>
        <w:jc w:val="both"/>
        <w:rPr>
          <w:rFonts w:ascii="Times New Roman" w:eastAsia="Arial Unicode MS" w:hAnsi="Times New Roman" w:cs="Times New Roman"/>
          <w:i/>
          <w:iCs/>
          <w:sz w:val="24"/>
          <w:szCs w:val="24"/>
          <w:lang w:val="es-ES" w:eastAsia="ar-SA"/>
        </w:rPr>
      </w:pPr>
      <w:r w:rsidRPr="003F4500">
        <w:rPr>
          <w:rFonts w:ascii="Times New Roman" w:eastAsia="Arial Unicode MS" w:hAnsi="Times New Roman" w:cs="Times New Roman"/>
          <w:i/>
          <w:iCs/>
          <w:sz w:val="24"/>
          <w:szCs w:val="24"/>
          <w:lang w:val="es-ES" w:eastAsia="ar-SA"/>
        </w:rPr>
        <w:t>“Es claro que la rigidez del hombro izquierdo implica una limitación funcional del mismo, lo cual imposibilita mover el brazo; no obstante, no se ha acreditado que ello impida utilizar la mano, ni el antebrazo, por lo que en rigor no estaríamos ante una pérdida funcional de un “brazo” hasta por lo menos arriba del codo, sino solo ante la pérdida funcional del hombro que por si sola no implica la pérdida funcional de todo el brazo.</w:t>
      </w:r>
    </w:p>
    <w:p w14:paraId="66BD4158" w14:textId="0B00DD2C" w:rsidR="003F4500" w:rsidRPr="003F4500" w:rsidRDefault="003F4500" w:rsidP="0067765F">
      <w:pPr>
        <w:spacing w:line="240" w:lineRule="auto"/>
        <w:ind w:left="1440"/>
        <w:jc w:val="both"/>
        <w:rPr>
          <w:rFonts w:ascii="Times New Roman" w:eastAsia="Arial Unicode MS" w:hAnsi="Times New Roman" w:cs="Times New Roman"/>
          <w:i/>
          <w:iCs/>
          <w:sz w:val="24"/>
          <w:szCs w:val="24"/>
          <w:lang w:val="es-ES" w:eastAsia="ar-SA"/>
        </w:rPr>
      </w:pPr>
      <w:r w:rsidRPr="003F4500">
        <w:rPr>
          <w:rFonts w:ascii="Times New Roman" w:eastAsia="Arial Unicode MS" w:hAnsi="Times New Roman" w:cs="Times New Roman"/>
          <w:i/>
          <w:iCs/>
          <w:sz w:val="24"/>
          <w:szCs w:val="24"/>
          <w:lang w:val="es-ES" w:eastAsia="ar-SA"/>
        </w:rPr>
        <w:t xml:space="preserve">En la lectura del reclamante, la forma cómo ha sido redactada la cobertura “pérdida de un brazo (arriba del codo)” se interpreta como la pérdida funcional del hombro independientemente de si se puede o no utilizar el antebrazo o las manos, es decir interpreta dicha cobertura como la pérdida de la parte de arriba del codo (no del brazo en sí mismo). Este colegido no comparte dicha interpretación, por el contrario, considera que la póliza lo que busca es indemnizar a quien pierde física o funcionalmente un “brazo” (independientemente de si afecta a un hombro o no), otorgando una cobertura menor cuando la pérdida es en el antebrazo y una cobertura mayor cuando la pérdida va por arriba del codo. No se ven como coberturas independientes, sino como que una (perdida de un brazo arriba del codo) incluye a la otra (perdida de un antebrazo); tal y como ocurre con la pérdida de una mano, y de los dedos de la mano.  </w:t>
      </w:r>
    </w:p>
    <w:p w14:paraId="33C2C26A" w14:textId="21FF8605" w:rsidR="003F4500" w:rsidRPr="003F4500" w:rsidRDefault="003F4500" w:rsidP="0067765F">
      <w:pPr>
        <w:spacing w:line="240" w:lineRule="auto"/>
        <w:ind w:left="1440"/>
        <w:jc w:val="both"/>
        <w:rPr>
          <w:rFonts w:ascii="Times New Roman" w:eastAsia="Arial Unicode MS" w:hAnsi="Times New Roman" w:cs="Times New Roman"/>
          <w:i/>
          <w:iCs/>
          <w:sz w:val="24"/>
          <w:szCs w:val="24"/>
          <w:lang w:val="es-ES" w:eastAsia="ar-SA"/>
        </w:rPr>
      </w:pPr>
      <w:r>
        <w:rPr>
          <w:rFonts w:ascii="Times New Roman" w:hAnsi="Times New Roman"/>
          <w:sz w:val="24"/>
        </w:rPr>
        <w:t xml:space="preserve">En este orden de ideas, la interpretación que da este colegiado a la cobertura pérdida de un brazo (arriba del codo), no es la de la limitación funcional solo del hombro, sino la limitación funcional (o pérdida física) del brazo que abarca toda la extensión del mismo incluido el codo (arriba del codo), pudiendo incluso ir más allá, es decir, hasta el hombro. Cabe precisar que la póliza N° ………………… una cobertura por la sola pérdida funcional del hombro, sino por la pérdida funcional del “brazo”, distinguiendo -reiteramos- según el menoscabo afecte solo el antebrazo, o la afecte arriba del codo. Si la limitación del hombro hubiera implicado a su vez, la limitación de todo el brazo, sería distinto, pero ello no ha quedado acreditado en este caso.</w:t>
      </w:r>
    </w:p>
    <w:p w14:paraId="08C9C2B5" w14:textId="0391C3D7" w:rsidR="003F4500" w:rsidRPr="003F4500" w:rsidRDefault="003F4500" w:rsidP="0067765F">
      <w:pPr>
        <w:spacing w:line="240" w:lineRule="auto"/>
        <w:ind w:left="1440"/>
        <w:jc w:val="both"/>
        <w:rPr>
          <w:rFonts w:ascii="Times New Roman" w:eastAsia="Arial Unicode MS" w:hAnsi="Times New Roman" w:cs="Times New Roman"/>
          <w:i/>
          <w:iCs/>
          <w:sz w:val="24"/>
          <w:szCs w:val="24"/>
          <w:lang w:val="es-ES" w:eastAsia="ar-SA"/>
        </w:rPr>
      </w:pPr>
      <w:r w:rsidRPr="003F4500">
        <w:rPr>
          <w:rFonts w:ascii="Times New Roman" w:eastAsia="Arial Unicode MS" w:hAnsi="Times New Roman" w:cs="Times New Roman"/>
          <w:i/>
          <w:iCs/>
          <w:sz w:val="24"/>
          <w:szCs w:val="24"/>
          <w:lang w:val="es-ES" w:eastAsia="ar-SA"/>
        </w:rPr>
        <w:t>En consecuencia, no se desconoce el diagnóstico del reclamante, sin embargo, no se aprecia que el mismo haya incluido a su vez la pérdida del brazo, ni se aprecia que se haya configurado a alguno de los supuestos indemnizados por la póliza; y en consecuencia, el rechazo de cobertura resulta legítimo.”</w:t>
      </w:r>
    </w:p>
    <w:p w14:paraId="7D00C564" w14:textId="4BC37D91" w:rsidR="003F4500" w:rsidRPr="003F4500" w:rsidRDefault="003F4500" w:rsidP="003F450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En virtud de lo expuesto, este colegiado considera que no se han presentado pruebas suficientes que permitan evidenciar que se ha cometido un error en la Resolución Impugnada; en consecuencia, el recurso impugnativo interpuesto puede ser categorizado, por su contenido mismo, como una solicitud de revisión general, sustentado en el muy respetable criterio de la reclamante que este colegiado no comparte.</w:t>
      </w:r>
    </w:p>
    <w:p w14:paraId="4E8E62D7" w14:textId="17D9BBFF" w:rsidR="003F4500" w:rsidRPr="003F4500" w:rsidRDefault="003F4500" w:rsidP="003F4500">
      <w:pPr>
        <w:spacing w:line="240" w:lineRule="auto"/>
        <w:jc w:val="both"/>
        <w:rPr>
          <w:rFonts w:ascii="Times New Roman" w:eastAsia="Arial Unicode MS" w:hAnsi="Times New Roman" w:cs="Times New Roman"/>
          <w:sz w:val="24"/>
          <w:szCs w:val="24"/>
          <w:lang w:val="es-ES" w:eastAsia="ar-SA"/>
        </w:rPr>
      </w:pPr>
      <w:r w:rsidRPr="003F4500">
        <w:rPr>
          <w:rFonts w:ascii="Times New Roman" w:eastAsia="Arial Unicode MS" w:hAnsi="Times New Roman" w:cs="Times New Roman"/>
          <w:b/>
          <w:sz w:val="24"/>
          <w:szCs w:val="24"/>
          <w:u w:val="single"/>
          <w:lang w:val="es-ES" w:eastAsia="ar-SA"/>
        </w:rPr>
        <w:t>TERCERO</w:t>
      </w:r>
      <w:r w:rsidRPr="003F4500">
        <w:rPr>
          <w:rFonts w:ascii="Times New Roman" w:eastAsia="Arial Unicode MS" w:hAnsi="Times New Roman" w:cs="Times New Roman"/>
          <w:b/>
          <w:sz w:val="24"/>
          <w:szCs w:val="24"/>
          <w:lang w:val="es-ES" w:eastAsia="ar-SA"/>
        </w:rPr>
        <w:t>:</w:t>
      </w:r>
      <w:r w:rsidRPr="003F4500">
        <w:rPr>
          <w:rFonts w:ascii="Times New Roman" w:eastAsia="Arial Unicode MS" w:hAnsi="Times New Roman" w:cs="Times New Roman"/>
          <w:sz w:val="24"/>
          <w:szCs w:val="24"/>
          <w:lang w:val="es-ES" w:eastAsia="ar-SA"/>
        </w:rPr>
        <w:t xml:space="preserve"> Por último, ese colegiado tiene a bien precisar que, </w:t>
      </w:r>
      <w:r w:rsidRPr="003F4500">
        <w:rPr>
          <w:rFonts w:ascii="Times New Roman" w:eastAsia="Arial Unicode MS" w:hAnsi="Times New Roman" w:cs="Times New Roman"/>
          <w:sz w:val="24"/>
          <w:szCs w:val="24"/>
          <w:lang w:val="es-419" w:eastAsia="ar-SA"/>
        </w:rPr>
        <w:t xml:space="preserve">conforme al reglamento de la DEFASEG, </w:t>
      </w:r>
      <w:r w:rsidRPr="003F4500">
        <w:rPr>
          <w:rFonts w:ascii="Times New Roman" w:eastAsia="Arial Unicode MS" w:hAnsi="Times New Roman" w:cs="Times New Roman"/>
          <w:sz w:val="24"/>
          <w:szCs w:val="24"/>
          <w:lang w:val="es-ES" w:eastAsia="ar-SA"/>
        </w:rPr>
        <w:t xml:space="preserve">el sometimiento voluntario a esta instancia como medio de resolución de conflictos, no afecta el derecho a la tutela jurisdiccional del asegurado, toda vez que lo resuelto por esta Defensoría no limita su derecho a iniciar procesos ante las instancias administrativas o jurisdiccionales que considere pertinentes, sin que sea necesario que la DEFASEG revoque </w:t>
      </w:r>
      <w:r w:rsidRPr="003F4500">
        <w:rPr>
          <w:rFonts w:ascii="Times New Roman" w:eastAsia="Arial Unicode MS" w:hAnsi="Times New Roman" w:cs="Times New Roman"/>
          <w:sz w:val="24"/>
          <w:szCs w:val="24"/>
          <w:lang w:val="es-ES" w:eastAsia="ar-SA"/>
        </w:rPr>
        <w:lastRenderedPageBreak/>
        <w:t xml:space="preserve">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p w14:paraId="17BC37C0" w14:textId="5FAA28F2" w:rsidR="003F4500" w:rsidRPr="003F4500" w:rsidRDefault="003F4500" w:rsidP="003F4500">
      <w:pPr>
        <w:spacing w:line="240" w:lineRule="auto"/>
        <w:jc w:val="both"/>
        <w:rPr>
          <w:rFonts w:ascii="Times New Roman" w:eastAsia="Arial Unicode MS" w:hAnsi="Times New Roman" w:cs="Times New Roman"/>
          <w:b/>
          <w:sz w:val="24"/>
          <w:szCs w:val="24"/>
          <w:lang w:val="es-PE" w:eastAsia="ar-SA"/>
        </w:rPr>
      </w:pPr>
      <w:r w:rsidRPr="003F4500">
        <w:rPr>
          <w:rFonts w:ascii="Times New Roman" w:eastAsia="Arial Unicode MS" w:hAnsi="Times New Roman" w:cs="Times New Roman"/>
          <w:b/>
          <w:sz w:val="24"/>
          <w:szCs w:val="24"/>
          <w:lang w:val="es-PE" w:eastAsia="ar-SA"/>
        </w:rPr>
        <w:t xml:space="preserve">Atendiendo a lo expresado, conforme a su Reglamento, este colegiado </w:t>
      </w:r>
    </w:p>
    <w:p w14:paraId="41AF848B" w14:textId="2BA3F1DB" w:rsidR="003F4500" w:rsidRPr="003F4500" w:rsidRDefault="003F4500" w:rsidP="003F4500">
      <w:pPr>
        <w:spacing w:line="240" w:lineRule="auto"/>
        <w:jc w:val="both"/>
        <w:rPr>
          <w:rFonts w:ascii="Times New Roman" w:eastAsia="Arial Unicode MS" w:hAnsi="Times New Roman" w:cs="Times New Roman"/>
          <w:b/>
          <w:sz w:val="24"/>
          <w:szCs w:val="24"/>
          <w:lang w:val="es-PE" w:eastAsia="ar-SA"/>
        </w:rPr>
      </w:pPr>
      <w:r w:rsidRPr="003F4500">
        <w:rPr>
          <w:rFonts w:ascii="Times New Roman" w:eastAsia="Arial Unicode MS" w:hAnsi="Times New Roman" w:cs="Times New Roman"/>
          <w:b/>
          <w:sz w:val="24"/>
          <w:szCs w:val="24"/>
          <w:lang w:val="es-PE" w:eastAsia="ar-SA"/>
        </w:rPr>
        <w:t>Resuelve:</w:t>
      </w:r>
    </w:p>
    <w:p w14:paraId="057CA88F" w14:textId="77777777" w:rsidR="003F4500" w:rsidRPr="003F4500" w:rsidRDefault="003F4500" w:rsidP="003F450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Declarar INFUNDADO el Recurso de Impugnación interpuesto y confirmar la Resolución Nº 077/25 de fecha 30 de mayo de 2025 que declaró infundado el reclamo interpuesto por don ………………… contra ………………… con relación al SEGURO DE ACCIDENTES PERSONALES POLIZA N° …………………, dejando a salvo el derecho del reclamante de recurrir a las instancias que considere pertinentes</w:t>
      </w:r>
    </w:p>
    <w:p w14:paraId="51EDAB4B" w14:textId="6A7B4569" w:rsidR="00B32E8A" w:rsidRPr="00657814" w:rsidRDefault="0091528B" w:rsidP="00657814">
      <w:pPr>
        <w:spacing w:line="240" w:lineRule="auto"/>
        <w:jc w:val="right"/>
        <w:rPr>
          <w:rFonts w:ascii="Times New Roman" w:hAnsi="Times New Roman" w:cs="Times New Roman"/>
          <w:sz w:val="24"/>
          <w:szCs w:val="24"/>
          <w:lang w:val="es-PE"/>
        </w:rPr>
      </w:pPr>
      <w:r w:rsidRPr="00657814">
        <w:rPr>
          <w:rFonts w:ascii="Times New Roman" w:eastAsia="Arial Unicode MS" w:hAnsi="Times New Roman" w:cs="Times New Roman"/>
          <w:sz w:val="24"/>
          <w:szCs w:val="24"/>
          <w:lang w:val="es-PE" w:eastAsia="ar-SA"/>
        </w:rPr>
        <w:t>Lima,</w:t>
      </w:r>
      <w:r w:rsidR="00774D05" w:rsidRPr="00657814">
        <w:rPr>
          <w:rFonts w:ascii="Times New Roman" w:eastAsia="Arial Unicode MS" w:hAnsi="Times New Roman" w:cs="Times New Roman"/>
          <w:sz w:val="24"/>
          <w:szCs w:val="24"/>
          <w:lang w:val="es-PE" w:eastAsia="ar-SA"/>
        </w:rPr>
        <w:t xml:space="preserve"> </w:t>
      </w:r>
      <w:r w:rsidR="00EB3A2B">
        <w:rPr>
          <w:rFonts w:ascii="Times New Roman" w:eastAsia="Arial Unicode MS" w:hAnsi="Times New Roman" w:cs="Times New Roman"/>
          <w:sz w:val="24"/>
          <w:szCs w:val="24"/>
          <w:lang w:val="es-PE" w:eastAsia="ar-SA"/>
        </w:rPr>
        <w:t>03</w:t>
      </w:r>
      <w:r w:rsidR="00B8209E" w:rsidRPr="00657814">
        <w:rPr>
          <w:rFonts w:ascii="Times New Roman" w:eastAsia="Arial Unicode MS" w:hAnsi="Times New Roman" w:cs="Times New Roman"/>
          <w:sz w:val="24"/>
          <w:szCs w:val="24"/>
          <w:lang w:val="es-PE" w:eastAsia="ar-SA"/>
        </w:rPr>
        <w:t xml:space="preserve"> </w:t>
      </w:r>
      <w:r w:rsidR="00707C99" w:rsidRPr="00657814">
        <w:rPr>
          <w:rFonts w:ascii="Times New Roman" w:eastAsia="Arial Unicode MS" w:hAnsi="Times New Roman" w:cs="Times New Roman"/>
          <w:sz w:val="24"/>
          <w:szCs w:val="24"/>
          <w:lang w:val="es-PE" w:eastAsia="ar-SA"/>
        </w:rPr>
        <w:t xml:space="preserve">de </w:t>
      </w:r>
      <w:r w:rsidR="00FF5223" w:rsidRPr="00657814">
        <w:rPr>
          <w:rFonts w:ascii="Times New Roman" w:eastAsia="Arial Unicode MS" w:hAnsi="Times New Roman" w:cs="Times New Roman"/>
          <w:sz w:val="24"/>
          <w:szCs w:val="24"/>
          <w:lang w:val="es-PE" w:eastAsia="ar-SA"/>
        </w:rPr>
        <w:t>ju</w:t>
      </w:r>
      <w:r w:rsidR="00EB3A2B">
        <w:rPr>
          <w:rFonts w:ascii="Times New Roman" w:eastAsia="Arial Unicode MS" w:hAnsi="Times New Roman" w:cs="Times New Roman"/>
          <w:sz w:val="24"/>
          <w:szCs w:val="24"/>
          <w:lang w:val="es-PE" w:eastAsia="ar-SA"/>
        </w:rPr>
        <w:t>l</w:t>
      </w:r>
      <w:r w:rsidR="00FF5223" w:rsidRPr="00657814">
        <w:rPr>
          <w:rFonts w:ascii="Times New Roman" w:eastAsia="Arial Unicode MS" w:hAnsi="Times New Roman" w:cs="Times New Roman"/>
          <w:sz w:val="24"/>
          <w:szCs w:val="24"/>
          <w:lang w:val="es-PE" w:eastAsia="ar-SA"/>
        </w:rPr>
        <w:t>io</w:t>
      </w:r>
      <w:r w:rsidR="002F478E" w:rsidRPr="00657814">
        <w:rPr>
          <w:rFonts w:ascii="Times New Roman" w:eastAsia="Arial Unicode MS" w:hAnsi="Times New Roman" w:cs="Times New Roman"/>
          <w:sz w:val="24"/>
          <w:szCs w:val="24"/>
          <w:lang w:val="es-PE" w:eastAsia="ar-SA"/>
        </w:rPr>
        <w:t xml:space="preserve"> </w:t>
      </w:r>
      <w:r w:rsidR="00F06498" w:rsidRPr="00657814">
        <w:rPr>
          <w:rFonts w:ascii="Times New Roman" w:eastAsia="Arial Unicode MS" w:hAnsi="Times New Roman" w:cs="Times New Roman"/>
          <w:sz w:val="24"/>
          <w:szCs w:val="24"/>
          <w:lang w:val="es-PE" w:eastAsia="ar-SA"/>
        </w:rPr>
        <w:t>de 202</w:t>
      </w:r>
      <w:r w:rsidR="00AE4D37" w:rsidRPr="00657814">
        <w:rPr>
          <w:rFonts w:ascii="Times New Roman" w:eastAsia="Arial Unicode MS" w:hAnsi="Times New Roman" w:cs="Times New Roman"/>
          <w:sz w:val="24"/>
          <w:szCs w:val="24"/>
          <w:lang w:val="es-PE" w:eastAsia="ar-SA"/>
        </w:rPr>
        <w:t>5</w:t>
      </w:r>
      <w:r w:rsidR="00707C99" w:rsidRPr="00657814">
        <w:rPr>
          <w:rFonts w:ascii="Times New Roman" w:eastAsia="Times New Roman" w:hAnsi="Times New Roman" w:cs="Times New Roman"/>
          <w:sz w:val="24"/>
          <w:szCs w:val="24"/>
          <w:lang w:val="es-PE" w:eastAsia="ar-SA"/>
        </w:rPr>
        <w:t xml:space="preserve"> </w:t>
      </w:r>
    </w:p>
    <w:p w14:paraId="1B6988F6" w14:textId="77777777" w:rsidR="00A323F4" w:rsidRPr="00657814" w:rsidRDefault="00A323F4" w:rsidP="00657814">
      <w:pPr>
        <w:spacing w:after="0" w:line="240" w:lineRule="auto"/>
        <w:jc w:val="both"/>
        <w:rPr>
          <w:rFonts w:ascii="Times New Roman" w:hAnsi="Times New Roman" w:cs="Times New Roman"/>
          <w:b/>
          <w:bCs/>
          <w:i/>
          <w:iCs/>
          <w:sz w:val="24"/>
          <w:szCs w:val="24"/>
          <w:lang w:val="es-PE"/>
        </w:rPr>
      </w:pPr>
      <w:r w:rsidRPr="0065781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657814" w:rsidRDefault="008D26BA" w:rsidP="00657814">
      <w:pPr>
        <w:spacing w:after="0" w:line="360" w:lineRule="auto"/>
        <w:jc w:val="both"/>
        <w:rPr>
          <w:rFonts w:ascii="Times New Roman" w:hAnsi="Times New Roman" w:cs="Times New Roman"/>
          <w:b/>
          <w:bCs/>
          <w:i/>
          <w:iCs/>
          <w:sz w:val="24"/>
          <w:szCs w:val="24"/>
          <w:lang w:val="es-PE"/>
        </w:rPr>
      </w:pPr>
    </w:p>
    <w:p w14:paraId="220AA7AD" w14:textId="4331E0E4" w:rsidR="007543CD" w:rsidRPr="00657814" w:rsidRDefault="008D26BA" w:rsidP="00657814">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 xml:space="preserve">Rolando Eyzaguirre Maccan </w:t>
      </w:r>
      <w:r w:rsidR="007543CD" w:rsidRPr="00657814">
        <w:rPr>
          <w:rFonts w:ascii="Times New Roman" w:hAnsi="Times New Roman" w:cs="Times New Roman"/>
          <w:b/>
          <w:bCs/>
          <w:sz w:val="24"/>
          <w:szCs w:val="24"/>
          <w:lang w:val="es-PE"/>
        </w:rPr>
        <w:t>– Presidente</w:t>
      </w:r>
    </w:p>
    <w:p w14:paraId="5B7063E0" w14:textId="43329098" w:rsidR="008D26BA" w:rsidRPr="00657814" w:rsidRDefault="008D26BA" w:rsidP="00657814">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María Eugenia Valdez Fernández Baca – Vocal</w:t>
      </w:r>
    </w:p>
    <w:p w14:paraId="69BFE54F" w14:textId="628D5C27" w:rsidR="007543CD" w:rsidRPr="00657814" w:rsidRDefault="001B08C0" w:rsidP="00657814">
      <w:pPr>
        <w:spacing w:after="0" w:line="360" w:lineRule="auto"/>
        <w:jc w:val="center"/>
        <w:rPr>
          <w:rFonts w:ascii="Times New Roman" w:hAnsi="Times New Roman" w:cs="Times New Roman"/>
          <w:sz w:val="24"/>
          <w:szCs w:val="24"/>
          <w:lang w:val="es-PE"/>
        </w:rPr>
      </w:pPr>
      <w:r w:rsidRPr="00657814">
        <w:rPr>
          <w:rFonts w:ascii="Times New Roman" w:hAnsi="Times New Roman" w:cs="Times New Roman"/>
          <w:b/>
          <w:bCs/>
          <w:sz w:val="24"/>
          <w:szCs w:val="24"/>
        </w:rPr>
        <w:t>Antonio José Rodríguez Lobatón</w:t>
      </w:r>
      <w:r w:rsidRPr="00657814">
        <w:rPr>
          <w:rFonts w:ascii="Times New Roman" w:hAnsi="Times New Roman" w:cs="Times New Roman"/>
          <w:b/>
          <w:bCs/>
          <w:sz w:val="24"/>
          <w:szCs w:val="24"/>
          <w:lang w:val="es-PE"/>
        </w:rPr>
        <w:t xml:space="preserve"> </w:t>
      </w:r>
      <w:r w:rsidR="007543CD" w:rsidRPr="00657814">
        <w:rPr>
          <w:rFonts w:ascii="Times New Roman" w:hAnsi="Times New Roman" w:cs="Times New Roman"/>
          <w:b/>
          <w:bCs/>
          <w:sz w:val="24"/>
          <w:szCs w:val="24"/>
          <w:lang w:val="es-PE"/>
        </w:rPr>
        <w:t>– Vocal</w:t>
      </w:r>
    </w:p>
    <w:p w14:paraId="412CCBAA" w14:textId="77777777" w:rsidR="00986F0C" w:rsidRPr="009849E6"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849E6"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849E6"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F7458" w14:textId="77777777" w:rsidR="00E02D42" w:rsidRDefault="00E02D42" w:rsidP="00784355">
      <w:pPr>
        <w:spacing w:after="0" w:line="240" w:lineRule="auto"/>
      </w:pPr>
      <w:r>
        <w:separator/>
      </w:r>
    </w:p>
  </w:endnote>
  <w:endnote w:type="continuationSeparator" w:id="0">
    <w:p w14:paraId="6E31190D" w14:textId="77777777" w:rsidR="00E02D42" w:rsidRDefault="00E02D42"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35B9" w14:textId="77777777" w:rsidR="00E02D42" w:rsidRDefault="00E02D42" w:rsidP="00784355">
      <w:pPr>
        <w:spacing w:after="0" w:line="240" w:lineRule="auto"/>
      </w:pPr>
      <w:r>
        <w:separator/>
      </w:r>
    </w:p>
  </w:footnote>
  <w:footnote w:type="continuationSeparator" w:id="0">
    <w:p w14:paraId="67547283" w14:textId="77777777" w:rsidR="00E02D42" w:rsidRDefault="00E02D42"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8428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549E"/>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8BB"/>
    <w:rsid w:val="0067765F"/>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4E23"/>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D933B80-B04F-43B6-9103-B4CE82A62C75}"/>
</file>

<file path=customXml/itemProps3.xml><?xml version="1.0" encoding="utf-8"?>
<ds:datastoreItem xmlns:ds="http://schemas.openxmlformats.org/officeDocument/2006/customXml" ds:itemID="{36831DD0-42F7-41E2-9A83-9BBF938B426E}"/>
</file>

<file path=customXml/itemProps4.xml><?xml version="1.0" encoding="utf-8"?>
<ds:datastoreItem xmlns:ds="http://schemas.openxmlformats.org/officeDocument/2006/customXml" ds:itemID="{5FF0A057-05B7-4BDE-8F8B-471E6E5707BA}"/>
</file>

<file path=docProps/app.xml><?xml version="1.0" encoding="utf-8"?>
<Properties xmlns="http://schemas.openxmlformats.org/officeDocument/2006/extended-properties" xmlns:vt="http://schemas.openxmlformats.org/officeDocument/2006/docPropsVTypes">
  <Template>Normal</Template>
  <TotalTime>357</TotalTime>
  <Pages>3</Pages>
  <Words>1173</Words>
  <Characters>6455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402</cp:revision>
  <cp:lastPrinted>2025-07-01T15:41:00Z</cp:lastPrinted>
  <dcterms:created xsi:type="dcterms:W3CDTF">2023-02-14T22:37:00Z</dcterms:created>
  <dcterms:modified xsi:type="dcterms:W3CDTF">2025-07-10T16:13:00Z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