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91872" w14:textId="4AB50B2E" w:rsidR="009C0D47" w:rsidRPr="009C0D47" w:rsidRDefault="00201C0D" w:rsidP="009C0D47">
      <w:pPr>
        <w:spacing w:after="0" w:line="240" w:lineRule="auto"/>
        <w:jc w:val="center"/>
        <w:rPr>
          <w:rFonts w:ascii="Times New Roman" w:hAnsi="Times New Roman" w:cs="Times New Roman"/>
          <w:b/>
          <w:sz w:val="24"/>
          <w:szCs w:val="24"/>
          <w:lang w:val="es-PE" w:eastAsia="ar-SA"/>
        </w:rPr>
      </w:pPr>
      <w:r w:rsidRPr="009C0D47">
        <w:rPr>
          <w:rFonts w:ascii="Times New Roman" w:hAnsi="Times New Roman" w:cs="Times New Roman"/>
          <w:b/>
          <w:sz w:val="24"/>
          <w:szCs w:val="24"/>
          <w:lang w:val="es-PE" w:eastAsia="ar-SA"/>
        </w:rPr>
        <w:t xml:space="preserve">RESOLUCIÓN DE RECURSO IMPUGNATIVO </w:t>
      </w:r>
      <w:r w:rsidR="00707C99" w:rsidRPr="009C0D47">
        <w:rPr>
          <w:rFonts w:ascii="Times New Roman" w:hAnsi="Times New Roman" w:cs="Times New Roman"/>
          <w:b/>
          <w:sz w:val="24"/>
          <w:szCs w:val="24"/>
          <w:lang w:val="es-PE" w:eastAsia="ar-SA"/>
        </w:rPr>
        <w:t xml:space="preserve">N° </w:t>
      </w:r>
      <w:r w:rsidR="00516293" w:rsidRPr="009C0D47">
        <w:rPr>
          <w:rFonts w:ascii="Times New Roman" w:hAnsi="Times New Roman" w:cs="Times New Roman"/>
          <w:b/>
          <w:sz w:val="24"/>
          <w:szCs w:val="24"/>
          <w:lang w:val="es-PE" w:eastAsia="ar-SA"/>
        </w:rPr>
        <w:t>0</w:t>
      </w:r>
      <w:r w:rsidR="000C321D" w:rsidRPr="009C0D47">
        <w:rPr>
          <w:rFonts w:ascii="Times New Roman" w:hAnsi="Times New Roman" w:cs="Times New Roman"/>
          <w:b/>
          <w:sz w:val="24"/>
          <w:szCs w:val="24"/>
          <w:lang w:val="es-PE" w:eastAsia="ar-SA"/>
        </w:rPr>
        <w:t>3</w:t>
      </w:r>
      <w:r w:rsidR="0078352E" w:rsidRPr="009C0D47">
        <w:rPr>
          <w:rFonts w:ascii="Times New Roman" w:hAnsi="Times New Roman" w:cs="Times New Roman"/>
          <w:b/>
          <w:sz w:val="24"/>
          <w:szCs w:val="24"/>
          <w:lang w:val="es-PE" w:eastAsia="ar-SA"/>
        </w:rPr>
        <w:t>6</w:t>
      </w:r>
      <w:r w:rsidR="00C671F5" w:rsidRPr="009C0D47">
        <w:rPr>
          <w:rFonts w:ascii="Times New Roman" w:hAnsi="Times New Roman" w:cs="Times New Roman"/>
          <w:b/>
          <w:sz w:val="24"/>
          <w:szCs w:val="24"/>
          <w:lang w:val="es-PE" w:eastAsia="ar-SA"/>
        </w:rPr>
        <w:t>/2</w:t>
      </w:r>
      <w:r w:rsidR="00A74F96" w:rsidRPr="009C0D47">
        <w:rPr>
          <w:rFonts w:ascii="Times New Roman" w:hAnsi="Times New Roman" w:cs="Times New Roman"/>
          <w:b/>
          <w:sz w:val="24"/>
          <w:szCs w:val="24"/>
          <w:lang w:val="es-PE" w:eastAsia="ar-SA"/>
        </w:rPr>
        <w:t>5</w:t>
      </w:r>
    </w:p>
    <w:p w14:paraId="668A1319" w14:textId="77777777" w:rsidR="009C0D47" w:rsidRPr="009C0D47" w:rsidRDefault="009C0D47" w:rsidP="009C0D47">
      <w:pPr>
        <w:spacing w:after="0" w:line="240" w:lineRule="auto"/>
        <w:jc w:val="center"/>
        <w:rPr>
          <w:rFonts w:ascii="Times New Roman" w:hAnsi="Times New Roman" w:cs="Times New Roman"/>
          <w:b/>
          <w:sz w:val="24"/>
          <w:szCs w:val="24"/>
          <w:lang w:val="es-PE" w:eastAsia="ar-SA"/>
        </w:rPr>
      </w:pPr>
    </w:p>
    <w:p w14:paraId="3B9BBE1C" w14:textId="77777777" w:rsidR="009C0D47" w:rsidRPr="009C0D47" w:rsidRDefault="009C0D47" w:rsidP="009C0D47">
      <w:pPr>
        <w:spacing w:line="240" w:lineRule="auto"/>
        <w:jc w:val="both"/>
        <w:outlineLvl w:val="0"/>
        <w:rPr>
          <w:rFonts w:ascii="Times New Roman" w:hAnsi="Times New Roman" w:cs="Times New Roman"/>
          <w:b/>
          <w:bCs/>
          <w:lang w:val="es-PE"/>
        </w:rPr>
      </w:pPr>
      <w:r w:rsidRPr="009C0D47">
        <w:rPr>
          <w:rFonts w:ascii="Times New Roman" w:hAnsi="Times New Roman" w:cs="Times New Roman"/>
          <w:b/>
          <w:bCs/>
          <w:sz w:val="24"/>
          <w:lang w:val="es-PE"/>
        </w:rPr>
        <w:t>VISTOS:</w:t>
      </w:r>
    </w:p>
    <w:p w14:paraId="015B7CDD" w14:textId="77777777"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El Recurso de Impugnación presentado por ………………… respecto de la Resolución Nro. 084/25, expedida por esta Defensoría del Asegurado (DEFASEG), conforme a la cual se declaró FUNDADA la reclamación interpuesta por ………………… respecto al siniestro que afectó al vehículo asegurado de placa de rodaje …………………, Seguro Vehicular Póliza N° …………………;</w:t>
      </w:r>
    </w:p>
    <w:p w14:paraId="6577C78E" w14:textId="77777777" w:rsidR="009C0D47" w:rsidRPr="009C0D47" w:rsidRDefault="009C0D47" w:rsidP="009C0D47">
      <w:pPr>
        <w:pStyle w:val="Textoindependiente"/>
        <w:spacing w:line="240" w:lineRule="auto"/>
        <w:rPr>
          <w:lang w:val="es-PE"/>
        </w:rPr>
      </w:pPr>
      <w:r>
        <w:rPr>
          <w:rFonts w:ascii="Times New Roman" w:hAnsi="Times New Roman"/>
          <w:sz w:val="24"/>
        </w:rPr>
        <w:t xml:space="preserve">Que, a través del indicado recurso la aseguradora reitera los argumentos expuestos en sus descargos, los cuales son resumidamente los siguiente: (1) que a la fecha del siniestro se encontraban dos primas impagas; (2) que el 06.02.2025 advirtieron la pronta suspensión de la cobertura; reiterando dicha advertencia el 06.03.2025; (3) que ello acredita que la cobertura se encontraba correctamente suspendida, conforme lo prevé el articulo 21 de la Ley del Contrato de Seguro; por lo tanto la suspensión se produjo el 17.02.2024, es decir treinta días después de la fecha de obligación de pago. Que en adición a dichos argumentos, la aseguradora sustenta su recurso resumidamente en lo siguiente: (a) que la Resolución Impugnada se sustenta en que la comunicación de suspensión a la que se refiere la ley no se comunicó al endosatario, conforme se comprometió la aseguradora en el documento titulado Suplemento de Seguro Vehicular Full Cobertura Premium Autos; (b) no obstante dicho documento no indica expresamente que la comunicación al endosatario sea condición determinante para que se haga efectiva la suspensión de la cobertura de la póliza; (c) que dicha obligación debe entenderse como una mera formalidad en favor del endosatario, pero que de no haberse completado no supone alguna consecuencia jurídica; (d) que en caso dicha formalidad llevara consigo alguna consecuencia o condición adicional, estaría contradiciendo lo dispuesto en el artículo 21 de la Ley del Contrato de Seguro y artículo 7 y 8 del Reglamento de Pago de Primas, normas de mayor jerarquía a lo dispuesto en un contrato y por lo tanto, una falta al principio de prelación jurídica; por lo que debe prevalecer el artículo 21 de la ley ya citado, en aplicación asimismo del principio de literalidad; por lo que consideran que la resolución que declaró fundado el reclamo no refleja una interpretación adecuada del marco legal ni de los hechos debidamente acreditados.</w:t>
      </w:r>
    </w:p>
    <w:p w14:paraId="3F2F906E" w14:textId="77777777" w:rsidR="009C0D47" w:rsidRPr="009C0D47" w:rsidRDefault="009C0D47" w:rsidP="009C0D47">
      <w:pPr>
        <w:pStyle w:val="Textoindependiente"/>
        <w:spacing w:line="240" w:lineRule="auto"/>
        <w:rPr>
          <w:lang w:val="es-PE"/>
        </w:rPr>
      </w:pPr>
    </w:p>
    <w:p w14:paraId="1EC49518" w14:textId="77777777" w:rsidR="009C0D47" w:rsidRPr="009C0D47" w:rsidRDefault="009C0D47" w:rsidP="009C0D47">
      <w:pPr>
        <w:pStyle w:val="Textoindependiente"/>
        <w:spacing w:line="240" w:lineRule="auto"/>
        <w:rPr>
          <w:lang w:val="es-PE"/>
        </w:rPr>
      </w:pPr>
      <w:r>
        <w:rPr>
          <w:rFonts w:ascii="Times New Roman" w:hAnsi="Times New Roman"/>
          <w:sz w:val="24"/>
        </w:rPr>
        <w:t xml:space="preserve">Que, habiéndose corrido traslado de la impugnación, la parte reclamante cumplió con absolverlo con fecha 25 de junio de 2025, señalando resumidamente lo siguiente: que los avisos de cobranza ya fueron desestimados porque prevalece el endoso a favor del Banco que forma parte integrante de la póliza y obliga a comunicar al endosatario la falta de pago y suspensión, lo que la aseguradora incumplió; que es lamentable que ………………… insista en desconocer el valor del endoso a favor del Banco de Crédito, dilatando la ejecución de la resolución emitida.</w:t>
      </w:r>
    </w:p>
    <w:p w14:paraId="769877FB" w14:textId="77777777" w:rsidR="009C0D47" w:rsidRPr="009C0D47" w:rsidRDefault="009C0D47" w:rsidP="009C0D47">
      <w:pPr>
        <w:pStyle w:val="Textoindependiente"/>
        <w:spacing w:line="240" w:lineRule="auto"/>
        <w:rPr>
          <w:lang w:val="es-PE"/>
        </w:rPr>
      </w:pPr>
    </w:p>
    <w:p w14:paraId="523FD636" w14:textId="77777777" w:rsidR="009C0D47" w:rsidRPr="009C0D47" w:rsidRDefault="009C0D47" w:rsidP="009C0D47">
      <w:pPr>
        <w:pStyle w:val="Textoindependiente"/>
        <w:tabs>
          <w:tab w:val="left" w:pos="930"/>
        </w:tabs>
        <w:spacing w:line="240" w:lineRule="auto"/>
        <w:rPr>
          <w:lang w:val="es-PE"/>
        </w:rPr>
      </w:pPr>
      <w:r w:rsidRPr="009C0D47">
        <w:rPr>
          <w:rFonts w:ascii="Times New Roman" w:hAnsi="Times New Roman"/>
          <w:sz w:val="24"/>
          <w:lang w:val="es-PE"/>
        </w:rPr>
        <w:t>Que, atendiendo a lo expuesto, esta Defensoría resuelve finalmente lo siguiente:</w:t>
      </w:r>
    </w:p>
    <w:p w14:paraId="7609C389" w14:textId="77777777" w:rsidR="009C0D47" w:rsidRPr="009C0D47" w:rsidRDefault="009C0D47" w:rsidP="009C0D47">
      <w:pPr>
        <w:spacing w:line="240" w:lineRule="auto"/>
        <w:jc w:val="both"/>
        <w:rPr>
          <w:rFonts w:ascii="Times New Roman" w:hAnsi="Times New Roman" w:cs="Times New Roman"/>
          <w:b/>
          <w:u w:val="single"/>
          <w:lang w:val="es-PE"/>
        </w:rPr>
      </w:pPr>
    </w:p>
    <w:p w14:paraId="4CFA8B96" w14:textId="39F82E8F"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51E5CAC2" w14:textId="3FF0273B"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5F646301" w14:textId="486BEC88" w:rsidR="009C0D47" w:rsidRPr="009C0D47" w:rsidRDefault="009C0D47" w:rsidP="009C0D47">
      <w:pPr>
        <w:spacing w:line="240" w:lineRule="auto"/>
        <w:jc w:val="both"/>
        <w:rPr>
          <w:rFonts w:ascii="Times New Roman" w:hAnsi="Times New Roman" w:cs="Times New Roman"/>
          <w:bCs/>
          <w:lang w:val="es-PE"/>
        </w:rPr>
      </w:pPr>
      <w:r>
        <w:rPr>
          <w:rFonts w:ascii="Times New Roman" w:hAnsi="Times New Roman"/>
          <w:sz w:val="24"/>
        </w:rPr>
        <w:t xml:space="preserve">SEGUNDO: Que el Recurso de Impugnación presentado por la aseguradora se sustenta en dos extremos: (i) una discrepancia interpretativa sobre lo resuelto por la Defensoría sobre la reclamación interpuesta y (ii) en nuevo argumento sobre que el endoso es solo una mera formalidad y que no puede contradecir el artículo 21 de la ley ni los artículos 7 y 8 del reglamento de pago de primas, normas de mayor jerarquía, por lo que la resolución no refleja una interpretación adecuada del marco legal ni de los hechos. </w:t>
      </w:r>
    </w:p>
    <w:p w14:paraId="40AA2A0A" w14:textId="7A772231" w:rsidR="009C0D47" w:rsidRPr="009C0D47" w:rsidRDefault="009C0D47" w:rsidP="009C0D47">
      <w:pPr>
        <w:spacing w:line="240" w:lineRule="auto"/>
        <w:jc w:val="both"/>
        <w:rPr>
          <w:rFonts w:ascii="Times New Roman" w:hAnsi="Times New Roman" w:cs="Times New Roman"/>
          <w:bCs/>
          <w:lang w:val="es-PE"/>
        </w:rPr>
      </w:pPr>
      <w:r>
        <w:rPr>
          <w:rFonts w:ascii="Times New Roman" w:hAnsi="Times New Roman"/>
          <w:sz w:val="24"/>
        </w:rPr>
        <w:t xml:space="preserve">De acuerdo a la Resolución Impugnada, la reclamación fue amparada en tanto el endoso a la póliza pactado entre las partes a través del cual se cedieron los derechos indemnizatorios de la póliza a favor del Banco de Crédito, las partes estipularon un régimen especial para el supuesto de extinción. </w:t>
      </w:r>
    </w:p>
    <w:p w14:paraId="4E2AF6FD" w14:textId="4D440D19" w:rsidR="009C0D47" w:rsidRPr="009C0D47" w:rsidRDefault="009C0D47" w:rsidP="009C0D47">
      <w:pPr>
        <w:spacing w:line="240" w:lineRule="auto"/>
        <w:jc w:val="both"/>
        <w:rPr>
          <w:rFonts w:ascii="Times New Roman" w:hAnsi="Times New Roman" w:cs="Times New Roman"/>
          <w:lang w:val="es-PE"/>
        </w:rPr>
      </w:pPr>
      <w:r w:rsidRPr="009C0D47">
        <w:rPr>
          <w:rFonts w:ascii="Times New Roman" w:hAnsi="Times New Roman" w:cs="Times New Roman"/>
          <w:bCs/>
          <w:sz w:val="24"/>
          <w:lang w:val="es-PE"/>
        </w:rPr>
        <w:t xml:space="preserve">Esto es, el Colegiado apreció que </w:t>
      </w:r>
      <w:r w:rsidRPr="009C0D47">
        <w:rPr>
          <w:rFonts w:ascii="Times New Roman" w:hAnsi="Times New Roman" w:cs="Times New Roman"/>
          <w:sz w:val="24"/>
          <w:lang w:val="es-PE"/>
        </w:rPr>
        <w:t>las partes pactaron expresamente en contra de la suspensión de cobertura con la previa comunicación solo al contratante del y asegurado de la póliza, puesto que bajo el tenor del citado Endoso se dispuso que la suspensión no podía operar sin previo aviso al Banco, siendo suficiente para ese efecto la carta en donde la aseguradora le informa a dicha entidad acerca de la posibilidad de suspensión de cobertura por falta de pago.</w:t>
      </w:r>
    </w:p>
    <w:p w14:paraId="28BCFF37" w14:textId="0DEFCB15"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En esa medida la reclamación fue amparada, por cuanto al momento en que se emitió la Resolución Impugnada, la aseguradora no acreditó que había cumplido con el requisito que ella misma había estipulado en el mencionado endoso para oponer la suspensión. A través del recurso presentado, la aseguradora lejos de acreditar que cumplió con el envío de dicha comunicación de suspensión al Banco, postula dos nuevos argumentos que a continuación analizaremos.</w:t>
      </w:r>
    </w:p>
    <w:p w14:paraId="5549459A" w14:textId="3D7844B8" w:rsidR="009C0D47" w:rsidRPr="009C0D47" w:rsidRDefault="009C0D47" w:rsidP="009C0D47">
      <w:pPr>
        <w:spacing w:line="240" w:lineRule="auto"/>
        <w:jc w:val="both"/>
        <w:rPr>
          <w:rFonts w:ascii="Times New Roman" w:hAnsi="Times New Roman" w:cs="Times New Roman"/>
          <w:b/>
          <w:bCs/>
          <w:i/>
          <w:iCs/>
          <w:u w:val="single"/>
          <w:lang w:val="es-PE"/>
        </w:rPr>
      </w:pPr>
      <w:r w:rsidRPr="009C0D47">
        <w:rPr>
          <w:rFonts w:ascii="Times New Roman" w:hAnsi="Times New Roman" w:cs="Times New Roman"/>
          <w:b/>
          <w:bCs/>
          <w:i/>
          <w:iCs/>
          <w:sz w:val="24"/>
          <w:u w:val="single"/>
          <w:lang w:val="es-PE"/>
        </w:rPr>
        <w:t>2.1. Argumento de la aseguradora: La comunicación de suspensión al banco es una mera formalidad sin efectos jurídicos:</w:t>
      </w:r>
    </w:p>
    <w:p w14:paraId="770014F6" w14:textId="77777777" w:rsidR="009C0D47" w:rsidRPr="009C0D47" w:rsidRDefault="009C0D47" w:rsidP="009C0D47">
      <w:pPr>
        <w:spacing w:line="240" w:lineRule="auto"/>
        <w:jc w:val="both"/>
        <w:rPr>
          <w:rFonts w:ascii="Times New Roman" w:hAnsi="Times New Roman" w:cs="Times New Roman"/>
          <w:lang w:val="es-PE"/>
        </w:rPr>
      </w:pPr>
      <w:r w:rsidRPr="009C0D47">
        <w:rPr>
          <w:rFonts w:ascii="Times New Roman" w:hAnsi="Times New Roman" w:cs="Times New Roman"/>
          <w:sz w:val="24"/>
          <w:lang w:val="es-PE"/>
        </w:rPr>
        <w:t>Al respecto, la aseguradora considera que sí operó la suspensión por cuanto la comunicación al Banco era una mera formalidad, y solo debía cumplir con comunicar de la suspensión al asegurado.</w:t>
      </w:r>
    </w:p>
    <w:p w14:paraId="59311069" w14:textId="77777777" w:rsidR="009C0D47" w:rsidRPr="009C0D47" w:rsidRDefault="009C0D47" w:rsidP="009C0D47">
      <w:pPr>
        <w:spacing w:line="240" w:lineRule="auto"/>
        <w:jc w:val="both"/>
        <w:rPr>
          <w:rFonts w:ascii="Times New Roman" w:hAnsi="Times New Roman" w:cs="Times New Roman"/>
          <w:lang w:val="es-PE"/>
        </w:rPr>
      </w:pPr>
    </w:p>
    <w:p w14:paraId="6427B949" w14:textId="3E2ED75F"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Revisado el endoso suscrito entre las partes, este colegiado aprecia que la comunicación al Banco no fue pactada como una mera cortesía hacia el banco, sino como una condición previa para que la aseguradora pudiera suspender la cobertura por falta de pago. Toda vez que daba la posibilidad al banco, luego de enterado de la falta de pago gracias a la comunicación que debía entregarle la aseguradora, de evaluar realizar el pago de la prima en respaldo de sus intereses, evitando la suspensión de cobertura informada; siendo además que dicha carga establecida para la aseguradora, no fue redactada en términos de “podrá” comunicar al banco, sino como una obligación de envío al banco de la comunicación de suspensión “a que se refiere el artículo 21 la Ley del Contrato de Seguro”, el mismo que establece que para que opere la suspensión debe existir una comunicación previa; añadiendo asimismo, que “la comunicación al endosatario deberá entregarse como mínimo con 20 días de anticipación a la fecha en que se suspenda la cobertura”. </w:t>
      </w:r>
    </w:p>
    <w:p w14:paraId="79EA6DCC" w14:textId="4DAAAA2A"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A continuación, copiamos el referido texto consignado en la cesión de derechos a favor del endosatario Banco de Crédito (documento también denominado endoso a la póliza), contrato que constituye ley entre las partes (no una mera formalidad) y que no vulnera los principios establecidos en la Ley del Contrato de Seguro, como se señalará en el siguiente acápite:  </w:t>
      </w:r>
    </w:p>
    <w:p w14:paraId="0CFC9206" w14:textId="1B506A58"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w:t>
      </w:r>
    </w:p>
    <w:p w14:paraId="0D524548" w14:textId="0936C1FB" w:rsidR="009C0D47" w:rsidRPr="009C0D47" w:rsidRDefault="009C0D47" w:rsidP="009C0D47">
      <w:pPr>
        <w:spacing w:line="240" w:lineRule="auto"/>
        <w:jc w:val="both"/>
        <w:rPr>
          <w:rFonts w:ascii="Times New Roman" w:hAnsi="Times New Roman" w:cs="Times New Roman"/>
          <w:b/>
          <w:bCs/>
          <w:i/>
          <w:iCs/>
          <w:u w:val="single"/>
          <w:lang w:val="es-PE"/>
        </w:rPr>
      </w:pPr>
      <w:r>
        <w:rPr>
          <w:rFonts w:ascii="Times New Roman" w:hAnsi="Times New Roman"/>
          <w:sz w:val="24"/>
        </w:rPr>
        <w:t xml:space="preserve">2.2. Argumento de la aseguradora: La comunicación al Banco como condición previa para el endoso vulnera el artículo 21 de la Ley del Contrato de Seguro y artículos 7 y 8 del reglamento de pago de primas</w:t>
      </w:r>
    </w:p>
    <w:p w14:paraId="1EC177A3" w14:textId="3F603D59"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La aseguradora considera que incluir la comunicación al banco como condición previa para que opere la suspensión implica ir en contra de normas de superior jerarquía, pues el articulo 21 de la Ley del Contrato de Seguro, reglamentado por los artículos 7 y 8 del reglamento de pago de primas solo considera la comunicación de suspensión al asegurado.</w:t>
      </w:r>
    </w:p>
    <w:p w14:paraId="3E0008A8" w14:textId="5C35DA8C"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Al respecto, llama la atención que la aseguradora omita referirse al artículo I del Titulo I de la Ley del Contrato de Seguro, que, si bien establece que dicha ley tiene carácter imperativo, expresamente señala, que no obstante ello, se entenderán válidas las estipulaciones contractuales que sean más beneficiosas para el asegurado.</w:t>
      </w:r>
    </w:p>
    <w:p w14:paraId="454A1B4B" w14:textId="082FD0A9"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La Ley del Contrato de Seguro, en consecuencia, sí permite que las partes pacten en contrario a la misma, pero solo cuando el pacto resulta más beneficioso para el asegurado. En este caso, la disposición que obliga a ………………… a comunicar la suspensión por falta de pago a que se refiere el artículo 21 de la ley, además del asegurado, al banco, para que eventualmente este pueda hacerse cargo del pago de la prima; es evidentemente, una disposición más favorable para el asegurado; por lo que es admisible que difiera y vaya más allá de lo que establece el artículo 21 de la Ley del Contrato de Seguro. En efecto, no se está limitando los derechos del asegurado, sino que se está dándole más protección, por acuerdo de las partes, siendo que el contrato de seguro es ley entre las partes; y en consecuencia no se está vulnerando los principios contenidos en la Ley del Contrato de Seguro.</w:t>
      </w:r>
    </w:p>
    <w:p w14:paraId="0522E1E5" w14:textId="45F42B87" w:rsid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Conforme a lo expuesto, este colegiado no comparte la opinión de la aseguradora, y considera que al no haberse enviado la comunicación de suspensión al Banco, como fue expresamente pactado entre las partes en la cesión de derechos, no operó la suspensión prevista en el artículo 21 de la Ley del Contrato de Seguro.</w:t>
      </w:r>
    </w:p>
    <w:p w14:paraId="2C4BF9B1" w14:textId="77777777" w:rsidR="0054394B" w:rsidRDefault="0054394B" w:rsidP="009C0D47">
      <w:pPr>
        <w:spacing w:line="240" w:lineRule="auto"/>
        <w:jc w:val="both"/>
        <w:rPr>
          <w:rFonts w:ascii="Times New Roman" w:hAnsi="Times New Roman" w:cs="Times New Roman"/>
          <w:lang w:val="es-PE"/>
        </w:rPr>
      </w:pPr>
    </w:p>
    <w:p w14:paraId="72E29CDD" w14:textId="77777777" w:rsidR="0054394B" w:rsidRPr="009C0D47" w:rsidRDefault="0054394B" w:rsidP="009C0D47">
      <w:pPr>
        <w:spacing w:line="240" w:lineRule="auto"/>
        <w:jc w:val="both"/>
        <w:rPr>
          <w:rFonts w:ascii="Times New Roman" w:hAnsi="Times New Roman" w:cs="Times New Roman"/>
          <w:lang w:val="es-PE"/>
        </w:rPr>
      </w:pPr>
    </w:p>
    <w:p w14:paraId="1EFEDB87" w14:textId="3DEC8B88" w:rsidR="009C0D47" w:rsidRPr="009C0D47" w:rsidRDefault="009C0D47" w:rsidP="009C0D47">
      <w:pPr>
        <w:spacing w:line="240" w:lineRule="auto"/>
        <w:jc w:val="both"/>
        <w:rPr>
          <w:rFonts w:ascii="Times New Roman" w:hAnsi="Times New Roman" w:cs="Times New Roman"/>
          <w:b/>
          <w:lang w:val="es-PE"/>
        </w:rPr>
      </w:pPr>
      <w:r w:rsidRPr="009C0D47">
        <w:rPr>
          <w:rFonts w:ascii="Times New Roman" w:hAnsi="Times New Roman" w:cs="Times New Roman"/>
          <w:b/>
          <w:sz w:val="24"/>
          <w:lang w:val="es-PE"/>
        </w:rPr>
        <w:lastRenderedPageBreak/>
        <w:t>ATENDIENDO A LO EXPRESADO, CONFORME A SU REGLAMENTO, ESTE COLEGIADO RESUELVE:</w:t>
      </w:r>
    </w:p>
    <w:p w14:paraId="32387CD8" w14:textId="094E611D" w:rsidR="009C0D47" w:rsidRPr="009C0D47" w:rsidRDefault="009C0D47" w:rsidP="009C0D47">
      <w:pPr>
        <w:spacing w:line="240" w:lineRule="auto"/>
        <w:jc w:val="both"/>
        <w:rPr>
          <w:rFonts w:ascii="Times New Roman" w:hAnsi="Times New Roman" w:cs="Times New Roman"/>
          <w:lang w:val="es-PE"/>
        </w:rPr>
      </w:pPr>
      <w:r>
        <w:rPr>
          <w:rFonts w:ascii="Times New Roman" w:hAnsi="Times New Roman"/>
          <w:sz w:val="24"/>
        </w:rPr>
        <w:t xml:space="preserve">Declarar INFUNDADO el Recurso de Impugnación interpuesto por ………………… y, por consiguiente, CONFIRMAR la Resolución N° 084/25 que declaró fundado el reclamo interpuesto por …………………</w:t>
      </w:r>
    </w:p>
    <w:p w14:paraId="51EDAB4B" w14:textId="6A7B4569" w:rsidR="00B32E8A" w:rsidRPr="009C0D47" w:rsidRDefault="0091528B" w:rsidP="00657814">
      <w:pPr>
        <w:spacing w:line="240" w:lineRule="auto"/>
        <w:jc w:val="right"/>
        <w:rPr>
          <w:rFonts w:ascii="Times New Roman" w:hAnsi="Times New Roman" w:cs="Times New Roman"/>
          <w:sz w:val="24"/>
          <w:szCs w:val="24"/>
          <w:lang w:val="es-PE"/>
        </w:rPr>
      </w:pPr>
      <w:r w:rsidRPr="009C0D47">
        <w:rPr>
          <w:rFonts w:ascii="Times New Roman" w:eastAsia="Arial Unicode MS" w:hAnsi="Times New Roman" w:cs="Times New Roman"/>
          <w:sz w:val="24"/>
          <w:szCs w:val="24"/>
          <w:lang w:val="es-PE" w:eastAsia="ar-SA"/>
        </w:rPr>
        <w:t>Lima,</w:t>
      </w:r>
      <w:r w:rsidR="00774D05" w:rsidRPr="009C0D47">
        <w:rPr>
          <w:rFonts w:ascii="Times New Roman" w:eastAsia="Arial Unicode MS" w:hAnsi="Times New Roman" w:cs="Times New Roman"/>
          <w:sz w:val="24"/>
          <w:szCs w:val="24"/>
          <w:lang w:val="es-PE" w:eastAsia="ar-SA"/>
        </w:rPr>
        <w:t xml:space="preserve"> </w:t>
      </w:r>
      <w:r w:rsidR="00EB3A2B" w:rsidRPr="009C0D47">
        <w:rPr>
          <w:rFonts w:ascii="Times New Roman" w:eastAsia="Arial Unicode MS" w:hAnsi="Times New Roman" w:cs="Times New Roman"/>
          <w:sz w:val="24"/>
          <w:szCs w:val="24"/>
          <w:lang w:val="es-PE" w:eastAsia="ar-SA"/>
        </w:rPr>
        <w:t>03</w:t>
      </w:r>
      <w:r w:rsidR="00B8209E" w:rsidRPr="009C0D47">
        <w:rPr>
          <w:rFonts w:ascii="Times New Roman" w:eastAsia="Arial Unicode MS" w:hAnsi="Times New Roman" w:cs="Times New Roman"/>
          <w:sz w:val="24"/>
          <w:szCs w:val="24"/>
          <w:lang w:val="es-PE" w:eastAsia="ar-SA"/>
        </w:rPr>
        <w:t xml:space="preserve"> </w:t>
      </w:r>
      <w:r w:rsidR="00707C99" w:rsidRPr="009C0D47">
        <w:rPr>
          <w:rFonts w:ascii="Times New Roman" w:eastAsia="Arial Unicode MS" w:hAnsi="Times New Roman" w:cs="Times New Roman"/>
          <w:sz w:val="24"/>
          <w:szCs w:val="24"/>
          <w:lang w:val="es-PE" w:eastAsia="ar-SA"/>
        </w:rPr>
        <w:t xml:space="preserve">de </w:t>
      </w:r>
      <w:r w:rsidR="00FF5223" w:rsidRPr="009C0D47">
        <w:rPr>
          <w:rFonts w:ascii="Times New Roman" w:eastAsia="Arial Unicode MS" w:hAnsi="Times New Roman" w:cs="Times New Roman"/>
          <w:sz w:val="24"/>
          <w:szCs w:val="24"/>
          <w:lang w:val="es-PE" w:eastAsia="ar-SA"/>
        </w:rPr>
        <w:t>ju</w:t>
      </w:r>
      <w:r w:rsidR="00EB3A2B" w:rsidRPr="009C0D47">
        <w:rPr>
          <w:rFonts w:ascii="Times New Roman" w:eastAsia="Arial Unicode MS" w:hAnsi="Times New Roman" w:cs="Times New Roman"/>
          <w:sz w:val="24"/>
          <w:szCs w:val="24"/>
          <w:lang w:val="es-PE" w:eastAsia="ar-SA"/>
        </w:rPr>
        <w:t>l</w:t>
      </w:r>
      <w:r w:rsidR="00FF5223" w:rsidRPr="009C0D47">
        <w:rPr>
          <w:rFonts w:ascii="Times New Roman" w:eastAsia="Arial Unicode MS" w:hAnsi="Times New Roman" w:cs="Times New Roman"/>
          <w:sz w:val="24"/>
          <w:szCs w:val="24"/>
          <w:lang w:val="es-PE" w:eastAsia="ar-SA"/>
        </w:rPr>
        <w:t>io</w:t>
      </w:r>
      <w:r w:rsidR="002F478E" w:rsidRPr="009C0D47">
        <w:rPr>
          <w:rFonts w:ascii="Times New Roman" w:eastAsia="Arial Unicode MS" w:hAnsi="Times New Roman" w:cs="Times New Roman"/>
          <w:sz w:val="24"/>
          <w:szCs w:val="24"/>
          <w:lang w:val="es-PE" w:eastAsia="ar-SA"/>
        </w:rPr>
        <w:t xml:space="preserve"> </w:t>
      </w:r>
      <w:r w:rsidR="00F06498" w:rsidRPr="009C0D47">
        <w:rPr>
          <w:rFonts w:ascii="Times New Roman" w:eastAsia="Arial Unicode MS" w:hAnsi="Times New Roman" w:cs="Times New Roman"/>
          <w:sz w:val="24"/>
          <w:szCs w:val="24"/>
          <w:lang w:val="es-PE" w:eastAsia="ar-SA"/>
        </w:rPr>
        <w:t>de 202</w:t>
      </w:r>
      <w:r w:rsidR="00AE4D37" w:rsidRPr="009C0D47">
        <w:rPr>
          <w:rFonts w:ascii="Times New Roman" w:eastAsia="Arial Unicode MS" w:hAnsi="Times New Roman" w:cs="Times New Roman"/>
          <w:sz w:val="24"/>
          <w:szCs w:val="24"/>
          <w:lang w:val="es-PE" w:eastAsia="ar-SA"/>
        </w:rPr>
        <w:t>5</w:t>
      </w:r>
      <w:r w:rsidR="00707C99" w:rsidRPr="009C0D47">
        <w:rPr>
          <w:rFonts w:ascii="Times New Roman" w:eastAsia="Times New Roman" w:hAnsi="Times New Roman" w:cs="Times New Roman"/>
          <w:sz w:val="24"/>
          <w:szCs w:val="24"/>
          <w:lang w:val="es-PE" w:eastAsia="ar-SA"/>
        </w:rPr>
        <w:t xml:space="preserve"> </w:t>
      </w:r>
    </w:p>
    <w:p w14:paraId="1B6988F6" w14:textId="77777777" w:rsidR="00A323F4" w:rsidRPr="009C0D47" w:rsidRDefault="00A323F4" w:rsidP="00657814">
      <w:pPr>
        <w:spacing w:after="0" w:line="240" w:lineRule="auto"/>
        <w:jc w:val="both"/>
        <w:rPr>
          <w:rFonts w:ascii="Times New Roman" w:hAnsi="Times New Roman" w:cs="Times New Roman"/>
          <w:b/>
          <w:bCs/>
          <w:i/>
          <w:iCs/>
          <w:sz w:val="24"/>
          <w:szCs w:val="24"/>
          <w:lang w:val="es-PE"/>
        </w:rPr>
      </w:pPr>
      <w:r w:rsidRPr="009C0D4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9C0D47" w:rsidRDefault="008D26BA" w:rsidP="00657814">
      <w:pPr>
        <w:spacing w:after="0" w:line="360" w:lineRule="auto"/>
        <w:jc w:val="both"/>
        <w:rPr>
          <w:rFonts w:ascii="Times New Roman" w:hAnsi="Times New Roman" w:cs="Times New Roman"/>
          <w:b/>
          <w:bCs/>
          <w:i/>
          <w:iCs/>
          <w:sz w:val="24"/>
          <w:szCs w:val="24"/>
          <w:lang w:val="es-PE"/>
        </w:rPr>
      </w:pPr>
    </w:p>
    <w:p w14:paraId="220AA7AD" w14:textId="4331E0E4" w:rsidR="007543CD" w:rsidRPr="009C0D47" w:rsidRDefault="008D26BA" w:rsidP="00657814">
      <w:pPr>
        <w:spacing w:after="0" w:line="360" w:lineRule="auto"/>
        <w:jc w:val="center"/>
        <w:rPr>
          <w:rFonts w:ascii="Times New Roman" w:hAnsi="Times New Roman" w:cs="Times New Roman"/>
          <w:b/>
          <w:bCs/>
          <w:sz w:val="24"/>
          <w:szCs w:val="24"/>
          <w:lang w:val="es-PE"/>
        </w:rPr>
      </w:pPr>
      <w:r w:rsidRPr="009C0D47">
        <w:rPr>
          <w:rFonts w:ascii="Times New Roman" w:hAnsi="Times New Roman" w:cs="Times New Roman"/>
          <w:b/>
          <w:bCs/>
          <w:sz w:val="24"/>
          <w:szCs w:val="24"/>
          <w:lang w:val="es-PE"/>
        </w:rPr>
        <w:t xml:space="preserve">Rolando Eyzaguirre </w:t>
      </w:r>
      <w:proofErr w:type="spellStart"/>
      <w:r w:rsidRPr="009C0D47">
        <w:rPr>
          <w:rFonts w:ascii="Times New Roman" w:hAnsi="Times New Roman" w:cs="Times New Roman"/>
          <w:b/>
          <w:bCs/>
          <w:sz w:val="24"/>
          <w:szCs w:val="24"/>
          <w:lang w:val="es-PE"/>
        </w:rPr>
        <w:t>Maccan</w:t>
      </w:r>
      <w:proofErr w:type="spellEnd"/>
      <w:r w:rsidRPr="009C0D47">
        <w:rPr>
          <w:rFonts w:ascii="Times New Roman" w:hAnsi="Times New Roman" w:cs="Times New Roman"/>
          <w:b/>
          <w:bCs/>
          <w:sz w:val="24"/>
          <w:szCs w:val="24"/>
          <w:lang w:val="es-PE"/>
        </w:rPr>
        <w:t xml:space="preserve"> </w:t>
      </w:r>
      <w:r w:rsidR="007543CD" w:rsidRPr="009C0D47">
        <w:rPr>
          <w:rFonts w:ascii="Times New Roman" w:hAnsi="Times New Roman" w:cs="Times New Roman"/>
          <w:b/>
          <w:bCs/>
          <w:sz w:val="24"/>
          <w:szCs w:val="24"/>
          <w:lang w:val="es-PE"/>
        </w:rPr>
        <w:t xml:space="preserve">– </w:t>
      </w:r>
      <w:proofErr w:type="gramStart"/>
      <w:r w:rsidR="007543CD" w:rsidRPr="009C0D47">
        <w:rPr>
          <w:rFonts w:ascii="Times New Roman" w:hAnsi="Times New Roman" w:cs="Times New Roman"/>
          <w:b/>
          <w:bCs/>
          <w:sz w:val="24"/>
          <w:szCs w:val="24"/>
          <w:lang w:val="es-PE"/>
        </w:rPr>
        <w:t>Presidente</w:t>
      </w:r>
      <w:proofErr w:type="gramEnd"/>
    </w:p>
    <w:p w14:paraId="5B7063E0" w14:textId="43329098" w:rsidR="008D26BA" w:rsidRPr="009C0D47" w:rsidRDefault="008D26BA" w:rsidP="00657814">
      <w:pPr>
        <w:spacing w:after="0" w:line="360" w:lineRule="auto"/>
        <w:jc w:val="center"/>
        <w:rPr>
          <w:rFonts w:ascii="Times New Roman" w:hAnsi="Times New Roman" w:cs="Times New Roman"/>
          <w:b/>
          <w:bCs/>
          <w:sz w:val="24"/>
          <w:szCs w:val="24"/>
          <w:lang w:val="es-PE"/>
        </w:rPr>
      </w:pPr>
      <w:r w:rsidRPr="009C0D47">
        <w:rPr>
          <w:rFonts w:ascii="Times New Roman" w:hAnsi="Times New Roman" w:cs="Times New Roman"/>
          <w:b/>
          <w:bCs/>
          <w:sz w:val="24"/>
          <w:szCs w:val="24"/>
          <w:lang w:val="es-PE"/>
        </w:rPr>
        <w:t>María Eugenia Valdez Fernández Baca – Vocal</w:t>
      </w:r>
    </w:p>
    <w:p w14:paraId="69BFE54F" w14:textId="628D5C27" w:rsidR="007543CD" w:rsidRPr="009C0D47" w:rsidRDefault="001B08C0" w:rsidP="00657814">
      <w:pPr>
        <w:spacing w:after="0" w:line="360" w:lineRule="auto"/>
        <w:jc w:val="center"/>
        <w:rPr>
          <w:rFonts w:ascii="Times New Roman" w:hAnsi="Times New Roman" w:cs="Times New Roman"/>
          <w:sz w:val="24"/>
          <w:szCs w:val="24"/>
          <w:lang w:val="es-PE"/>
        </w:rPr>
      </w:pPr>
      <w:r w:rsidRPr="009C0D47">
        <w:rPr>
          <w:rFonts w:ascii="Times New Roman" w:hAnsi="Times New Roman" w:cs="Times New Roman"/>
          <w:b/>
          <w:bCs/>
          <w:sz w:val="24"/>
          <w:szCs w:val="24"/>
          <w:lang w:val="es-PE"/>
        </w:rPr>
        <w:t xml:space="preserve">Antonio José Rodríguez Lobatón </w:t>
      </w:r>
      <w:r w:rsidR="007543CD" w:rsidRPr="009C0D47">
        <w:rPr>
          <w:rFonts w:ascii="Times New Roman" w:hAnsi="Times New Roman" w:cs="Times New Roman"/>
          <w:b/>
          <w:bCs/>
          <w:sz w:val="24"/>
          <w:szCs w:val="24"/>
          <w:lang w:val="es-PE"/>
        </w:rPr>
        <w:t>–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80A0" w14:textId="77777777" w:rsidR="00486C3B" w:rsidRDefault="00486C3B" w:rsidP="00784355">
      <w:pPr>
        <w:spacing w:after="0" w:line="240" w:lineRule="auto"/>
      </w:pPr>
      <w:r>
        <w:separator/>
      </w:r>
    </w:p>
  </w:endnote>
  <w:endnote w:type="continuationSeparator" w:id="0">
    <w:p w14:paraId="45A16E52" w14:textId="77777777" w:rsidR="00486C3B" w:rsidRDefault="00486C3B"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33F97" w14:textId="77777777" w:rsidR="00486C3B" w:rsidRDefault="00486C3B" w:rsidP="00784355">
      <w:pPr>
        <w:spacing w:after="0" w:line="240" w:lineRule="auto"/>
      </w:pPr>
      <w:r>
        <w:separator/>
      </w:r>
    </w:p>
  </w:footnote>
  <w:footnote w:type="continuationSeparator" w:id="0">
    <w:p w14:paraId="45F4900F" w14:textId="77777777" w:rsidR="00486C3B" w:rsidRDefault="00486C3B" w:rsidP="00784355">
      <w:pPr>
        <w:spacing w:after="0" w:line="240" w:lineRule="auto"/>
      </w:pPr>
      <w:r>
        <w:continuationSeparator/>
      </w:r>
    </w:p>
  </w:footnote>
  <w:footnote w:id="1">
    <w:p w14:paraId="0647C560" w14:textId="77777777" w:rsidR="009C0D47" w:rsidRPr="0054394B" w:rsidRDefault="009C0D47" w:rsidP="0054394B">
      <w:pPr>
        <w:spacing w:before="100" w:beforeAutospacing="1" w:after="100" w:afterAutospacing="1"/>
        <w:jc w:val="both"/>
        <w:rPr>
          <w:rFonts w:ascii="Times New Roman" w:hAnsi="Times New Roman" w:cs="Times New Roman"/>
          <w:i/>
          <w:iCs/>
          <w:sz w:val="18"/>
          <w:szCs w:val="18"/>
          <w:lang w:eastAsia="es-PE"/>
        </w:rPr>
      </w:pPr>
      <w:r w:rsidRPr="0054394B">
        <w:rPr>
          <w:rStyle w:val="Refdenotaalpie"/>
          <w:rFonts w:ascii="Times New Roman" w:hAnsi="Times New Roman" w:cs="Times New Roman"/>
          <w:i/>
          <w:iCs/>
          <w:sz w:val="18"/>
          <w:szCs w:val="18"/>
        </w:rPr>
        <w:footnoteRef/>
      </w:r>
      <w:r w:rsidRPr="0054394B">
        <w:rPr>
          <w:rFonts w:ascii="Times New Roman" w:hAnsi="Times New Roman" w:cs="Times New Roman"/>
          <w:i/>
          <w:iCs/>
          <w:sz w:val="18"/>
          <w:szCs w:val="18"/>
        </w:rPr>
        <w:t xml:space="preserve"> </w:t>
      </w:r>
      <w:proofErr w:type="spellStart"/>
      <w:r w:rsidRPr="0054394B">
        <w:rPr>
          <w:rFonts w:ascii="Times New Roman" w:hAnsi="Times New Roman" w:cs="Times New Roman"/>
          <w:b/>
          <w:bCs/>
          <w:i/>
          <w:iCs/>
          <w:sz w:val="18"/>
          <w:szCs w:val="18"/>
          <w:lang w:eastAsia="es-PE"/>
        </w:rPr>
        <w:t>Artículo</w:t>
      </w:r>
      <w:proofErr w:type="spellEnd"/>
      <w:r w:rsidRPr="0054394B">
        <w:rPr>
          <w:rFonts w:ascii="Times New Roman" w:hAnsi="Times New Roman" w:cs="Times New Roman"/>
          <w:b/>
          <w:bCs/>
          <w:i/>
          <w:iCs/>
          <w:sz w:val="18"/>
          <w:szCs w:val="18"/>
          <w:lang w:eastAsia="es-PE"/>
        </w:rPr>
        <w:t xml:space="preserve"> I. </w:t>
      </w:r>
      <w:r w:rsidRPr="0054394B">
        <w:rPr>
          <w:rFonts w:ascii="Times New Roman" w:hAnsi="Times New Roman" w:cs="Times New Roman"/>
          <w:i/>
          <w:iCs/>
          <w:sz w:val="18"/>
          <w:szCs w:val="18"/>
          <w:lang w:eastAsia="es-PE"/>
        </w:rPr>
        <w:t xml:space="preserve">La </w:t>
      </w:r>
      <w:proofErr w:type="spellStart"/>
      <w:r w:rsidRPr="0054394B">
        <w:rPr>
          <w:rFonts w:ascii="Times New Roman" w:hAnsi="Times New Roman" w:cs="Times New Roman"/>
          <w:i/>
          <w:iCs/>
          <w:sz w:val="18"/>
          <w:szCs w:val="18"/>
          <w:lang w:eastAsia="es-PE"/>
        </w:rPr>
        <w:t>presente</w:t>
      </w:r>
      <w:proofErr w:type="spellEnd"/>
      <w:r w:rsidRPr="0054394B">
        <w:rPr>
          <w:rFonts w:ascii="Times New Roman" w:hAnsi="Times New Roman" w:cs="Times New Roman"/>
          <w:i/>
          <w:iCs/>
          <w:sz w:val="18"/>
          <w:szCs w:val="18"/>
          <w:lang w:eastAsia="es-PE"/>
        </w:rPr>
        <w:t xml:space="preserve"> Ley se </w:t>
      </w:r>
      <w:proofErr w:type="spellStart"/>
      <w:r w:rsidRPr="0054394B">
        <w:rPr>
          <w:rFonts w:ascii="Times New Roman" w:hAnsi="Times New Roman" w:cs="Times New Roman"/>
          <w:i/>
          <w:iCs/>
          <w:sz w:val="18"/>
          <w:szCs w:val="18"/>
          <w:lang w:eastAsia="es-PE"/>
        </w:rPr>
        <w:t>aplica</w:t>
      </w:r>
      <w:proofErr w:type="spellEnd"/>
      <w:r w:rsidRPr="0054394B">
        <w:rPr>
          <w:rFonts w:ascii="Times New Roman" w:hAnsi="Times New Roman" w:cs="Times New Roman"/>
          <w:i/>
          <w:iCs/>
          <w:sz w:val="18"/>
          <w:szCs w:val="18"/>
          <w:lang w:eastAsia="es-PE"/>
        </w:rPr>
        <w:t xml:space="preserve"> a </w:t>
      </w:r>
      <w:proofErr w:type="spellStart"/>
      <w:r w:rsidRPr="0054394B">
        <w:rPr>
          <w:rFonts w:ascii="Times New Roman" w:hAnsi="Times New Roman" w:cs="Times New Roman"/>
          <w:i/>
          <w:iCs/>
          <w:sz w:val="18"/>
          <w:szCs w:val="18"/>
          <w:lang w:eastAsia="es-PE"/>
        </w:rPr>
        <w:t>todas</w:t>
      </w:r>
      <w:proofErr w:type="spellEnd"/>
      <w:r w:rsidRPr="0054394B">
        <w:rPr>
          <w:rFonts w:ascii="Times New Roman" w:hAnsi="Times New Roman" w:cs="Times New Roman"/>
          <w:i/>
          <w:iCs/>
          <w:sz w:val="18"/>
          <w:szCs w:val="18"/>
          <w:lang w:eastAsia="es-PE"/>
        </w:rPr>
        <w:t xml:space="preserve"> las </w:t>
      </w:r>
      <w:proofErr w:type="spellStart"/>
      <w:r w:rsidRPr="0054394B">
        <w:rPr>
          <w:rFonts w:ascii="Times New Roman" w:hAnsi="Times New Roman" w:cs="Times New Roman"/>
          <w:i/>
          <w:iCs/>
          <w:sz w:val="18"/>
          <w:szCs w:val="18"/>
          <w:lang w:eastAsia="es-PE"/>
        </w:rPr>
        <w:t>clases</w:t>
      </w:r>
      <w:proofErr w:type="spellEnd"/>
      <w:r w:rsidRPr="0054394B">
        <w:rPr>
          <w:rFonts w:ascii="Times New Roman" w:hAnsi="Times New Roman" w:cs="Times New Roman"/>
          <w:i/>
          <w:iCs/>
          <w:sz w:val="18"/>
          <w:szCs w:val="18"/>
          <w:lang w:eastAsia="es-PE"/>
        </w:rPr>
        <w:t xml:space="preserve"> de </w:t>
      </w:r>
      <w:proofErr w:type="spellStart"/>
      <w:r w:rsidRPr="0054394B">
        <w:rPr>
          <w:rFonts w:ascii="Times New Roman" w:hAnsi="Times New Roman" w:cs="Times New Roman"/>
          <w:i/>
          <w:iCs/>
          <w:sz w:val="18"/>
          <w:szCs w:val="18"/>
          <w:lang w:eastAsia="es-PE"/>
        </w:rPr>
        <w:t>seguro</w:t>
      </w:r>
      <w:proofErr w:type="spellEnd"/>
      <w:r w:rsidRPr="0054394B">
        <w:rPr>
          <w:rFonts w:ascii="Times New Roman" w:hAnsi="Times New Roman" w:cs="Times New Roman"/>
          <w:i/>
          <w:iCs/>
          <w:sz w:val="18"/>
          <w:szCs w:val="18"/>
          <w:lang w:eastAsia="es-PE"/>
        </w:rPr>
        <w:t xml:space="preserve"> y </w:t>
      </w:r>
      <w:proofErr w:type="spellStart"/>
      <w:r w:rsidRPr="0054394B">
        <w:rPr>
          <w:rFonts w:ascii="Times New Roman" w:hAnsi="Times New Roman" w:cs="Times New Roman"/>
          <w:i/>
          <w:iCs/>
          <w:sz w:val="18"/>
          <w:szCs w:val="18"/>
          <w:lang w:eastAsia="es-PE"/>
        </w:rPr>
        <w:t>tiene</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carácter</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imperativo</w:t>
      </w:r>
      <w:proofErr w:type="spellEnd"/>
      <w:r w:rsidRPr="0054394B">
        <w:rPr>
          <w:rFonts w:ascii="Times New Roman" w:hAnsi="Times New Roman" w:cs="Times New Roman"/>
          <w:i/>
          <w:iCs/>
          <w:sz w:val="18"/>
          <w:szCs w:val="18"/>
          <w:lang w:eastAsia="es-PE"/>
        </w:rPr>
        <w:t xml:space="preserve">, salvo que </w:t>
      </w:r>
      <w:proofErr w:type="spellStart"/>
      <w:r w:rsidRPr="0054394B">
        <w:rPr>
          <w:rFonts w:ascii="Times New Roman" w:hAnsi="Times New Roman" w:cs="Times New Roman"/>
          <w:i/>
          <w:iCs/>
          <w:sz w:val="18"/>
          <w:szCs w:val="18"/>
          <w:lang w:eastAsia="es-PE"/>
        </w:rPr>
        <w:t>admita</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expresamente</w:t>
      </w:r>
      <w:proofErr w:type="spellEnd"/>
      <w:r w:rsidRPr="0054394B">
        <w:rPr>
          <w:rFonts w:ascii="Times New Roman" w:hAnsi="Times New Roman" w:cs="Times New Roman"/>
          <w:i/>
          <w:iCs/>
          <w:sz w:val="18"/>
          <w:szCs w:val="18"/>
          <w:lang w:eastAsia="es-PE"/>
        </w:rPr>
        <w:t xml:space="preserve"> lo </w:t>
      </w:r>
      <w:proofErr w:type="spellStart"/>
      <w:r w:rsidRPr="0054394B">
        <w:rPr>
          <w:rFonts w:ascii="Times New Roman" w:hAnsi="Times New Roman" w:cs="Times New Roman"/>
          <w:i/>
          <w:iCs/>
          <w:sz w:val="18"/>
          <w:szCs w:val="18"/>
          <w:lang w:eastAsia="es-PE"/>
        </w:rPr>
        <w:t>contrario</w:t>
      </w:r>
      <w:proofErr w:type="spellEnd"/>
      <w:r w:rsidRPr="0054394B">
        <w:rPr>
          <w:rFonts w:ascii="Times New Roman" w:hAnsi="Times New Roman" w:cs="Times New Roman"/>
          <w:i/>
          <w:iCs/>
          <w:sz w:val="18"/>
          <w:szCs w:val="18"/>
          <w:lang w:eastAsia="es-PE"/>
        </w:rPr>
        <w:t xml:space="preserve">. No obstante, se </w:t>
      </w:r>
      <w:proofErr w:type="spellStart"/>
      <w:r w:rsidRPr="0054394B">
        <w:rPr>
          <w:rFonts w:ascii="Times New Roman" w:hAnsi="Times New Roman" w:cs="Times New Roman"/>
          <w:i/>
          <w:iCs/>
          <w:sz w:val="18"/>
          <w:szCs w:val="18"/>
          <w:lang w:eastAsia="es-PE"/>
        </w:rPr>
        <w:t>entenderán</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válidas</w:t>
      </w:r>
      <w:proofErr w:type="spellEnd"/>
      <w:r w:rsidRPr="0054394B">
        <w:rPr>
          <w:rFonts w:ascii="Times New Roman" w:hAnsi="Times New Roman" w:cs="Times New Roman"/>
          <w:i/>
          <w:iCs/>
          <w:sz w:val="18"/>
          <w:szCs w:val="18"/>
          <w:lang w:eastAsia="es-PE"/>
        </w:rPr>
        <w:t xml:space="preserve"> las </w:t>
      </w:r>
      <w:proofErr w:type="spellStart"/>
      <w:r w:rsidRPr="0054394B">
        <w:rPr>
          <w:rFonts w:ascii="Times New Roman" w:hAnsi="Times New Roman" w:cs="Times New Roman"/>
          <w:i/>
          <w:iCs/>
          <w:sz w:val="18"/>
          <w:szCs w:val="18"/>
          <w:lang w:eastAsia="es-PE"/>
        </w:rPr>
        <w:t>estipulaciones</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contractuales</w:t>
      </w:r>
      <w:proofErr w:type="spellEnd"/>
      <w:r w:rsidRPr="0054394B">
        <w:rPr>
          <w:rFonts w:ascii="Times New Roman" w:hAnsi="Times New Roman" w:cs="Times New Roman"/>
          <w:i/>
          <w:iCs/>
          <w:sz w:val="18"/>
          <w:szCs w:val="18"/>
          <w:lang w:eastAsia="es-PE"/>
        </w:rPr>
        <w:t xml:space="preserve"> que </w:t>
      </w:r>
      <w:proofErr w:type="spellStart"/>
      <w:r w:rsidRPr="0054394B">
        <w:rPr>
          <w:rFonts w:ascii="Times New Roman" w:hAnsi="Times New Roman" w:cs="Times New Roman"/>
          <w:i/>
          <w:iCs/>
          <w:sz w:val="18"/>
          <w:szCs w:val="18"/>
          <w:lang w:eastAsia="es-PE"/>
        </w:rPr>
        <w:t>sean</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más</w:t>
      </w:r>
      <w:proofErr w:type="spellEnd"/>
      <w:r w:rsidRPr="0054394B">
        <w:rPr>
          <w:rFonts w:ascii="Times New Roman" w:hAnsi="Times New Roman" w:cs="Times New Roman"/>
          <w:i/>
          <w:iCs/>
          <w:sz w:val="18"/>
          <w:szCs w:val="18"/>
          <w:lang w:eastAsia="es-PE"/>
        </w:rPr>
        <w:t xml:space="preserve"> </w:t>
      </w:r>
      <w:proofErr w:type="spellStart"/>
      <w:r w:rsidRPr="0054394B">
        <w:rPr>
          <w:rFonts w:ascii="Times New Roman" w:hAnsi="Times New Roman" w:cs="Times New Roman"/>
          <w:i/>
          <w:iCs/>
          <w:sz w:val="18"/>
          <w:szCs w:val="18"/>
          <w:lang w:eastAsia="es-PE"/>
        </w:rPr>
        <w:t>beneficiosas</w:t>
      </w:r>
      <w:proofErr w:type="spellEnd"/>
      <w:r w:rsidRPr="0054394B">
        <w:rPr>
          <w:rFonts w:ascii="Times New Roman" w:hAnsi="Times New Roman" w:cs="Times New Roman"/>
          <w:i/>
          <w:iCs/>
          <w:sz w:val="18"/>
          <w:szCs w:val="18"/>
          <w:lang w:eastAsia="es-PE"/>
        </w:rPr>
        <w:t xml:space="preserve"> para el </w:t>
      </w:r>
      <w:proofErr w:type="spellStart"/>
      <w:r w:rsidRPr="0054394B">
        <w:rPr>
          <w:rFonts w:ascii="Times New Roman" w:hAnsi="Times New Roman" w:cs="Times New Roman"/>
          <w:i/>
          <w:iCs/>
          <w:sz w:val="18"/>
          <w:szCs w:val="18"/>
          <w:lang w:eastAsia="es-PE"/>
        </w:rPr>
        <w:t>asegurado</w:t>
      </w:r>
      <w:proofErr w:type="spellEnd"/>
      <w:r w:rsidRPr="0054394B">
        <w:rPr>
          <w:rFonts w:ascii="Times New Roman" w:hAnsi="Times New Roman" w:cs="Times New Roman"/>
          <w:i/>
          <w:iCs/>
          <w:sz w:val="18"/>
          <w:szCs w:val="18"/>
          <w:lang w:eastAsia="es-PE"/>
        </w:rPr>
        <w:t>.</w:t>
      </w:r>
    </w:p>
    <w:p w14:paraId="0A6BB8F6" w14:textId="77777777" w:rsidR="009C0D47" w:rsidRPr="00FE07DA" w:rsidRDefault="009C0D47" w:rsidP="009C0D4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0CAE6EE-AEA7-430B-9711-A546C643523D}"/>
</file>

<file path=customXml/itemProps3.xml><?xml version="1.0" encoding="utf-8"?>
<ds:datastoreItem xmlns:ds="http://schemas.openxmlformats.org/officeDocument/2006/customXml" ds:itemID="{08BAE42F-7E9F-42E8-B11F-D311E57A06D6}"/>
</file>

<file path=customXml/itemProps4.xml><?xml version="1.0" encoding="utf-8"?>
<ds:datastoreItem xmlns:ds="http://schemas.openxmlformats.org/officeDocument/2006/customXml" ds:itemID="{6CAA60F9-2478-4803-9CAA-5AC7FB1A9141}"/>
</file>

<file path=docProps/app.xml><?xml version="1.0" encoding="utf-8"?>
<Properties xmlns="http://schemas.openxmlformats.org/officeDocument/2006/extended-properties" xmlns:vt="http://schemas.openxmlformats.org/officeDocument/2006/docPropsVTypes">
  <Template>Normal</Template>
  <TotalTime>361</TotalTime>
  <Pages>4</Pages>
  <Words>1494</Words>
  <Characters>8221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406</cp:revision>
  <cp:lastPrinted>2025-07-01T15:41:00Z</cp:lastPrinted>
  <dcterms:created xsi:type="dcterms:W3CDTF">2023-02-14T22:37:00Z</dcterms:created>
  <dcterms:modified xsi:type="dcterms:W3CDTF">2025-07-10T16:18:00Z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