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91872" w14:textId="7AC1FD78" w:rsidR="009C0D47" w:rsidRPr="009C0D47" w:rsidRDefault="00201C0D" w:rsidP="009C0D47">
      <w:pPr>
        <w:spacing w:after="0" w:line="240" w:lineRule="auto"/>
        <w:jc w:val="center"/>
        <w:rPr>
          <w:rFonts w:ascii="Times New Roman" w:hAnsi="Times New Roman" w:cs="Times New Roman"/>
          <w:b/>
          <w:sz w:val="24"/>
          <w:szCs w:val="24"/>
          <w:lang w:val="es-PE" w:eastAsia="ar-SA"/>
        </w:rPr>
      </w:pPr>
      <w:r w:rsidRPr="009C0D47">
        <w:rPr>
          <w:rFonts w:ascii="Times New Roman" w:hAnsi="Times New Roman" w:cs="Times New Roman"/>
          <w:b/>
          <w:sz w:val="24"/>
          <w:szCs w:val="24"/>
          <w:lang w:val="es-PE" w:eastAsia="ar-SA"/>
        </w:rPr>
        <w:t xml:space="preserve">RESOLUCIÓN DE RECURSO IMPUGNATIVO </w:t>
      </w:r>
      <w:r w:rsidR="00707C99" w:rsidRPr="009C0D47">
        <w:rPr>
          <w:rFonts w:ascii="Times New Roman" w:hAnsi="Times New Roman" w:cs="Times New Roman"/>
          <w:b/>
          <w:sz w:val="24"/>
          <w:szCs w:val="24"/>
          <w:lang w:val="es-PE" w:eastAsia="ar-SA"/>
        </w:rPr>
        <w:t xml:space="preserve">N° </w:t>
      </w:r>
      <w:r w:rsidR="00516293" w:rsidRPr="009C0D47">
        <w:rPr>
          <w:rFonts w:ascii="Times New Roman" w:hAnsi="Times New Roman" w:cs="Times New Roman"/>
          <w:b/>
          <w:sz w:val="24"/>
          <w:szCs w:val="24"/>
          <w:lang w:val="es-PE" w:eastAsia="ar-SA"/>
        </w:rPr>
        <w:t>0</w:t>
      </w:r>
      <w:r w:rsidR="000C321D" w:rsidRPr="009C0D47">
        <w:rPr>
          <w:rFonts w:ascii="Times New Roman" w:hAnsi="Times New Roman" w:cs="Times New Roman"/>
          <w:b/>
          <w:sz w:val="24"/>
          <w:szCs w:val="24"/>
          <w:lang w:val="es-PE" w:eastAsia="ar-SA"/>
        </w:rPr>
        <w:t>3</w:t>
      </w:r>
      <w:r w:rsidR="00271BA0">
        <w:rPr>
          <w:rFonts w:ascii="Times New Roman" w:hAnsi="Times New Roman" w:cs="Times New Roman"/>
          <w:b/>
          <w:sz w:val="24"/>
          <w:szCs w:val="24"/>
          <w:lang w:val="es-PE" w:eastAsia="ar-SA"/>
        </w:rPr>
        <w:t>7</w:t>
      </w:r>
      <w:r w:rsidR="00C671F5" w:rsidRPr="009C0D47">
        <w:rPr>
          <w:rFonts w:ascii="Times New Roman" w:hAnsi="Times New Roman" w:cs="Times New Roman"/>
          <w:b/>
          <w:sz w:val="24"/>
          <w:szCs w:val="24"/>
          <w:lang w:val="es-PE" w:eastAsia="ar-SA"/>
        </w:rPr>
        <w:t>/2</w:t>
      </w:r>
      <w:r w:rsidR="00A74F96" w:rsidRPr="009C0D47">
        <w:rPr>
          <w:rFonts w:ascii="Times New Roman" w:hAnsi="Times New Roman" w:cs="Times New Roman"/>
          <w:b/>
          <w:sz w:val="24"/>
          <w:szCs w:val="24"/>
          <w:lang w:val="es-PE" w:eastAsia="ar-SA"/>
        </w:rPr>
        <w:t>5</w:t>
      </w:r>
    </w:p>
    <w:p w14:paraId="39E0714F" w14:textId="4661FE27" w:rsidR="007A7790" w:rsidRPr="007A7790" w:rsidRDefault="007A7790" w:rsidP="007A7790">
      <w:pPr>
        <w:spacing w:line="240" w:lineRule="auto"/>
        <w:jc w:val="both"/>
        <w:rPr>
          <w:rFonts w:ascii="Times New Roman" w:eastAsia="Arial Unicode MS" w:hAnsi="Times New Roman" w:cs="Times New Roman"/>
          <w:b/>
          <w:bCs/>
          <w:sz w:val="24"/>
          <w:szCs w:val="24"/>
          <w:lang w:val="es-MX" w:eastAsia="ar-SA"/>
        </w:rPr>
      </w:pPr>
      <w:r w:rsidRPr="007A7790">
        <w:rPr>
          <w:rFonts w:ascii="Times New Roman" w:eastAsia="Arial Unicode MS" w:hAnsi="Times New Roman" w:cs="Times New Roman"/>
          <w:b/>
          <w:bCs/>
          <w:sz w:val="24"/>
          <w:szCs w:val="24"/>
          <w:lang w:val="es-MX" w:eastAsia="ar-SA"/>
        </w:rPr>
        <w:t>Vistos:</w:t>
      </w:r>
    </w:p>
    <w:p w14:paraId="11498406" w14:textId="444DE76F" w:rsidR="007A7790" w:rsidRPr="007A7790" w:rsidRDefault="007A7790" w:rsidP="007A7790">
      <w:pPr>
        <w:spacing w:line="240" w:lineRule="auto"/>
        <w:jc w:val="both"/>
        <w:rPr>
          <w:rFonts w:ascii="Times New Roman" w:eastAsia="Arial Unicode MS" w:hAnsi="Times New Roman" w:cs="Times New Roman"/>
          <w:b/>
          <w:sz w:val="24"/>
          <w:szCs w:val="24"/>
          <w:lang w:val="es-MX" w:eastAsia="ar-SA"/>
        </w:rPr>
      </w:pPr>
      <w:r>
        <w:rPr>
          <w:rFonts w:ascii="Times New Roman" w:hAnsi="Times New Roman"/>
          <w:sz w:val="24"/>
        </w:rPr>
        <w:t xml:space="preserve">El Recurso de Impugnación presentado por ………………… respecto de la Resolución Nº 74/25 de fecha 27 de mayo de 2025, que declara infundado el reclamo prestando contra …………………, dejando a salvo el derecho de la reclamante de acudir a las instancias que considere pertinentes.</w:t>
      </w:r>
    </w:p>
    <w:bookmarkEnd w:id="0"/>
    <w:p w14:paraId="491036AB" w14:textId="5CD60F00" w:rsidR="007A7790" w:rsidRPr="007A7790" w:rsidRDefault="007A7790" w:rsidP="007A7790">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reclamante manifiesta su disconformidad con lo resuelto señalando resumidamente lo siguiente: a) que el documento presentado por la aseguradora como Anexo 1 no es un documento valido, pues no está firmado por todas las partes; b) que el contrato marco suscrito entre la aseguradora y Essalud, no tiene relación directa con la Póliza …………………-Colectivo 6360033; c) que con los documentos presentados se ha vulnerado el principio de buena fe y principio de legalidad, presentando un documento apócrifo para sustentar un beneficio en desmedro de un tercero; por lo que se solicita a los Defensoría ordenar a ………………… cumplir con el pago del monto señalado en la póliza como importe de indemnización.</w:t>
      </w:r>
    </w:p>
    <w:p w14:paraId="634747CE" w14:textId="1D6DC099" w:rsidR="007A7790" w:rsidRPr="007A7790" w:rsidRDefault="007A7790" w:rsidP="007A7790">
      <w:pPr>
        <w:spacing w:line="240" w:lineRule="auto"/>
        <w:jc w:val="both"/>
        <w:rPr>
          <w:rFonts w:ascii="Times New Roman" w:eastAsia="Arial Unicode MS" w:hAnsi="Times New Roman" w:cs="Times New Roman"/>
          <w:bCs/>
          <w:sz w:val="24"/>
          <w:szCs w:val="24"/>
          <w:lang w:val="es-MX" w:eastAsia="ar-SA"/>
        </w:rPr>
      </w:pPr>
      <w:r w:rsidRPr="007A7790">
        <w:rPr>
          <w:rFonts w:ascii="Times New Roman" w:eastAsia="Arial Unicode MS" w:hAnsi="Times New Roman" w:cs="Times New Roman"/>
          <w:bCs/>
          <w:sz w:val="24"/>
          <w:szCs w:val="24"/>
          <w:lang w:val="es-MX" w:eastAsia="ar-SA"/>
        </w:rPr>
        <w:t xml:space="preserve">Que, habiéndose corrido traslado de la impugnación a la aseguradora, esta reiteró los </w:t>
      </w:r>
      <w:proofErr w:type="gramStart"/>
      <w:r w:rsidRPr="007A7790">
        <w:rPr>
          <w:rFonts w:ascii="Times New Roman" w:eastAsia="Arial Unicode MS" w:hAnsi="Times New Roman" w:cs="Times New Roman"/>
          <w:bCs/>
          <w:sz w:val="24"/>
          <w:szCs w:val="24"/>
          <w:lang w:val="es-MX" w:eastAsia="ar-SA"/>
        </w:rPr>
        <w:t>argumentos expuesto</w:t>
      </w:r>
      <w:proofErr w:type="gramEnd"/>
      <w:r w:rsidRPr="007A7790">
        <w:rPr>
          <w:rFonts w:ascii="Times New Roman" w:eastAsia="Arial Unicode MS" w:hAnsi="Times New Roman" w:cs="Times New Roman"/>
          <w:bCs/>
          <w:sz w:val="24"/>
          <w:szCs w:val="24"/>
          <w:lang w:val="es-MX" w:eastAsia="ar-SA"/>
        </w:rPr>
        <w:t xml:space="preserve"> en sus descargos, señalando que las sumas aseguradas contratadas con fecha 26/12/2023 ascienden a S/80,000 para las coberturas de muerte accidental, e invalidez total y permanente por accidente. </w:t>
      </w:r>
      <w:proofErr w:type="gramStart"/>
      <w:r w:rsidRPr="007A7790">
        <w:rPr>
          <w:rFonts w:ascii="Times New Roman" w:eastAsia="Arial Unicode MS" w:hAnsi="Times New Roman" w:cs="Times New Roman"/>
          <w:bCs/>
          <w:sz w:val="24"/>
          <w:szCs w:val="24"/>
          <w:lang w:val="es-MX" w:eastAsia="ar-SA"/>
        </w:rPr>
        <w:t>Asimismo</w:t>
      </w:r>
      <w:proofErr w:type="gramEnd"/>
      <w:r w:rsidRPr="007A7790">
        <w:rPr>
          <w:rFonts w:ascii="Times New Roman" w:eastAsia="Arial Unicode MS" w:hAnsi="Times New Roman" w:cs="Times New Roman"/>
          <w:bCs/>
          <w:sz w:val="24"/>
          <w:szCs w:val="24"/>
          <w:lang w:val="es-MX" w:eastAsia="ar-SA"/>
        </w:rPr>
        <w:t xml:space="preserve"> señaló </w:t>
      </w:r>
      <w:proofErr w:type="gramStart"/>
      <w:r w:rsidRPr="007A7790">
        <w:rPr>
          <w:rFonts w:ascii="Times New Roman" w:eastAsia="Arial Unicode MS" w:hAnsi="Times New Roman" w:cs="Times New Roman"/>
          <w:bCs/>
          <w:sz w:val="24"/>
          <w:szCs w:val="24"/>
          <w:lang w:val="es-MX" w:eastAsia="ar-SA"/>
        </w:rPr>
        <w:t>que  el</w:t>
      </w:r>
      <w:proofErr w:type="gramEnd"/>
      <w:r w:rsidRPr="007A7790">
        <w:rPr>
          <w:rFonts w:ascii="Times New Roman" w:eastAsia="Arial Unicode MS" w:hAnsi="Times New Roman" w:cs="Times New Roman"/>
          <w:bCs/>
          <w:sz w:val="24"/>
          <w:szCs w:val="24"/>
          <w:lang w:val="es-MX" w:eastAsia="ar-SA"/>
        </w:rPr>
        <w:t xml:space="preserve"> documento invocado por la reclamante consta con fechas de vigencia del 01/01/2025 al 01/01/2026, por lo que sin perjuicio de los alegados ya invocados, dicho documento no corresponde a la fecha del lamentable siniestro; por lo que solicitan declarar infundado el recurso impugnatorio</w:t>
      </w:r>
    </w:p>
    <w:p w14:paraId="04B15EE4" w14:textId="71320A2E" w:rsidR="007A7790" w:rsidRPr="007A7790" w:rsidRDefault="007A7790" w:rsidP="007A7790">
      <w:pPr>
        <w:spacing w:line="240" w:lineRule="auto"/>
        <w:jc w:val="both"/>
        <w:rPr>
          <w:rFonts w:ascii="Times New Roman" w:eastAsia="Arial Unicode MS" w:hAnsi="Times New Roman" w:cs="Times New Roman"/>
          <w:bCs/>
          <w:sz w:val="24"/>
          <w:szCs w:val="24"/>
          <w:lang w:val="es-MX" w:eastAsia="ar-SA"/>
        </w:rPr>
      </w:pPr>
      <w:r w:rsidRPr="007A7790">
        <w:rPr>
          <w:rFonts w:ascii="Times New Roman" w:eastAsia="Arial Unicode MS" w:hAnsi="Times New Roman" w:cs="Times New Roman"/>
          <w:b/>
          <w:bCs/>
          <w:sz w:val="24"/>
          <w:szCs w:val="24"/>
          <w:lang w:val="es-MX" w:eastAsia="ar-SA"/>
        </w:rPr>
        <w:t>Considerando:</w:t>
      </w:r>
    </w:p>
    <w:p w14:paraId="34D2C977" w14:textId="44F6EAF1" w:rsidR="007A7790" w:rsidRPr="007A7790" w:rsidRDefault="007A7790" w:rsidP="007A779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0F98A4CC" w14:textId="5F52946D"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r w:rsidRPr="007A7790">
        <w:rPr>
          <w:rFonts w:ascii="Times New Roman" w:eastAsia="Arial Unicode MS" w:hAnsi="Times New Roman" w:cs="Times New Roman"/>
          <w:b/>
          <w:sz w:val="24"/>
          <w:szCs w:val="24"/>
          <w:u w:val="single"/>
          <w:lang w:val="es-PE" w:eastAsia="ar-SA"/>
        </w:rPr>
        <w:t>Segundo</w:t>
      </w:r>
      <w:r w:rsidRPr="007A7790">
        <w:rPr>
          <w:rFonts w:ascii="Times New Roman" w:eastAsia="Arial Unicode MS" w:hAnsi="Times New Roman" w:cs="Times New Roman"/>
          <w:b/>
          <w:sz w:val="24"/>
          <w:szCs w:val="24"/>
          <w:lang w:val="es-PE" w:eastAsia="ar-SA"/>
        </w:rPr>
        <w:t>:</w:t>
      </w:r>
      <w:r w:rsidRPr="007A7790">
        <w:rPr>
          <w:rFonts w:ascii="Times New Roman" w:eastAsia="Arial Unicode MS" w:hAnsi="Times New Roman" w:cs="Times New Roman"/>
          <w:sz w:val="24"/>
          <w:szCs w:val="24"/>
          <w:lang w:val="es-PE" w:eastAsia="ar-SA"/>
        </w:rPr>
        <w:t xml:space="preserve"> Atendiendo a los fundamentos de la impugnación interpuesta, se advierte que la reclamante insiste en sus argumentos ya analizados, fundamentando su recurso en que la aseguradora ha presentado documentos apócrifos y en que el contrato marco suscrito con Essalud no tiene relación con la póliza que nos ocupa.</w:t>
      </w:r>
    </w:p>
    <w:p w14:paraId="30769324" w14:textId="3FE56F00"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r w:rsidRPr="007A7790">
        <w:rPr>
          <w:rFonts w:ascii="Times New Roman" w:eastAsia="Arial Unicode MS" w:hAnsi="Times New Roman" w:cs="Times New Roman"/>
          <w:sz w:val="24"/>
          <w:szCs w:val="24"/>
          <w:lang w:val="es-PE" w:eastAsia="ar-SA"/>
        </w:rPr>
        <w:t xml:space="preserve">Este colegiado respeta, pero no comparte la posición de la reclamante. </w:t>
      </w:r>
    </w:p>
    <w:p w14:paraId="4FF7A2EB" w14:textId="77777777"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fue expresado en la Resolución Impugnada, la póliza que nos ocupa, es una póliza grupal suscrita entre Essalud y ………………… que se suscribe como consecuencia de un proceso de selección para elegir a la compañía de seguros que ofrecerá el Seguro “´Vida Seguro de Accidentes”, a fin de brindar coberturas adicionales y complementarias a las que Essalud brinda, siendo que el contrato marco tiene por objeto regular la relación entre Essalud y ………………… (tal como figura en las cláusulas primera y segunda del indicado contrato); y, señala en la cláusula quinta las características que tiene dicho seguro, las cuales se describen en los Anexos 1 y 2 del indicado contrato. </w:t>
      </w:r>
    </w:p>
    <w:p w14:paraId="6A31FF37" w14:textId="77777777"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p>
    <w:p w14:paraId="20678915" w14:textId="341E5B00"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r w:rsidRPr="007A7790">
        <w:rPr>
          <w:rFonts w:ascii="Times New Roman" w:eastAsia="Arial Unicode MS" w:hAnsi="Times New Roman" w:cs="Times New Roman"/>
          <w:sz w:val="24"/>
          <w:szCs w:val="24"/>
          <w:lang w:val="es-PE" w:eastAsia="ar-SA"/>
        </w:rPr>
        <w:lastRenderedPageBreak/>
        <w:t xml:space="preserve">Siendo un seguro contratado dentro del marco de un concurso público, las partes (Essalud y aseguradora), deben sujetarse a las condiciones establecidas en las bases </w:t>
      </w:r>
      <w:proofErr w:type="gramStart"/>
      <w:r w:rsidRPr="007A7790">
        <w:rPr>
          <w:rFonts w:ascii="Times New Roman" w:eastAsia="Arial Unicode MS" w:hAnsi="Times New Roman" w:cs="Times New Roman"/>
          <w:sz w:val="24"/>
          <w:szCs w:val="24"/>
          <w:lang w:val="es-PE" w:eastAsia="ar-SA"/>
        </w:rPr>
        <w:t>del mismo</w:t>
      </w:r>
      <w:proofErr w:type="gramEnd"/>
      <w:r w:rsidRPr="007A7790">
        <w:rPr>
          <w:rFonts w:ascii="Times New Roman" w:eastAsia="Arial Unicode MS" w:hAnsi="Times New Roman" w:cs="Times New Roman"/>
          <w:sz w:val="24"/>
          <w:szCs w:val="24"/>
          <w:lang w:val="es-PE" w:eastAsia="ar-SA"/>
        </w:rPr>
        <w:t>, siendo que además la propia Essalud publica las coberturas en su página web (</w:t>
      </w:r>
      <w:hyperlink r:id="rId9" w:history="1">
        <w:r w:rsidRPr="007A7790">
          <w:rPr>
            <w:rStyle w:val="Hipervnculo"/>
            <w:rFonts w:ascii="Times New Roman" w:eastAsia="Arial Unicode MS" w:hAnsi="Times New Roman" w:cs="Times New Roman"/>
            <w:sz w:val="24"/>
            <w:szCs w:val="24"/>
            <w:lang w:val="es-PE" w:eastAsia="ar-SA"/>
          </w:rPr>
          <w:t>https://www.gob.pe/265-seguro-contra-accidentes-de-essalud-vida-cobertura</w:t>
        </w:r>
      </w:hyperlink>
      <w:r w:rsidRPr="007A7790">
        <w:rPr>
          <w:rFonts w:ascii="Times New Roman" w:eastAsia="Arial Unicode MS" w:hAnsi="Times New Roman" w:cs="Times New Roman"/>
          <w:sz w:val="24"/>
          <w:szCs w:val="24"/>
          <w:lang w:val="es-PE" w:eastAsia="ar-SA"/>
        </w:rPr>
        <w:t>).</w:t>
      </w:r>
    </w:p>
    <w:p w14:paraId="6438AF4E" w14:textId="127FAB48"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Por otro lado, tal y como fue referido en la Resolución Impugnada, el documento en el que se basa la reclamante para sustentar su pretensión (primera página de la Póliza …………………), hace referencia a un periodo de vigencia (desde 01.01.2025 hasta 01.01.2026) que no corresponde al del fallecimiento del asegurado, por lo que no puede ser considerado para que este colegiado disponga el pago de la suma pretendida por la reclamante. Ello sin mencionar que la aseguradora señala que dichas sumas corresponden a la suma total en conjunto de las coberturas por muerte accidental, más no son las sumas que corresponde indemnizar.  </w:t>
      </w:r>
    </w:p>
    <w:p w14:paraId="338149C3" w14:textId="599EE200" w:rsidR="007A7790" w:rsidRPr="007A7790" w:rsidRDefault="007A7790" w:rsidP="007A7790">
      <w:pPr>
        <w:spacing w:line="240" w:lineRule="auto"/>
        <w:jc w:val="both"/>
        <w:rPr>
          <w:rFonts w:ascii="Times New Roman" w:eastAsia="Arial Unicode MS" w:hAnsi="Times New Roman" w:cs="Times New Roman"/>
          <w:sz w:val="24"/>
          <w:szCs w:val="24"/>
          <w:lang w:val="es-PE" w:eastAsia="ar-SA"/>
        </w:rPr>
      </w:pPr>
      <w:r w:rsidRPr="007A7790">
        <w:rPr>
          <w:rFonts w:ascii="Times New Roman" w:eastAsia="Arial Unicode MS" w:hAnsi="Times New Roman" w:cs="Times New Roman"/>
          <w:b/>
          <w:sz w:val="24"/>
          <w:szCs w:val="24"/>
          <w:u w:val="single"/>
          <w:lang w:val="es-PE" w:eastAsia="ar-SA"/>
        </w:rPr>
        <w:t>Tercero</w:t>
      </w:r>
      <w:r w:rsidRPr="007A7790">
        <w:rPr>
          <w:rFonts w:ascii="Times New Roman" w:eastAsia="Arial Unicode MS" w:hAnsi="Times New Roman" w:cs="Times New Roman"/>
          <w:b/>
          <w:sz w:val="24"/>
          <w:szCs w:val="24"/>
          <w:lang w:val="es-PE" w:eastAsia="ar-SA"/>
        </w:rPr>
        <w:t>:</w:t>
      </w:r>
      <w:r w:rsidRPr="007A7790">
        <w:rPr>
          <w:rFonts w:ascii="Times New Roman" w:eastAsia="Arial Unicode MS" w:hAnsi="Times New Roman" w:cs="Times New Roman"/>
          <w:sz w:val="24"/>
          <w:szCs w:val="24"/>
          <w:lang w:val="es-PE" w:eastAsia="ar-SA"/>
        </w:rPr>
        <w:t xml:space="preserve"> Ese colegiado tiene a bien precisar que, </w:t>
      </w:r>
      <w:r w:rsidRPr="007A7790">
        <w:rPr>
          <w:rFonts w:ascii="Times New Roman" w:eastAsia="Arial Unicode MS" w:hAnsi="Times New Roman" w:cs="Times New Roman"/>
          <w:sz w:val="24"/>
          <w:szCs w:val="24"/>
          <w:lang w:val="es-419" w:eastAsia="ar-SA"/>
        </w:rPr>
        <w:t xml:space="preserve">conforme al reglamento de la DEFASEG, </w:t>
      </w:r>
      <w:r w:rsidRPr="007A7790">
        <w:rPr>
          <w:rFonts w:ascii="Times New Roman" w:eastAsia="Arial Unicode MS" w:hAnsi="Times New Roman" w:cs="Times New Roman"/>
          <w:sz w:val="24"/>
          <w:szCs w:val="24"/>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p w14:paraId="0E8EED69" w14:textId="5EBBCE40" w:rsidR="007A7790" w:rsidRPr="007A7790" w:rsidRDefault="007A7790" w:rsidP="007A7790">
      <w:pPr>
        <w:spacing w:line="240" w:lineRule="auto"/>
        <w:jc w:val="both"/>
        <w:rPr>
          <w:rFonts w:ascii="Times New Roman" w:eastAsia="Arial Unicode MS" w:hAnsi="Times New Roman" w:cs="Times New Roman"/>
          <w:sz w:val="24"/>
          <w:szCs w:val="24"/>
          <w:lang w:val="es-ES" w:eastAsia="ar-SA"/>
        </w:rPr>
      </w:pPr>
      <w:r w:rsidRPr="007A7790">
        <w:rPr>
          <w:rFonts w:ascii="Times New Roman" w:eastAsia="Arial Unicode MS" w:hAnsi="Times New Roman" w:cs="Times New Roman"/>
          <w:sz w:val="24"/>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71FEF1A0" w14:textId="2FCCD0B6" w:rsidR="007A7790" w:rsidRPr="007A7790" w:rsidRDefault="007A7790" w:rsidP="007A7790">
      <w:pPr>
        <w:spacing w:line="240" w:lineRule="auto"/>
        <w:jc w:val="both"/>
        <w:rPr>
          <w:rFonts w:ascii="Times New Roman" w:eastAsia="Arial Unicode MS" w:hAnsi="Times New Roman" w:cs="Times New Roman"/>
          <w:b/>
          <w:bCs/>
          <w:sz w:val="24"/>
          <w:szCs w:val="24"/>
          <w:lang w:val="es-PE" w:eastAsia="ar-SA"/>
        </w:rPr>
      </w:pPr>
      <w:r w:rsidRPr="007A7790">
        <w:rPr>
          <w:rFonts w:ascii="Times New Roman" w:eastAsia="Arial Unicode MS" w:hAnsi="Times New Roman" w:cs="Times New Roman"/>
          <w:b/>
          <w:bCs/>
          <w:sz w:val="24"/>
          <w:szCs w:val="24"/>
          <w:lang w:val="es-ES" w:eastAsia="ar-SA"/>
        </w:rPr>
        <w:t xml:space="preserve">RESUELVE: </w:t>
      </w:r>
    </w:p>
    <w:p w14:paraId="5C887C29" w14:textId="77777777" w:rsidR="007A7790" w:rsidRPr="007A7790" w:rsidRDefault="007A7790" w:rsidP="007A7790">
      <w:pPr>
        <w:spacing w:line="240" w:lineRule="auto"/>
        <w:jc w:val="both"/>
        <w:rPr>
          <w:rFonts w:ascii="Times New Roman" w:eastAsia="Arial Unicode MS" w:hAnsi="Times New Roman" w:cs="Times New Roman"/>
          <w:sz w:val="24"/>
          <w:szCs w:val="24"/>
          <w:lang w:val="es-ES" w:eastAsia="ar-SA"/>
        </w:rPr>
      </w:pPr>
      <w:r w:rsidRPr="007A7790">
        <w:rPr>
          <w:rFonts w:ascii="Times New Roman" w:eastAsia="Arial Unicode MS" w:hAnsi="Times New Roman" w:cs="Times New Roman"/>
          <w:bCs/>
          <w:sz w:val="24"/>
          <w:szCs w:val="24"/>
          <w:lang w:val="es-PE" w:eastAsia="ar-SA"/>
        </w:rPr>
        <w:t xml:space="preserve">Declarar </w:t>
      </w:r>
      <w:r w:rsidRPr="007A7790">
        <w:rPr>
          <w:rFonts w:ascii="Times New Roman" w:eastAsia="Arial Unicode MS" w:hAnsi="Times New Roman" w:cs="Times New Roman"/>
          <w:b/>
          <w:sz w:val="24"/>
          <w:szCs w:val="24"/>
          <w:lang w:val="es-PE" w:eastAsia="ar-SA"/>
        </w:rPr>
        <w:t xml:space="preserve">INFUNDADO </w:t>
      </w:r>
      <w:r w:rsidRPr="007A7790">
        <w:rPr>
          <w:rFonts w:ascii="Times New Roman" w:eastAsia="Arial Unicode MS" w:hAnsi="Times New Roman" w:cs="Times New Roman"/>
          <w:bCs/>
          <w:sz w:val="24"/>
          <w:szCs w:val="24"/>
          <w:lang w:val="es-PE" w:eastAsia="ar-SA"/>
        </w:rPr>
        <w:t>el recurso impugnativo</w:t>
      </w:r>
      <w:r w:rsidRPr="007A7790">
        <w:rPr>
          <w:rFonts w:ascii="Times New Roman" w:eastAsia="Arial Unicode MS" w:hAnsi="Times New Roman" w:cs="Times New Roman"/>
          <w:b/>
          <w:sz w:val="24"/>
          <w:szCs w:val="24"/>
          <w:lang w:val="es-PE" w:eastAsia="ar-SA"/>
        </w:rPr>
        <w:t xml:space="preserve"> </w:t>
      </w:r>
      <w:r w:rsidRPr="007A7790">
        <w:rPr>
          <w:rFonts w:ascii="Times New Roman" w:eastAsia="Arial Unicode MS" w:hAnsi="Times New Roman" w:cs="Times New Roman"/>
          <w:sz w:val="24"/>
          <w:szCs w:val="24"/>
          <w:lang w:val="es-PE" w:eastAsia="ar-SA"/>
        </w:rPr>
        <w:t>interpuesto y,</w:t>
      </w:r>
      <w:r w:rsidRPr="007A7790">
        <w:rPr>
          <w:rFonts w:ascii="Times New Roman" w:eastAsia="Arial Unicode MS" w:hAnsi="Times New Roman" w:cs="Times New Roman"/>
          <w:bCs/>
          <w:sz w:val="24"/>
          <w:szCs w:val="24"/>
          <w:lang w:val="es-ES" w:eastAsia="ar-SA"/>
        </w:rPr>
        <w:t xml:space="preserve"> por consiguiente, ratificar</w:t>
      </w:r>
      <w:r w:rsidRPr="007A7790">
        <w:rPr>
          <w:rFonts w:ascii="Times New Roman" w:eastAsia="Arial Unicode MS" w:hAnsi="Times New Roman" w:cs="Times New Roman"/>
          <w:sz w:val="24"/>
          <w:szCs w:val="24"/>
          <w:lang w:val="es-ES" w:eastAsia="ar-SA"/>
        </w:rPr>
        <w:t xml:space="preserve"> la Resolución Nº 074/25 de fecha 27 de mayo de 2025, dejando a salvo el derecho de la reclamante de acudir ante las instancias que estime pertinente.</w:t>
      </w:r>
    </w:p>
    <w:p w14:paraId="51EDAB4B" w14:textId="079ECF16" w:rsidR="00B32E8A" w:rsidRPr="009C0D47" w:rsidRDefault="0091528B" w:rsidP="00657814">
      <w:pPr>
        <w:spacing w:line="240" w:lineRule="auto"/>
        <w:jc w:val="right"/>
        <w:rPr>
          <w:rFonts w:ascii="Times New Roman" w:hAnsi="Times New Roman" w:cs="Times New Roman"/>
          <w:sz w:val="24"/>
          <w:szCs w:val="24"/>
          <w:lang w:val="es-PE"/>
        </w:rPr>
      </w:pPr>
      <w:r w:rsidRPr="009C0D47">
        <w:rPr>
          <w:rFonts w:ascii="Times New Roman" w:eastAsia="Arial Unicode MS" w:hAnsi="Times New Roman" w:cs="Times New Roman"/>
          <w:sz w:val="24"/>
          <w:szCs w:val="24"/>
          <w:lang w:val="es-PE" w:eastAsia="ar-SA"/>
        </w:rPr>
        <w:t>Lima,</w:t>
      </w:r>
      <w:r w:rsidR="00774D05" w:rsidRPr="009C0D47">
        <w:rPr>
          <w:rFonts w:ascii="Times New Roman" w:eastAsia="Arial Unicode MS" w:hAnsi="Times New Roman" w:cs="Times New Roman"/>
          <w:sz w:val="24"/>
          <w:szCs w:val="24"/>
          <w:lang w:val="es-PE" w:eastAsia="ar-SA"/>
        </w:rPr>
        <w:t xml:space="preserve"> </w:t>
      </w:r>
      <w:r w:rsidR="00EB3A2B" w:rsidRPr="009C0D47">
        <w:rPr>
          <w:rFonts w:ascii="Times New Roman" w:eastAsia="Arial Unicode MS" w:hAnsi="Times New Roman" w:cs="Times New Roman"/>
          <w:sz w:val="24"/>
          <w:szCs w:val="24"/>
          <w:lang w:val="es-PE" w:eastAsia="ar-SA"/>
        </w:rPr>
        <w:t>0</w:t>
      </w:r>
      <w:r w:rsidR="00271BA0">
        <w:rPr>
          <w:rFonts w:ascii="Times New Roman" w:eastAsia="Arial Unicode MS" w:hAnsi="Times New Roman" w:cs="Times New Roman"/>
          <w:sz w:val="24"/>
          <w:szCs w:val="24"/>
          <w:lang w:val="es-PE" w:eastAsia="ar-SA"/>
        </w:rPr>
        <w:t>9</w:t>
      </w:r>
      <w:r w:rsidR="00B8209E" w:rsidRPr="009C0D47">
        <w:rPr>
          <w:rFonts w:ascii="Times New Roman" w:eastAsia="Arial Unicode MS" w:hAnsi="Times New Roman" w:cs="Times New Roman"/>
          <w:sz w:val="24"/>
          <w:szCs w:val="24"/>
          <w:lang w:val="es-PE" w:eastAsia="ar-SA"/>
        </w:rPr>
        <w:t xml:space="preserve"> </w:t>
      </w:r>
      <w:r w:rsidR="00707C99" w:rsidRPr="009C0D47">
        <w:rPr>
          <w:rFonts w:ascii="Times New Roman" w:eastAsia="Arial Unicode MS" w:hAnsi="Times New Roman" w:cs="Times New Roman"/>
          <w:sz w:val="24"/>
          <w:szCs w:val="24"/>
          <w:lang w:val="es-PE" w:eastAsia="ar-SA"/>
        </w:rPr>
        <w:t xml:space="preserve">de </w:t>
      </w:r>
      <w:r w:rsidR="00FF5223" w:rsidRPr="009C0D47">
        <w:rPr>
          <w:rFonts w:ascii="Times New Roman" w:eastAsia="Arial Unicode MS" w:hAnsi="Times New Roman" w:cs="Times New Roman"/>
          <w:sz w:val="24"/>
          <w:szCs w:val="24"/>
          <w:lang w:val="es-PE" w:eastAsia="ar-SA"/>
        </w:rPr>
        <w:t>ju</w:t>
      </w:r>
      <w:r w:rsidR="00EB3A2B" w:rsidRPr="009C0D47">
        <w:rPr>
          <w:rFonts w:ascii="Times New Roman" w:eastAsia="Arial Unicode MS" w:hAnsi="Times New Roman" w:cs="Times New Roman"/>
          <w:sz w:val="24"/>
          <w:szCs w:val="24"/>
          <w:lang w:val="es-PE" w:eastAsia="ar-SA"/>
        </w:rPr>
        <w:t>l</w:t>
      </w:r>
      <w:r w:rsidR="00FF5223" w:rsidRPr="009C0D47">
        <w:rPr>
          <w:rFonts w:ascii="Times New Roman" w:eastAsia="Arial Unicode MS" w:hAnsi="Times New Roman" w:cs="Times New Roman"/>
          <w:sz w:val="24"/>
          <w:szCs w:val="24"/>
          <w:lang w:val="es-PE" w:eastAsia="ar-SA"/>
        </w:rPr>
        <w:t>io</w:t>
      </w:r>
      <w:r w:rsidR="002F478E" w:rsidRPr="009C0D47">
        <w:rPr>
          <w:rFonts w:ascii="Times New Roman" w:eastAsia="Arial Unicode MS" w:hAnsi="Times New Roman" w:cs="Times New Roman"/>
          <w:sz w:val="24"/>
          <w:szCs w:val="24"/>
          <w:lang w:val="es-PE" w:eastAsia="ar-SA"/>
        </w:rPr>
        <w:t xml:space="preserve"> </w:t>
      </w:r>
      <w:r w:rsidR="00F06498" w:rsidRPr="009C0D47">
        <w:rPr>
          <w:rFonts w:ascii="Times New Roman" w:eastAsia="Arial Unicode MS" w:hAnsi="Times New Roman" w:cs="Times New Roman"/>
          <w:sz w:val="24"/>
          <w:szCs w:val="24"/>
          <w:lang w:val="es-PE" w:eastAsia="ar-SA"/>
        </w:rPr>
        <w:t>de 202</w:t>
      </w:r>
      <w:r w:rsidR="00AE4D37" w:rsidRPr="009C0D47">
        <w:rPr>
          <w:rFonts w:ascii="Times New Roman" w:eastAsia="Arial Unicode MS" w:hAnsi="Times New Roman" w:cs="Times New Roman"/>
          <w:sz w:val="24"/>
          <w:szCs w:val="24"/>
          <w:lang w:val="es-PE" w:eastAsia="ar-SA"/>
        </w:rPr>
        <w:t>5</w:t>
      </w:r>
      <w:r w:rsidR="00707C99" w:rsidRPr="009C0D47">
        <w:rPr>
          <w:rFonts w:ascii="Times New Roman" w:eastAsia="Times New Roman" w:hAnsi="Times New Roman" w:cs="Times New Roman"/>
          <w:sz w:val="24"/>
          <w:szCs w:val="24"/>
          <w:lang w:val="es-PE" w:eastAsia="ar-SA"/>
        </w:rPr>
        <w:t xml:space="preserve"> </w:t>
      </w:r>
    </w:p>
    <w:p w14:paraId="1B6988F6" w14:textId="77777777" w:rsidR="00A323F4" w:rsidRPr="009C0D47" w:rsidRDefault="00A323F4" w:rsidP="00657814">
      <w:pPr>
        <w:spacing w:after="0" w:line="240" w:lineRule="auto"/>
        <w:jc w:val="both"/>
        <w:rPr>
          <w:rFonts w:ascii="Times New Roman" w:hAnsi="Times New Roman" w:cs="Times New Roman"/>
          <w:b/>
          <w:bCs/>
          <w:i/>
          <w:iCs/>
          <w:sz w:val="24"/>
          <w:szCs w:val="24"/>
          <w:lang w:val="es-PE"/>
        </w:rPr>
      </w:pPr>
      <w:r w:rsidRPr="009C0D4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9C0D47" w:rsidRDefault="008D26BA" w:rsidP="00657814">
      <w:pPr>
        <w:spacing w:after="0" w:line="360" w:lineRule="auto"/>
        <w:jc w:val="both"/>
        <w:rPr>
          <w:rFonts w:ascii="Times New Roman" w:hAnsi="Times New Roman" w:cs="Times New Roman"/>
          <w:b/>
          <w:bCs/>
          <w:i/>
          <w:iCs/>
          <w:sz w:val="24"/>
          <w:szCs w:val="24"/>
          <w:lang w:val="es-PE"/>
        </w:rPr>
      </w:pPr>
    </w:p>
    <w:p w14:paraId="220AA7AD" w14:textId="4331E0E4" w:rsidR="007543CD" w:rsidRPr="009C0D47" w:rsidRDefault="008D26BA" w:rsidP="00657814">
      <w:pPr>
        <w:spacing w:after="0" w:line="360" w:lineRule="auto"/>
        <w:jc w:val="center"/>
        <w:rPr>
          <w:rFonts w:ascii="Times New Roman" w:hAnsi="Times New Roman" w:cs="Times New Roman"/>
          <w:b/>
          <w:bCs/>
          <w:sz w:val="24"/>
          <w:szCs w:val="24"/>
          <w:lang w:val="es-PE"/>
        </w:rPr>
      </w:pPr>
      <w:r w:rsidRPr="009C0D47">
        <w:rPr>
          <w:rFonts w:ascii="Times New Roman" w:hAnsi="Times New Roman" w:cs="Times New Roman"/>
          <w:b/>
          <w:bCs/>
          <w:sz w:val="24"/>
          <w:szCs w:val="24"/>
          <w:lang w:val="es-PE"/>
        </w:rPr>
        <w:t xml:space="preserve">Rolando Eyzaguirre Maccan </w:t>
      </w:r>
      <w:r w:rsidR="007543CD" w:rsidRPr="009C0D47">
        <w:rPr>
          <w:rFonts w:ascii="Times New Roman" w:hAnsi="Times New Roman" w:cs="Times New Roman"/>
          <w:b/>
          <w:bCs/>
          <w:sz w:val="24"/>
          <w:szCs w:val="24"/>
          <w:lang w:val="es-PE"/>
        </w:rPr>
        <w:t xml:space="preserve">– </w:t>
      </w:r>
      <w:proofErr w:type="gramStart"/>
      <w:r w:rsidR="007543CD" w:rsidRPr="009C0D47">
        <w:rPr>
          <w:rFonts w:ascii="Times New Roman" w:hAnsi="Times New Roman" w:cs="Times New Roman"/>
          <w:b/>
          <w:bCs/>
          <w:sz w:val="24"/>
          <w:szCs w:val="24"/>
          <w:lang w:val="es-PE"/>
        </w:rPr>
        <w:t>Presidente</w:t>
      </w:r>
      <w:proofErr w:type="gramEnd"/>
    </w:p>
    <w:p w14:paraId="5B7063E0" w14:textId="43329098" w:rsidR="008D26BA" w:rsidRPr="009C0D47" w:rsidRDefault="008D26BA" w:rsidP="00657814">
      <w:pPr>
        <w:spacing w:after="0" w:line="360" w:lineRule="auto"/>
        <w:jc w:val="center"/>
        <w:rPr>
          <w:rFonts w:ascii="Times New Roman" w:hAnsi="Times New Roman" w:cs="Times New Roman"/>
          <w:b/>
          <w:bCs/>
          <w:sz w:val="24"/>
          <w:szCs w:val="24"/>
          <w:lang w:val="es-PE"/>
        </w:rPr>
      </w:pPr>
      <w:r w:rsidRPr="009C0D47">
        <w:rPr>
          <w:rFonts w:ascii="Times New Roman" w:hAnsi="Times New Roman" w:cs="Times New Roman"/>
          <w:b/>
          <w:bCs/>
          <w:sz w:val="24"/>
          <w:szCs w:val="24"/>
          <w:lang w:val="es-PE"/>
        </w:rPr>
        <w:t>María Eugenia Valdez Fernández Baca – Vocal</w:t>
      </w:r>
    </w:p>
    <w:p w14:paraId="69BFE54F" w14:textId="628D5C27" w:rsidR="007543CD" w:rsidRPr="009C0D47" w:rsidRDefault="001B08C0" w:rsidP="00657814">
      <w:pPr>
        <w:spacing w:after="0" w:line="360" w:lineRule="auto"/>
        <w:jc w:val="center"/>
        <w:rPr>
          <w:rFonts w:ascii="Times New Roman" w:hAnsi="Times New Roman" w:cs="Times New Roman"/>
          <w:sz w:val="24"/>
          <w:szCs w:val="24"/>
          <w:lang w:val="es-PE"/>
        </w:rPr>
      </w:pPr>
      <w:r w:rsidRPr="009C0D47">
        <w:rPr>
          <w:rFonts w:ascii="Times New Roman" w:hAnsi="Times New Roman" w:cs="Times New Roman"/>
          <w:b/>
          <w:bCs/>
          <w:sz w:val="24"/>
          <w:szCs w:val="24"/>
          <w:lang w:val="es-PE"/>
        </w:rPr>
        <w:t xml:space="preserve">Antonio José Rodríguez Lobatón </w:t>
      </w:r>
      <w:r w:rsidR="007543CD" w:rsidRPr="009C0D47">
        <w:rPr>
          <w:rFonts w:ascii="Times New Roman" w:hAnsi="Times New Roman" w:cs="Times New Roman"/>
          <w:b/>
          <w:bCs/>
          <w:sz w:val="24"/>
          <w:szCs w:val="24"/>
          <w:lang w:val="es-PE"/>
        </w:rPr>
        <w:t>–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30FDA" w14:textId="77777777" w:rsidR="00FA6756" w:rsidRDefault="00FA6756" w:rsidP="00784355">
      <w:pPr>
        <w:spacing w:after="0" w:line="240" w:lineRule="auto"/>
      </w:pPr>
      <w:r>
        <w:separator/>
      </w:r>
    </w:p>
  </w:endnote>
  <w:endnote w:type="continuationSeparator" w:id="0">
    <w:p w14:paraId="53834714" w14:textId="77777777" w:rsidR="00FA6756" w:rsidRDefault="00FA675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2CD3B" w14:textId="77777777" w:rsidR="00FA6756" w:rsidRDefault="00FA6756" w:rsidP="00784355">
      <w:pPr>
        <w:spacing w:after="0" w:line="240" w:lineRule="auto"/>
      </w:pPr>
      <w:r>
        <w:separator/>
      </w:r>
    </w:p>
  </w:footnote>
  <w:footnote w:type="continuationSeparator" w:id="0">
    <w:p w14:paraId="410357F9" w14:textId="77777777" w:rsidR="00FA6756" w:rsidRDefault="00FA675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b.pe/265-seguro-contra-accidentes-de-essalud-vida-cobertura"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3DE747B-EED1-43F7-8B1F-1CE69B02C2B2}"/>
</file>

<file path=customXml/itemProps3.xml><?xml version="1.0" encoding="utf-8"?>
<ds:datastoreItem xmlns:ds="http://schemas.openxmlformats.org/officeDocument/2006/customXml" ds:itemID="{FCD12749-9DA5-4B05-8C2B-464AE36BC12D}"/>
</file>

<file path=customXml/itemProps4.xml><?xml version="1.0" encoding="utf-8"?>
<ds:datastoreItem xmlns:ds="http://schemas.openxmlformats.org/officeDocument/2006/customXml" ds:itemID="{8CD830DE-FCC8-4F27-BDD0-22E9B10DF9A9}"/>
</file>

<file path=docProps/app.xml><?xml version="1.0" encoding="utf-8"?>
<Properties xmlns="http://schemas.openxmlformats.org/officeDocument/2006/extended-properties" xmlns:vt="http://schemas.openxmlformats.org/officeDocument/2006/docPropsVTypes">
  <Template>Normal</Template>
  <TotalTime>364</TotalTime>
  <Pages>2</Pages>
  <Words>896</Words>
  <Characters>4932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410</cp:revision>
  <cp:lastPrinted>2025-07-01T15:41:00Z</cp:lastPrinted>
  <dcterms:created xsi:type="dcterms:W3CDTF">2023-02-14T22:37:00Z</dcterms:created>
  <dcterms:modified xsi:type="dcterms:W3CDTF">2025-07-10T16:22:00Z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