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95D4" w14:textId="7C71AC9E" w:rsidR="001F32A4" w:rsidRDefault="00201C0D" w:rsidP="00F04C50">
      <w:pPr>
        <w:spacing w:after="0" w:line="240" w:lineRule="auto"/>
        <w:jc w:val="center"/>
        <w:rPr>
          <w:rFonts w:ascii="Times New Roman" w:hAnsi="Times New Roman" w:cs="Times New Roman"/>
          <w:b/>
          <w:sz w:val="24"/>
          <w:szCs w:val="24"/>
          <w:lang w:val="es-PE" w:eastAsia="ar-SA"/>
        </w:rPr>
      </w:pPr>
      <w:r w:rsidRPr="009C0D47">
        <w:rPr>
          <w:rFonts w:ascii="Times New Roman" w:hAnsi="Times New Roman" w:cs="Times New Roman"/>
          <w:b/>
          <w:sz w:val="24"/>
          <w:szCs w:val="24"/>
          <w:lang w:val="es-PE" w:eastAsia="ar-SA"/>
        </w:rPr>
        <w:t xml:space="preserve">RESOLUCIÓN DE RECURSO IMPUGNATIVO </w:t>
      </w:r>
      <w:r w:rsidR="00707C99" w:rsidRPr="009C0D47">
        <w:rPr>
          <w:rFonts w:ascii="Times New Roman" w:hAnsi="Times New Roman" w:cs="Times New Roman"/>
          <w:b/>
          <w:sz w:val="24"/>
          <w:szCs w:val="24"/>
          <w:lang w:val="es-PE" w:eastAsia="ar-SA"/>
        </w:rPr>
        <w:t xml:space="preserve">N° </w:t>
      </w:r>
      <w:r w:rsidR="00516293" w:rsidRPr="009C0D47">
        <w:rPr>
          <w:rFonts w:ascii="Times New Roman" w:hAnsi="Times New Roman" w:cs="Times New Roman"/>
          <w:b/>
          <w:sz w:val="24"/>
          <w:szCs w:val="24"/>
          <w:lang w:val="es-PE" w:eastAsia="ar-SA"/>
        </w:rPr>
        <w:t>0</w:t>
      </w:r>
      <w:r w:rsidR="000C321D" w:rsidRPr="009C0D47">
        <w:rPr>
          <w:rFonts w:ascii="Times New Roman" w:hAnsi="Times New Roman" w:cs="Times New Roman"/>
          <w:b/>
          <w:sz w:val="24"/>
          <w:szCs w:val="24"/>
          <w:lang w:val="es-PE" w:eastAsia="ar-SA"/>
        </w:rPr>
        <w:t>3</w:t>
      </w:r>
      <w:r w:rsidR="009C09EF">
        <w:rPr>
          <w:rFonts w:ascii="Times New Roman" w:hAnsi="Times New Roman" w:cs="Times New Roman"/>
          <w:b/>
          <w:sz w:val="24"/>
          <w:szCs w:val="24"/>
          <w:lang w:val="es-PE" w:eastAsia="ar-SA"/>
        </w:rPr>
        <w:t>8</w:t>
      </w:r>
      <w:r w:rsidR="00C671F5" w:rsidRPr="009C0D47">
        <w:rPr>
          <w:rFonts w:ascii="Times New Roman" w:hAnsi="Times New Roman" w:cs="Times New Roman"/>
          <w:b/>
          <w:sz w:val="24"/>
          <w:szCs w:val="24"/>
          <w:lang w:val="es-PE" w:eastAsia="ar-SA"/>
        </w:rPr>
        <w:t>/2</w:t>
      </w:r>
      <w:r w:rsidR="00A74F96" w:rsidRPr="009C0D47">
        <w:rPr>
          <w:rFonts w:ascii="Times New Roman" w:hAnsi="Times New Roman" w:cs="Times New Roman"/>
          <w:b/>
          <w:sz w:val="24"/>
          <w:szCs w:val="24"/>
          <w:lang w:val="es-PE" w:eastAsia="ar-SA"/>
        </w:rPr>
        <w:t>5</w:t>
      </w:r>
    </w:p>
    <w:p w14:paraId="5D2EA880" w14:textId="77777777" w:rsidR="00F04C50" w:rsidRPr="001F32A4" w:rsidRDefault="00F04C50" w:rsidP="00F04C50">
      <w:pPr>
        <w:spacing w:after="0" w:line="240" w:lineRule="auto"/>
        <w:jc w:val="center"/>
        <w:rPr>
          <w:rFonts w:ascii="Times New Roman" w:hAnsi="Times New Roman" w:cs="Times New Roman"/>
          <w:b/>
          <w:sz w:val="24"/>
          <w:szCs w:val="24"/>
          <w:lang w:val="es-PE" w:eastAsia="ar-SA"/>
        </w:rPr>
      </w:pPr>
    </w:p>
    <w:p w14:paraId="6ED7EB54" w14:textId="01397AB0" w:rsidR="001F32A4" w:rsidRPr="001F32A4" w:rsidRDefault="001F32A4" w:rsidP="001F32A4">
      <w:pPr>
        <w:spacing w:line="240" w:lineRule="auto"/>
        <w:jc w:val="both"/>
        <w:rPr>
          <w:rFonts w:ascii="Times New Roman" w:eastAsia="Arial Unicode MS" w:hAnsi="Times New Roman" w:cs="Times New Roman"/>
          <w:b/>
          <w:bCs/>
          <w:sz w:val="24"/>
          <w:szCs w:val="24"/>
          <w:lang w:val="es-MX" w:eastAsia="ar-SA"/>
        </w:rPr>
      </w:pPr>
      <w:r w:rsidRPr="001F32A4">
        <w:rPr>
          <w:rFonts w:ascii="Times New Roman" w:eastAsia="Arial Unicode MS" w:hAnsi="Times New Roman" w:cs="Times New Roman"/>
          <w:b/>
          <w:bCs/>
          <w:sz w:val="24"/>
          <w:szCs w:val="24"/>
          <w:lang w:val="es-MX" w:eastAsia="ar-SA"/>
        </w:rPr>
        <w:t>VISTOS:</w:t>
      </w:r>
    </w:p>
    <w:p w14:paraId="02B33D22" w14:textId="4D371EA3" w:rsidR="001F32A4" w:rsidRPr="001F32A4" w:rsidRDefault="001F32A4" w:rsidP="001F32A4">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096/25, expedida por esta Defensoría del Asegurado (DEFASEG), con fecha 18 de junio de 2025, conforme a la cual se declaró FUNDADA la reclamación interpuesta por HERNAN NILTON ………………… respecto a la cobertura de invalidez del seguro de desgravamen de crédito para préstamos personales contratado a través del Scotiabank;</w:t>
      </w:r>
    </w:p>
    <w:p w14:paraId="08F10D0F" w14:textId="0E91DB5C" w:rsidR="001F32A4" w:rsidRPr="001F32A4" w:rsidRDefault="001F32A4" w:rsidP="001F32A4">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a través del indicado recurso la aseguradora manifiesta su disconformidad con lo resuelto señalando resumidamente lo siguiente: (1) que el asegurado no presentó la Historia Clínica el 10/11/2024 por cuanto el cargo de entrega no da cuenta que se hubiera adjuntado la Historia Clínica; (2) que al no haberse completado la documentación requerida en la póliza en dicha fecha no se puede contar el plazo de 30 días para que opere la figura de siniestro consentido.</w:t>
      </w:r>
    </w:p>
    <w:p w14:paraId="557D9F3E" w14:textId="179CAD0C" w:rsidR="001F32A4" w:rsidRPr="001F32A4" w:rsidRDefault="001F32A4" w:rsidP="001F32A4">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habiéndose corrido traslado de la impugnación, la parte reclamante cumplió con absolverlo con fecha 01 de julio de 2025, señalando resumidamente lo siguiente: (1) se ratifica en que presentó la histórica clínica foliada y fedateada el 11 de octubre de 2024 y que la persona que lo atendió en Scotiabank omitió consignarla en la recepción de su solicitud; hace notar que se escribe dos veces la recepción de su DNI; (2) añade que el mismo 11 de octubre de 2024 presento su carnet de CONADIS, el cual tampoco fue consignado como documento adjunto; sin embargo ………………… sí reconoce que lo recibió; es decir, reconoce algo que no figura en el cargo de la solicitud de siniestro; sin embargo, no reconoce lo mismo con la Historia Clínica; (3) señala que su obtuvo respuesta alguna de ………………… a su solicitud del 11 de octubre de 2024, por lo que recurrió a un reclamo ante Aló Seguros y el libro de reclamaciones de …………………; siendo que el 29 de enero le responden desestimando su solicitud por encontrarse a cargo de seguros BNP Paribas …………………; jamás mencionaron que faltaba un documento, y finalmente ………………… terminó por aceptar que sí estaba a cargo de su seguro; (4) la aseguradora no prueba que hubiera efectuado algún requerimiento, ni tampoco la fecha de recepción de la Historia Clínica posterior al 11 de octubre de 2024.</w:t>
      </w:r>
    </w:p>
    <w:p w14:paraId="3E795ECE" w14:textId="3AF7BE8A" w:rsidR="001F32A4" w:rsidRPr="001F32A4" w:rsidRDefault="001F32A4" w:rsidP="001F32A4">
      <w:pPr>
        <w:spacing w:line="240" w:lineRule="auto"/>
        <w:jc w:val="both"/>
        <w:rPr>
          <w:rFonts w:ascii="Times New Roman" w:eastAsia="Arial Unicode MS" w:hAnsi="Times New Roman" w:cs="Times New Roman"/>
          <w:bCs/>
          <w:sz w:val="24"/>
          <w:szCs w:val="24"/>
          <w:lang w:val="es-MX" w:eastAsia="ar-SA"/>
        </w:rPr>
      </w:pPr>
      <w:r w:rsidRPr="001F32A4">
        <w:rPr>
          <w:rFonts w:ascii="Times New Roman" w:eastAsia="Arial Unicode MS" w:hAnsi="Times New Roman" w:cs="Times New Roman"/>
          <w:bCs/>
          <w:sz w:val="24"/>
          <w:szCs w:val="24"/>
          <w:lang w:val="es-MX" w:eastAsia="ar-SA"/>
        </w:rPr>
        <w:t>Que, atendiendo a lo expuesto, esta Defensoría resuelve finalmente lo siguiente:</w:t>
      </w:r>
    </w:p>
    <w:p w14:paraId="416DFFFE" w14:textId="6F41D546" w:rsidR="001F32A4" w:rsidRPr="001F32A4" w:rsidRDefault="001F32A4" w:rsidP="001F32A4">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623CB413" w14:textId="4607D696" w:rsidR="001F32A4" w:rsidRPr="001F32A4" w:rsidRDefault="001F32A4" w:rsidP="001F32A4">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05404CE5" w14:textId="4B39D67B"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SEGUNDO: Que el Recurso de Impugnación presentado por la aseguradora se sustenta en señalar que la carga de la prueba de la entrega de la Historia Clínica corresponde al asegurado, y que no al no haber acreditado que la presentó el 11 de octubre de 2024, no se da inicio al cómputo del plazo de 30 días para que opere la figura del siniestro consentido.</w:t>
      </w:r>
    </w:p>
    <w:p w14:paraId="40CC78E8" w14:textId="75328527"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El reclamante no necesita acreditar que entregó la Historia Clínica pues es evidente que lo hizo, toda vez que la aseguradora se basó en ella para sustentar el rechazo por preexistencia. El punto en controversia es la fecha en la que la Historia Clínica habría sido entregada a Scotiabank; y, por tanto, a la aseguradora. </w:t>
      </w:r>
    </w:p>
    <w:p w14:paraId="695BBBC9" w14:textId="29EB5214"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En efecto, como la Historia Clínica es recibida a través de Scotiabank, comercializador del seguro, es claro que Scotiabank debió haberla enviado a ………………… en algún momento, y es ello lo que se requirió a la aseguradora informar en la audiencia de vista.</w:t>
      </w:r>
    </w:p>
    <w:p w14:paraId="559CC754" w14:textId="46D962B7"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Pese al requerimiento expreso, la aseguradora no sustentó en qué se basaba para señalar que la Historia Clínica le habría llegado recién el 12 de febrero de 2025 (como se señala en la Carta de Rechazo) y tampoco mencionó fecha alguna en la que Scotiabank habría recibido la Historia Clínica en su escrito impugnatorio. En la absolución del requerimiento, se limitó a adjuntar un correo electrónico con un Excel que da cuenta de casos nuevos, pero que no constituye la Historia Clínica. Es más, aun cuando hubiera contenido la Historia Clínica supuestamente enviada por primera vez por el asegurado, la fecha del correo sería la de aquella en la que el Banco la remite a …………………, mas no necesariamente la fecha en la que Scotiabank la recibe del asegurado.</w:t>
      </w:r>
    </w:p>
    <w:p w14:paraId="2C3A49DE" w14:textId="3E4D7A83"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De acuerdo al reglamento de comercialización de productos de seguros, todas las comunicaciones recibidas por Scotiabank (en su calidad de comercializador del seguro) se entienden recibidas por ………………… en la fecha en la que son recibidas por Scotiabank, (y no en la fecha en la que llegan a ………………… a través de Scotiabank), así como que todos los errores u omisiones que Scotiabank pudiera haber cometido al tramitar la solicitud de reembolso (como sería no consignar todos los documentos recibidos) son responsabilidad de MAFPRE.</w:t>
      </w:r>
    </w:p>
    <w:p w14:paraId="092864AD" w14:textId="32E383BB"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Teniendo en cuenta las pruebas que obran en el expediente, este colegiado consideró que la Historia Clínica sí fue presentada el 11 de octubre de 2024, y que por error no fue consignada en el formato (así como tampoco lo fue el carné de CONADIS que la aseguradora sí reconoce que recibió en dicha fecha); y, en consecuencia, sí opero la figura del siniestro consentido.</w:t>
      </w:r>
    </w:p>
    <w:p w14:paraId="52C221F2" w14:textId="097B5063"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La aseguradora hubiera podido contradecir dicha conclusión, adjuntando una prueba emitida por el comercializador de seguro, que diera cuenta que la Historia Clínica fue entregada en un momento posterior al 11 de octubre de 2024; y por ello recién fue remitida a ………………… en una fecha posterior específica, ello teniendo en cuenta que el asegurado sí acredita haber enviado (el 07 de febrero de 2025) una carta a Scotiabank reclamando la demora en atender su solicitud, pese a que ha completado la documentación en octubre adjuntando su certificado de discapacidad “junto con” su Historia Clínica. No obstante, la aseguradora lejos de señalar y acreditar cuándo habría recibido la Historia Clínica, se limita a sostener que no habría sido presentada el 11 de octubre de 2024 (en este caso, el comercializador del seguro, debe contar con el cargo de la documentación que envió originalmente a ………………… (el que motivó que se responda que el seguro debía ser atendido por …………………), así como con el cargo de la documentación que se envío a ………………… (la que motivó que ………………… conteste que no tenía saldo deudor); siendo ………………… quién tenía la posibilidad de requerir dicha información a su comercializador, lo que hubiera podido dar mayores elementos de juicio para sustentar su posición).</w:t>
      </w:r>
    </w:p>
    <w:p w14:paraId="30BF3F4E" w14:textId="588615A9" w:rsidR="001F32A4" w:rsidRPr="001F32A4" w:rsidRDefault="001F32A4" w:rsidP="001F32A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De los hechos expuestos, se aprecia que la demora en atender oportunamente la solicitud de cobertura del asegurado, y dar respuesta a la misma dentro del plazo de ley, fue producto de la confusión de ………………… al considerar que el seguro correspondía a otra compañía aseguradora; lo cual puede si bien podía explicar la demora, no suspendía los plazos con los que contaba ………………… para pronunciarse sobre el sinestro.</w:t>
      </w:r>
    </w:p>
    <w:p w14:paraId="0F78B0C8" w14:textId="4E9C5FDC" w:rsidR="001F32A4" w:rsidRPr="001F32A4" w:rsidRDefault="001F32A4" w:rsidP="001F32A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Conforme a lo expuesto, este colegiado no comparte la opinión de la aseguradora, y considera que la cadena de hechos y pruebas presentadas permiten concluir que sí se presentó la Historia Clínica el 11 de octubre de 2026. </w:t>
      </w:r>
    </w:p>
    <w:p w14:paraId="614AB950" w14:textId="64A18EC1" w:rsidR="001F32A4" w:rsidRPr="001F32A4" w:rsidRDefault="001F32A4" w:rsidP="001F32A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Finalmente, este colegiado tiene a bien corregir la fecha consignada en el último párrafo del sétimo considerando de la Resolución Impugnada, donde resulta evidente que se consignó por error 11 de octubre de “2025”, en vez de 11 de octubre de “2024”, texto que copiamos a continuación subsanando dicho error:</w:t>
      </w:r>
    </w:p>
    <w:p w14:paraId="0AB4114D" w14:textId="77777777" w:rsidR="001F32A4" w:rsidRPr="001F32A4" w:rsidRDefault="001F32A4" w:rsidP="00F04C50">
      <w:pPr>
        <w:spacing w:line="240" w:lineRule="auto"/>
        <w:ind w:left="720"/>
        <w:jc w:val="both"/>
        <w:rPr>
          <w:rFonts w:ascii="Times New Roman" w:eastAsia="Arial Unicode MS" w:hAnsi="Times New Roman" w:cs="Times New Roman"/>
          <w:i/>
          <w:iCs/>
          <w:sz w:val="24"/>
          <w:szCs w:val="24"/>
          <w:lang w:val="es-ES" w:eastAsia="ar-SA"/>
        </w:rPr>
      </w:pPr>
      <w:r>
        <w:rPr>
          <w:rFonts w:ascii="Times New Roman" w:hAnsi="Times New Roman"/>
          <w:sz w:val="24"/>
        </w:rPr>
        <w:t xml:space="preserve">“Este colegiado considera por tanto: (i) que siendo evidente que el asegurado presentó su solicitud el 11 de octubre de 2024, (ii) que la aseguradora no requirió ni advirtió de algún documento faltante a la solicitud, (iii) que la aseguradora cuenta con la Historia Clínica, (iv) que la aseguradora no ha acreditado la entrega de documentación adicional del asegurado ante Scotiabank (su comercializador), incluyendo la Historia Clínica, en fecha posterior, estando en capacidad de hacerlo; y (iv) que luego de desestimar el reclamo por error, rechaza la cobertura ante la solicitud de reevaluación del asegurado; este colegiado considera que lo afirmado por el reclamante en el sentido que presentó la Historia Clínica adjunta a su solicitud en octubre de 2024, se corrobora con la fecha fedateada de la Historia Clínica y con lo señalado en la carta de reevaluación de su solicitud; por lo tanto concluye que presentó la Historia Clínica el 11 de octubre de 2024, siendo que por error no fue consignada en el formato que envía Scotiabank al banco junto con la solicitud de seguro. </w:t>
      </w:r>
    </w:p>
    <w:p w14:paraId="45D97DB6" w14:textId="00D2C672" w:rsidR="001F32A4" w:rsidRPr="001F32A4" w:rsidRDefault="001F32A4" w:rsidP="00F04C50">
      <w:pPr>
        <w:spacing w:line="240" w:lineRule="auto"/>
        <w:ind w:left="720"/>
        <w:jc w:val="both"/>
        <w:rPr>
          <w:rFonts w:ascii="Times New Roman" w:eastAsia="Arial Unicode MS" w:hAnsi="Times New Roman" w:cs="Times New Roman"/>
          <w:i/>
          <w:iCs/>
          <w:sz w:val="24"/>
          <w:szCs w:val="24"/>
          <w:lang w:val="es-ES" w:eastAsia="ar-SA"/>
        </w:rPr>
      </w:pPr>
      <w:r>
        <w:rPr>
          <w:rFonts w:ascii="Times New Roman" w:hAnsi="Times New Roman"/>
          <w:sz w:val="24"/>
        </w:rPr>
        <w:t xml:space="preserve">En consecuencia, habiéndose rechazado la cobertura de seguro vencido el plazo de 30 días desde que se completó la documentación se ha producido la figura de siniestro consentido prevista en el artículo 74 de la Ley del Contrato de Seguro.”</w:t>
      </w:r>
    </w:p>
    <w:p w14:paraId="198D6F20" w14:textId="6F48F3AD" w:rsidR="001F32A4" w:rsidRPr="001F32A4" w:rsidRDefault="001F32A4" w:rsidP="001F32A4">
      <w:pPr>
        <w:spacing w:line="240" w:lineRule="auto"/>
        <w:jc w:val="both"/>
        <w:rPr>
          <w:rFonts w:ascii="Times New Roman" w:eastAsia="Arial Unicode MS" w:hAnsi="Times New Roman" w:cs="Times New Roman"/>
          <w:b/>
          <w:sz w:val="24"/>
          <w:szCs w:val="24"/>
          <w:lang w:val="es-PE" w:eastAsia="ar-SA"/>
        </w:rPr>
      </w:pPr>
      <w:r w:rsidRPr="001F32A4">
        <w:rPr>
          <w:rFonts w:ascii="Times New Roman" w:eastAsia="Arial Unicode MS" w:hAnsi="Times New Roman" w:cs="Times New Roman"/>
          <w:b/>
          <w:sz w:val="24"/>
          <w:szCs w:val="24"/>
          <w:lang w:val="es-PE" w:eastAsia="ar-SA"/>
        </w:rPr>
        <w:t>ATENDIENDO A LO EXPRESADO, CONFORME A SU REGLAMENTO, ESTE COLEGIADO RESUELVE:</w:t>
      </w:r>
    </w:p>
    <w:p w14:paraId="5C887C29" w14:textId="72A38515" w:rsidR="007A7790" w:rsidRPr="001F32A4" w:rsidRDefault="001F32A4" w:rsidP="007A7790">
      <w:pPr>
        <w:spacing w:line="240" w:lineRule="auto"/>
        <w:jc w:val="both"/>
        <w:rPr>
          <w:rFonts w:ascii="Times New Roman" w:eastAsia="Arial Unicode MS" w:hAnsi="Times New Roman" w:cs="Times New Roman"/>
          <w:sz w:val="24"/>
          <w:szCs w:val="24"/>
          <w:lang w:val="es-MX" w:eastAsia="ar-SA"/>
        </w:rPr>
      </w:pPr>
      <w:r>
        <w:rPr>
          <w:rFonts w:ascii="Times New Roman" w:hAnsi="Times New Roman"/>
          <w:sz w:val="24"/>
        </w:rPr>
        <w:t xml:space="preserve">Declarar INFUNDADO el Recurso de Impugnación interpuesto por ………………… y, por consiguiente, CONFIRMAR la Resolución N° 096/25 que declaró fundado el reclamo interpuesto por HERNAN NILTON ………………….</w:t>
      </w:r>
    </w:p>
    <w:p w14:paraId="51EDAB4B" w14:textId="079ECF16" w:rsidR="00B32E8A" w:rsidRPr="009C0D47" w:rsidRDefault="0091528B" w:rsidP="00657814">
      <w:pPr>
        <w:spacing w:line="240" w:lineRule="auto"/>
        <w:jc w:val="right"/>
        <w:rPr>
          <w:rFonts w:ascii="Times New Roman" w:hAnsi="Times New Roman" w:cs="Times New Roman"/>
          <w:sz w:val="24"/>
          <w:szCs w:val="24"/>
          <w:lang w:val="es-PE"/>
        </w:rPr>
      </w:pPr>
      <w:r w:rsidRPr="009C0D47">
        <w:rPr>
          <w:rFonts w:ascii="Times New Roman" w:eastAsia="Arial Unicode MS" w:hAnsi="Times New Roman" w:cs="Times New Roman"/>
          <w:sz w:val="24"/>
          <w:szCs w:val="24"/>
          <w:lang w:val="es-PE" w:eastAsia="ar-SA"/>
        </w:rPr>
        <w:t>Lima,</w:t>
      </w:r>
      <w:r w:rsidR="00774D05" w:rsidRPr="009C0D47">
        <w:rPr>
          <w:rFonts w:ascii="Times New Roman" w:eastAsia="Arial Unicode MS" w:hAnsi="Times New Roman" w:cs="Times New Roman"/>
          <w:sz w:val="24"/>
          <w:szCs w:val="24"/>
          <w:lang w:val="es-PE" w:eastAsia="ar-SA"/>
        </w:rPr>
        <w:t xml:space="preserve"> </w:t>
      </w:r>
      <w:r w:rsidR="00EB3A2B" w:rsidRPr="009C0D47">
        <w:rPr>
          <w:rFonts w:ascii="Times New Roman" w:eastAsia="Arial Unicode MS" w:hAnsi="Times New Roman" w:cs="Times New Roman"/>
          <w:sz w:val="24"/>
          <w:szCs w:val="24"/>
          <w:lang w:val="es-PE" w:eastAsia="ar-SA"/>
        </w:rPr>
        <w:t>0</w:t>
      </w:r>
      <w:r w:rsidR="00271BA0">
        <w:rPr>
          <w:rFonts w:ascii="Times New Roman" w:eastAsia="Arial Unicode MS" w:hAnsi="Times New Roman" w:cs="Times New Roman"/>
          <w:sz w:val="24"/>
          <w:szCs w:val="24"/>
          <w:lang w:val="es-PE" w:eastAsia="ar-SA"/>
        </w:rPr>
        <w:t>9</w:t>
      </w:r>
      <w:r w:rsidR="00B8209E" w:rsidRPr="009C0D47">
        <w:rPr>
          <w:rFonts w:ascii="Times New Roman" w:eastAsia="Arial Unicode MS" w:hAnsi="Times New Roman" w:cs="Times New Roman"/>
          <w:sz w:val="24"/>
          <w:szCs w:val="24"/>
          <w:lang w:val="es-PE" w:eastAsia="ar-SA"/>
        </w:rPr>
        <w:t xml:space="preserve"> </w:t>
      </w:r>
      <w:r w:rsidR="00707C99" w:rsidRPr="009C0D47">
        <w:rPr>
          <w:rFonts w:ascii="Times New Roman" w:eastAsia="Arial Unicode MS" w:hAnsi="Times New Roman" w:cs="Times New Roman"/>
          <w:sz w:val="24"/>
          <w:szCs w:val="24"/>
          <w:lang w:val="es-PE" w:eastAsia="ar-SA"/>
        </w:rPr>
        <w:t xml:space="preserve">de </w:t>
      </w:r>
      <w:r w:rsidR="00FF5223" w:rsidRPr="009C0D47">
        <w:rPr>
          <w:rFonts w:ascii="Times New Roman" w:eastAsia="Arial Unicode MS" w:hAnsi="Times New Roman" w:cs="Times New Roman"/>
          <w:sz w:val="24"/>
          <w:szCs w:val="24"/>
          <w:lang w:val="es-PE" w:eastAsia="ar-SA"/>
        </w:rPr>
        <w:t>ju</w:t>
      </w:r>
      <w:r w:rsidR="00EB3A2B" w:rsidRPr="009C0D47">
        <w:rPr>
          <w:rFonts w:ascii="Times New Roman" w:eastAsia="Arial Unicode MS" w:hAnsi="Times New Roman" w:cs="Times New Roman"/>
          <w:sz w:val="24"/>
          <w:szCs w:val="24"/>
          <w:lang w:val="es-PE" w:eastAsia="ar-SA"/>
        </w:rPr>
        <w:t>l</w:t>
      </w:r>
      <w:r w:rsidR="00FF5223" w:rsidRPr="009C0D47">
        <w:rPr>
          <w:rFonts w:ascii="Times New Roman" w:eastAsia="Arial Unicode MS" w:hAnsi="Times New Roman" w:cs="Times New Roman"/>
          <w:sz w:val="24"/>
          <w:szCs w:val="24"/>
          <w:lang w:val="es-PE" w:eastAsia="ar-SA"/>
        </w:rPr>
        <w:t>io</w:t>
      </w:r>
      <w:r w:rsidR="002F478E" w:rsidRPr="009C0D47">
        <w:rPr>
          <w:rFonts w:ascii="Times New Roman" w:eastAsia="Arial Unicode MS" w:hAnsi="Times New Roman" w:cs="Times New Roman"/>
          <w:sz w:val="24"/>
          <w:szCs w:val="24"/>
          <w:lang w:val="es-PE" w:eastAsia="ar-SA"/>
        </w:rPr>
        <w:t xml:space="preserve"> </w:t>
      </w:r>
      <w:r w:rsidR="00F06498" w:rsidRPr="009C0D47">
        <w:rPr>
          <w:rFonts w:ascii="Times New Roman" w:eastAsia="Arial Unicode MS" w:hAnsi="Times New Roman" w:cs="Times New Roman"/>
          <w:sz w:val="24"/>
          <w:szCs w:val="24"/>
          <w:lang w:val="es-PE" w:eastAsia="ar-SA"/>
        </w:rPr>
        <w:t>de 202</w:t>
      </w:r>
      <w:r w:rsidR="00AE4D37" w:rsidRPr="009C0D47">
        <w:rPr>
          <w:rFonts w:ascii="Times New Roman" w:eastAsia="Arial Unicode MS" w:hAnsi="Times New Roman" w:cs="Times New Roman"/>
          <w:sz w:val="24"/>
          <w:szCs w:val="24"/>
          <w:lang w:val="es-PE" w:eastAsia="ar-SA"/>
        </w:rPr>
        <w:t>5</w:t>
      </w:r>
      <w:r w:rsidR="00707C99" w:rsidRPr="009C0D47">
        <w:rPr>
          <w:rFonts w:ascii="Times New Roman" w:eastAsia="Times New Roman" w:hAnsi="Times New Roman" w:cs="Times New Roman"/>
          <w:sz w:val="24"/>
          <w:szCs w:val="24"/>
          <w:lang w:val="es-PE" w:eastAsia="ar-SA"/>
        </w:rPr>
        <w:t xml:space="preserve"> </w:t>
      </w:r>
    </w:p>
    <w:p w14:paraId="1B6988F6" w14:textId="77777777" w:rsidR="00A323F4" w:rsidRPr="00E63817" w:rsidRDefault="00A323F4" w:rsidP="00657814">
      <w:pPr>
        <w:spacing w:after="0" w:line="240" w:lineRule="auto"/>
        <w:jc w:val="both"/>
        <w:rPr>
          <w:rFonts w:ascii="Times New Roman" w:hAnsi="Times New Roman" w:cs="Times New Roman"/>
          <w:b/>
          <w:bCs/>
          <w:i/>
          <w:iCs/>
          <w:lang w:val="es-PE"/>
        </w:rPr>
      </w:pPr>
      <w:r w:rsidRPr="00E63817">
        <w:rPr>
          <w:rFonts w:ascii="Times New Roman" w:hAnsi="Times New Roman" w:cs="Times New Roman"/>
          <w:b/>
          <w:bCs/>
          <w:i/>
          <w:iCs/>
          <w:sz w:val="24"/>
          <w:lang w:val="es-PE"/>
        </w:rPr>
        <w:t>La Secretaría Técnica certifica que la presente resolución cuenta con el voto de los vocales cuyos nombres figuran en el presente documento.</w:t>
      </w:r>
    </w:p>
    <w:p w14:paraId="2B24FCBE" w14:textId="77777777" w:rsidR="008D26BA" w:rsidRPr="00E63817" w:rsidRDefault="008D26BA" w:rsidP="00657814">
      <w:pPr>
        <w:spacing w:after="0" w:line="360" w:lineRule="auto"/>
        <w:jc w:val="both"/>
        <w:rPr>
          <w:rFonts w:ascii="Times New Roman" w:hAnsi="Times New Roman" w:cs="Times New Roman"/>
          <w:b/>
          <w:bCs/>
          <w:i/>
          <w:iCs/>
          <w:lang w:val="es-PE"/>
        </w:rPr>
      </w:pPr>
    </w:p>
    <w:p w14:paraId="220AA7AD" w14:textId="4331E0E4" w:rsidR="007543CD" w:rsidRPr="00E63817" w:rsidRDefault="008D26BA" w:rsidP="00657814">
      <w:pPr>
        <w:spacing w:after="0" w:line="360" w:lineRule="auto"/>
        <w:jc w:val="center"/>
        <w:rPr>
          <w:rFonts w:ascii="Times New Roman" w:hAnsi="Times New Roman" w:cs="Times New Roman"/>
          <w:b/>
          <w:bCs/>
          <w:lang w:val="es-PE"/>
        </w:rPr>
      </w:pPr>
      <w:r w:rsidRPr="00E63817">
        <w:rPr>
          <w:rFonts w:ascii="Times New Roman" w:hAnsi="Times New Roman" w:cs="Times New Roman"/>
          <w:b/>
          <w:bCs/>
          <w:sz w:val="24"/>
          <w:lang w:val="es-PE"/>
        </w:rPr>
        <w:t xml:space="preserve">Rolando Eyzaguirre </w:t>
      </w:r>
      <w:proofErr w:type="spellStart"/>
      <w:r w:rsidRPr="00E63817">
        <w:rPr>
          <w:rFonts w:ascii="Times New Roman" w:hAnsi="Times New Roman" w:cs="Times New Roman"/>
          <w:b/>
          <w:bCs/>
          <w:sz w:val="24"/>
          <w:lang w:val="es-PE"/>
        </w:rPr>
        <w:t>Maccan</w:t>
      </w:r>
      <w:proofErr w:type="spellEnd"/>
      <w:r w:rsidRPr="00E63817">
        <w:rPr>
          <w:rFonts w:ascii="Times New Roman" w:hAnsi="Times New Roman" w:cs="Times New Roman"/>
          <w:b/>
          <w:bCs/>
          <w:sz w:val="24"/>
          <w:lang w:val="es-PE"/>
        </w:rPr>
        <w:t xml:space="preserve"> </w:t>
      </w:r>
      <w:r w:rsidR="007543CD" w:rsidRPr="00E63817">
        <w:rPr>
          <w:rFonts w:ascii="Times New Roman" w:hAnsi="Times New Roman" w:cs="Times New Roman"/>
          <w:b/>
          <w:bCs/>
          <w:sz w:val="24"/>
          <w:lang w:val="es-PE"/>
        </w:rPr>
        <w:t xml:space="preserve">– </w:t>
      </w:r>
      <w:proofErr w:type="gramStart"/>
      <w:r w:rsidR="007543CD" w:rsidRPr="00E63817">
        <w:rPr>
          <w:rFonts w:ascii="Times New Roman" w:hAnsi="Times New Roman" w:cs="Times New Roman"/>
          <w:b/>
          <w:bCs/>
          <w:sz w:val="24"/>
          <w:lang w:val="es-PE"/>
        </w:rPr>
        <w:t>Presidente</w:t>
      </w:r>
      <w:proofErr w:type="gramEnd"/>
    </w:p>
    <w:p w14:paraId="5B7063E0" w14:textId="43329098" w:rsidR="008D26BA" w:rsidRPr="00E63817" w:rsidRDefault="008D26BA" w:rsidP="00657814">
      <w:pPr>
        <w:spacing w:after="0" w:line="360" w:lineRule="auto"/>
        <w:jc w:val="center"/>
        <w:rPr>
          <w:rFonts w:ascii="Times New Roman" w:hAnsi="Times New Roman" w:cs="Times New Roman"/>
          <w:b/>
          <w:bCs/>
          <w:lang w:val="es-PE"/>
        </w:rPr>
      </w:pPr>
      <w:r w:rsidRPr="00E63817">
        <w:rPr>
          <w:rFonts w:ascii="Times New Roman" w:hAnsi="Times New Roman" w:cs="Times New Roman"/>
          <w:b/>
          <w:bCs/>
          <w:sz w:val="24"/>
          <w:lang w:val="es-PE"/>
        </w:rPr>
        <w:t>María Eugenia Valdez Fernández Baca – Vocal</w:t>
      </w:r>
    </w:p>
    <w:p w14:paraId="69BFE54F" w14:textId="628D5C27" w:rsidR="007543CD" w:rsidRPr="00E63817" w:rsidRDefault="001B08C0" w:rsidP="00657814">
      <w:pPr>
        <w:spacing w:after="0" w:line="360" w:lineRule="auto"/>
        <w:jc w:val="center"/>
        <w:rPr>
          <w:rFonts w:ascii="Times New Roman" w:hAnsi="Times New Roman" w:cs="Times New Roman"/>
          <w:lang w:val="es-PE"/>
        </w:rPr>
      </w:pPr>
      <w:r w:rsidRPr="00E63817">
        <w:rPr>
          <w:rFonts w:ascii="Times New Roman" w:hAnsi="Times New Roman" w:cs="Times New Roman"/>
          <w:b/>
          <w:bCs/>
          <w:sz w:val="24"/>
          <w:lang w:val="es-PE"/>
        </w:rPr>
        <w:t xml:space="preserve">Antonio José Rodríguez Lobatón </w:t>
      </w:r>
      <w:r w:rsidR="007543CD" w:rsidRPr="00E63817">
        <w:rPr>
          <w:rFonts w:ascii="Times New Roman" w:hAnsi="Times New Roman" w:cs="Times New Roman"/>
          <w:b/>
          <w:bCs/>
          <w:sz w:val="24"/>
          <w:lang w:val="es-PE"/>
        </w:rPr>
        <w:t>–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54402" w14:textId="77777777" w:rsidR="004F3501" w:rsidRDefault="004F3501" w:rsidP="00784355">
      <w:pPr>
        <w:spacing w:after="0" w:line="240" w:lineRule="auto"/>
      </w:pPr>
      <w:r>
        <w:separator/>
      </w:r>
    </w:p>
  </w:endnote>
  <w:endnote w:type="continuationSeparator" w:id="0">
    <w:p w14:paraId="77AF7E24" w14:textId="77777777" w:rsidR="004F3501" w:rsidRDefault="004F3501"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41499" w14:textId="77777777" w:rsidR="004F3501" w:rsidRDefault="004F3501" w:rsidP="00784355">
      <w:pPr>
        <w:spacing w:after="0" w:line="240" w:lineRule="auto"/>
      </w:pPr>
      <w:r>
        <w:separator/>
      </w:r>
    </w:p>
  </w:footnote>
  <w:footnote w:type="continuationSeparator" w:id="0">
    <w:p w14:paraId="7A3F34B9" w14:textId="77777777" w:rsidR="004F3501" w:rsidRDefault="004F3501"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3501"/>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8BB"/>
    <w:rsid w:val="0067765F"/>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77696EC-D9D6-4DF8-BF77-244B751266DF}"/>
</file>

<file path=customXml/itemProps3.xml><?xml version="1.0" encoding="utf-8"?>
<ds:datastoreItem xmlns:ds="http://schemas.openxmlformats.org/officeDocument/2006/customXml" ds:itemID="{EBAB10B4-8911-4D55-946E-71620345D8B8}"/>
</file>

<file path=customXml/itemProps4.xml><?xml version="1.0" encoding="utf-8"?>
<ds:datastoreItem xmlns:ds="http://schemas.openxmlformats.org/officeDocument/2006/customXml" ds:itemID="{7A54E780-8217-485E-B19A-8C9A58DB60FB}"/>
</file>

<file path=docProps/app.xml><?xml version="1.0" encoding="utf-8"?>
<Properties xmlns="http://schemas.openxmlformats.org/officeDocument/2006/extended-properties" xmlns:vt="http://schemas.openxmlformats.org/officeDocument/2006/docPropsVTypes">
  <Template>Normal</Template>
  <TotalTime>369</TotalTime>
  <Pages>3</Pages>
  <Words>1480</Words>
  <Characters>8140</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416</cp:revision>
  <cp:lastPrinted>2025-07-10T16:58:00Z</cp:lastPrinted>
  <dcterms:created xsi:type="dcterms:W3CDTF">2023-02-14T22:37:00Z</dcterms:created>
  <dcterms:modified xsi:type="dcterms:W3CDTF">2025-07-10T16:59:00Z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