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7DC5DD1B" w:rsidR="001F32A4" w:rsidRDefault="00201C0D" w:rsidP="00F04C50">
      <w:pPr>
        <w:spacing w:after="0" w:line="240" w:lineRule="auto"/>
        <w:jc w:val="center"/>
        <w:rPr>
          <w:rFonts w:ascii="Times New Roman" w:hAnsi="Times New Roman" w:cs="Times New Roman"/>
          <w:b/>
          <w:sz w:val="24"/>
          <w:szCs w:val="24"/>
          <w:lang w:val="es-PE" w:eastAsia="ar-SA"/>
        </w:rPr>
      </w:pPr>
      <w:r w:rsidRPr="009C0D47">
        <w:rPr>
          <w:rFonts w:ascii="Times New Roman" w:hAnsi="Times New Roman" w:cs="Times New Roman"/>
          <w:b/>
          <w:sz w:val="24"/>
          <w:szCs w:val="24"/>
          <w:lang w:val="es-PE" w:eastAsia="ar-SA"/>
        </w:rPr>
        <w:t xml:space="preserve">RESOLUCIÓN DE RECURSO IMPUGNATIVO </w:t>
      </w:r>
      <w:r w:rsidR="00707C99" w:rsidRPr="009C0D47">
        <w:rPr>
          <w:rFonts w:ascii="Times New Roman" w:hAnsi="Times New Roman" w:cs="Times New Roman"/>
          <w:b/>
          <w:sz w:val="24"/>
          <w:szCs w:val="24"/>
          <w:lang w:val="es-PE" w:eastAsia="ar-SA"/>
        </w:rPr>
        <w:t xml:space="preserve">N° </w:t>
      </w:r>
      <w:r w:rsidR="00516293" w:rsidRPr="009C0D47">
        <w:rPr>
          <w:rFonts w:ascii="Times New Roman" w:hAnsi="Times New Roman" w:cs="Times New Roman"/>
          <w:b/>
          <w:sz w:val="24"/>
          <w:szCs w:val="24"/>
          <w:lang w:val="es-PE" w:eastAsia="ar-SA"/>
        </w:rPr>
        <w:t>0</w:t>
      </w:r>
      <w:r w:rsidR="000C321D" w:rsidRPr="009C0D47">
        <w:rPr>
          <w:rFonts w:ascii="Times New Roman" w:hAnsi="Times New Roman" w:cs="Times New Roman"/>
          <w:b/>
          <w:sz w:val="24"/>
          <w:szCs w:val="24"/>
          <w:lang w:val="es-PE" w:eastAsia="ar-SA"/>
        </w:rPr>
        <w:t>3</w:t>
      </w:r>
      <w:r w:rsidR="00D76185">
        <w:rPr>
          <w:rFonts w:ascii="Times New Roman" w:hAnsi="Times New Roman" w:cs="Times New Roman"/>
          <w:b/>
          <w:sz w:val="24"/>
          <w:szCs w:val="24"/>
          <w:lang w:val="es-PE" w:eastAsia="ar-SA"/>
        </w:rPr>
        <w:t>9</w:t>
      </w:r>
      <w:r w:rsidR="00C671F5" w:rsidRPr="009C0D47">
        <w:rPr>
          <w:rFonts w:ascii="Times New Roman" w:hAnsi="Times New Roman" w:cs="Times New Roman"/>
          <w:b/>
          <w:sz w:val="24"/>
          <w:szCs w:val="24"/>
          <w:lang w:val="es-PE" w:eastAsia="ar-SA"/>
        </w:rPr>
        <w:t>/2</w:t>
      </w:r>
      <w:r w:rsidR="00A74F96" w:rsidRPr="009C0D47">
        <w:rPr>
          <w:rFonts w:ascii="Times New Roman" w:hAnsi="Times New Roman" w:cs="Times New Roman"/>
          <w:b/>
          <w:sz w:val="24"/>
          <w:szCs w:val="24"/>
          <w:lang w:val="es-PE" w:eastAsia="ar-SA"/>
        </w:rPr>
        <w:t>5</w:t>
      </w:r>
    </w:p>
    <w:p w14:paraId="5D2EA880" w14:textId="77777777" w:rsidR="00F04C50" w:rsidRPr="001F32A4" w:rsidRDefault="00F04C50" w:rsidP="00F04C50">
      <w:pPr>
        <w:spacing w:after="0" w:line="240" w:lineRule="auto"/>
        <w:jc w:val="center"/>
        <w:rPr>
          <w:rFonts w:ascii="Times New Roman" w:hAnsi="Times New Roman" w:cs="Times New Roman"/>
          <w:b/>
          <w:sz w:val="24"/>
          <w:szCs w:val="24"/>
          <w:lang w:val="es-PE" w:eastAsia="ar-SA"/>
        </w:rPr>
      </w:pPr>
    </w:p>
    <w:p w14:paraId="4C100D66" w14:textId="77777777" w:rsidR="00C84366" w:rsidRPr="00C84366" w:rsidRDefault="00C84366" w:rsidP="00C84366">
      <w:pPr>
        <w:spacing w:line="240" w:lineRule="auto"/>
        <w:jc w:val="both"/>
        <w:rPr>
          <w:rFonts w:ascii="Times New Roman" w:eastAsia="Arial Unicode MS" w:hAnsi="Times New Roman" w:cs="Times New Roman"/>
          <w:b/>
          <w:bCs/>
          <w:sz w:val="24"/>
          <w:szCs w:val="24"/>
          <w:lang w:val="es-MX" w:eastAsia="ar-SA"/>
        </w:rPr>
      </w:pPr>
      <w:r w:rsidRPr="00C84366">
        <w:rPr>
          <w:rFonts w:ascii="Times New Roman" w:eastAsia="Arial Unicode MS" w:hAnsi="Times New Roman" w:cs="Times New Roman"/>
          <w:b/>
          <w:bCs/>
          <w:sz w:val="24"/>
          <w:szCs w:val="24"/>
          <w:lang w:val="es-MX" w:eastAsia="ar-SA"/>
        </w:rPr>
        <w:t>VISTOS:</w:t>
      </w:r>
    </w:p>
    <w:p w14:paraId="65A9BD3E" w14:textId="374D7EF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con fecha 26 de junio de 2025 por ………………… respecto de la Resolución Nro. 090/25, expedida por esta Defensoría, conforme a la cual se declaró FUNDADA la reclamación interpuesta por doña ………………… respecto del seguro de Tarjetas 360° Póliza N° ………………… </w:t>
      </w:r>
    </w:p>
    <w:p w14:paraId="63D5DD3A" w14:textId="78822523" w:rsidR="00C84366" w:rsidRPr="00C84366" w:rsidRDefault="00C84366" w:rsidP="00C84366">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resumidamente en lo siguiente: a) la Resolución Impugnada se basa en dos fundamentos (i) se considera que es necesario que antes de realizar una prueba poligráfica se identifique inconsistencias dentro del contenido de la propia denuncia policial, (ii) el informe poligráfico únicamente puede servir para evidenciar esas inconsistencias identificadas dentro de las declaraciones de la asegurada, las cuales se encuentran en la denuncia policial; b) el Órgano Resolutivo Unipersonal asume que la denuncia policial contiene una descripción de los hechos realizada a detalle, permitiendo que la aseguradora identifique inconsistencias dentro de la misma; lo que se aleja de la realidad;  pues la denuncia solo recoge una descripción sucinta de los hechos en base a una declaración de parte; elevando la denuncia a un nivel probatorio superior al que puede brindar la prueba poligráfica; c) ambos medios probatorios representan una declaración de parte, la prueba poligráfica, sin embargo, nos acerca mejor a esa verdad material que busca esclarecer para el reconocimiento del derecho exigido; se está exigiendo que la prueba poligráfica evidencie inconsistencias identificadas en la denuncia policial, siendo que la denuncia únicamente refleja una verdad formal, mientras la prueba poligráfica indaga en la verdad material que es únicamente de conocimiento del asegurado; d) en base al reporte poligráfico se identificaron declaraciones inexactas y por ello se rechazó el siniestro; e) INDECOPI en la Resolución Final 1303-2024/CC1, ha reconocido que el informe de la prueba poligráfica constituye medio probatorio suficiente para acreditar el incumplimiento del asegurado a lo dispuesto en los artículos 60 y 73 de la Ley del Contrato de Seguros.</w:t>
      </w:r>
    </w:p>
    <w:p w14:paraId="52A8B43E" w14:textId="1CBD6169" w:rsidR="00C84366" w:rsidRPr="00C84366" w:rsidRDefault="00C84366" w:rsidP="00C84366">
      <w:pPr>
        <w:spacing w:line="240" w:lineRule="auto"/>
        <w:jc w:val="both"/>
        <w:rPr>
          <w:rFonts w:ascii="Times New Roman" w:eastAsia="Arial Unicode MS" w:hAnsi="Times New Roman" w:cs="Times New Roman"/>
          <w:bCs/>
          <w:sz w:val="24"/>
          <w:szCs w:val="24"/>
          <w:lang w:val="es-MX" w:eastAsia="ar-SA"/>
        </w:rPr>
      </w:pPr>
      <w:r w:rsidRPr="00C84366">
        <w:rPr>
          <w:rFonts w:ascii="Times New Roman" w:eastAsia="Arial Unicode MS" w:hAnsi="Times New Roman" w:cs="Times New Roman"/>
          <w:bCs/>
          <w:sz w:val="24"/>
          <w:szCs w:val="24"/>
          <w:lang w:val="es-MX" w:eastAsia="ar-SA"/>
        </w:rPr>
        <w:t>Que, habiéndosele corrido traslado de la señalada impugnación, la reclamante no ha cumplido con absolverlo; por lo que, habiendo vencido el plazo otorgado para dicho efecto, corresponde que este colegiado expida el pronunciamiento sobre la base de los documentos que obran en el expediente.</w:t>
      </w:r>
    </w:p>
    <w:p w14:paraId="2D178405"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2F6A493C" w14:textId="1245DA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5A1A2217" w14:textId="0FEAC398"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Que, a través del indicado recurso, la aseguradora manifiesta su discrepancia con lo resuelto por el Órgano Resolutivo Unipersonal, pues considera que la Resolución Impugnada se basó en dos fundamentos principales que no comparte (i) considera que es necesario que la aseguradora antes de realizar una prueba poligráfica identifique inconsistencias dentro del contenido de la propia denuncia policial, (ii) el informe poligráfico únicamente puede servir para evidenciar esas inconsistencias identificadas dentro de las declaraciones de la asegurada, las cuales se encuentran en la denuncia policial.</w:t>
      </w:r>
    </w:p>
    <w:p w14:paraId="46D4B092" w14:textId="300A6290"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Revisada la Resolución Impugnada se aprecia que se declaró fundado el reclamo por cuanto la aseguradora se basó únicamente en la prueba de polígrafo para sustentar el rechazo de cobertura, sin evidenciar -menos aún probar- la existencia de inexactitudes, contradicciones o inconsistencias que juntamente con el resultado de la prueba de polígrafo llevaran a la convicción de la existencia de una declaración fraudulenta. Asimismo, la Resolución Impugnada destacó que la prueba de polígrafo que sustentó el rechazo no fue entregada al asegurado al momento de rechazar el siniestro (y tampoco fue presentada como medio de prueba ante el Órgano Resolutivo Unipersonal), lo cual contravino lo dispuesto en el artículo 18 del Reglamento para la gestión y pago de siniestros aprobado por Resolución …………………-2013, la misma que establece que se debe no solo sustentar los motivos del rechazo, sino además adjuntar copia de los documentos tomados en cuenta para fundamentar su decisión. </w:t>
      </w:r>
    </w:p>
    <w:p w14:paraId="1395318C" w14:textId="69F1740D"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sidRPr="00C84366">
        <w:rPr>
          <w:rFonts w:ascii="Times New Roman" w:eastAsia="Arial Unicode MS" w:hAnsi="Times New Roman" w:cs="Times New Roman"/>
          <w:sz w:val="24"/>
          <w:szCs w:val="24"/>
          <w:lang w:val="es-PE" w:eastAsia="ar-SA"/>
        </w:rPr>
        <w:t xml:space="preserve">Ahora bien, al impugnar la resolución interpuesta, la aseguradora presenta el informe de polígrafo que determina respuestas “significativas” de engaño a cuatro preguntas genéricas que no dan cuenta de los hechos, pero además contiene alrededor de 41 preguntas, las cuales no han sido analizadas por la aseguradora. </w:t>
      </w:r>
    </w:p>
    <w:p w14:paraId="0D60028D" w14:textId="03BDBCCA"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efecto, la aseguradora lejos de analizar las respuestas a las preguntas formuladas, durante la prueba de polígrafo, sobre los hechos y determinar si habría alguna inconsistencia entre ellas (ya sea solo entre ellas, entre ellas y la denuncia policial o cualquier entrevista o información que se hubiere solicitado), se limita a señalar que la Resolución Impugnada estaría dando mayor valor probatorio a la denuncia policial, pues ella sería el único medio a través del cual se pueden identificar inconsistencias.</w:t>
      </w:r>
    </w:p>
    <w:p w14:paraId="5D57A898" w14:textId="1BC0CE3A"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Dicha información no corresponde a la realidad, pues la Resolución Impugnada, señala que las inconsistencias pueden evidenciarse a través de “cualquier otro documento” distinto a la denuncia policial, como puede ser una entrevista, o el mismo informe de polígrafo; análisis que la aseguradora no realiza.</w:t>
      </w:r>
    </w:p>
    <w:p w14:paraId="1976B97C" w14:textId="3E38D2CD"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sidRPr="00C84366">
        <w:rPr>
          <w:rFonts w:ascii="Times New Roman" w:eastAsia="Arial Unicode MS" w:hAnsi="Times New Roman" w:cs="Times New Roman"/>
          <w:sz w:val="24"/>
          <w:szCs w:val="24"/>
          <w:lang w:val="es-PE" w:eastAsia="ar-SA"/>
        </w:rPr>
        <w:t xml:space="preserve">La aseguradora sostiene que en base a la prueba de polígrafo se identificaron declaraciones inexactas, pero no sustenta cuáles serían esas declaraciones inexactas (declaraciones que deberían referirse a hechos, no a opiniones ni apreciaciones). Una respuesta significativa de engaño, determinada por la prueba de polígrafo, a la pregunta “ha presentado alguna declaración falsa” o “ha participado como autora del siniestro declarado”, no determina que estemos ante una declaración inexacta, sino ante el resultado de una prueba en base a la reacción que dicha pregunta genera; prueba que no es absoluta. Es por ello </w:t>
      </w:r>
      <w:proofErr w:type="gramStart"/>
      <w:r w:rsidRPr="00C84366">
        <w:rPr>
          <w:rFonts w:ascii="Times New Roman" w:eastAsia="Arial Unicode MS" w:hAnsi="Times New Roman" w:cs="Times New Roman"/>
          <w:sz w:val="24"/>
          <w:szCs w:val="24"/>
          <w:lang w:val="es-PE" w:eastAsia="ar-SA"/>
        </w:rPr>
        <w:t>que</w:t>
      </w:r>
      <w:proofErr w:type="gramEnd"/>
      <w:r w:rsidRPr="00C84366">
        <w:rPr>
          <w:rFonts w:ascii="Times New Roman" w:eastAsia="Arial Unicode MS" w:hAnsi="Times New Roman" w:cs="Times New Roman"/>
          <w:sz w:val="24"/>
          <w:szCs w:val="24"/>
          <w:lang w:val="es-PE" w:eastAsia="ar-SA"/>
        </w:rPr>
        <w:t xml:space="preserve"> es necesario complementar dicha prueba con un análisis adecuado de la conducta o hechos que se presentan ya sea antes, o durante la prueba de polígrafo.</w:t>
      </w:r>
    </w:p>
    <w:p w14:paraId="4A781B9F" w14:textId="73A7E8DB"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 continuación, se transcribe parte pertinente de la Resolución Impugnada, donde se dan incluso ejemplos de situaciones que evidencian inconsistencias (no relacionadas únicamente a la denuncia policial como erróneamente sostiene la aseguradora), o suspicacias que justifican la realización de una prueba poligráfica:</w:t>
      </w:r>
    </w:p>
    <w:p w14:paraId="32837011" w14:textId="683D4320"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 xml:space="preserve">“(…) a criterio de esta Defensoría, una manera en que la aseguradora cumple con su carga probatoria procesal de demostrar  una reclamación fraudulenta, es acreditando que, en el relato de lo sucedido y que estaría contenido en la denuncia policial </w:t>
      </w:r>
      <w:r w:rsidRPr="00C84366">
        <w:rPr>
          <w:rFonts w:ascii="Times New Roman" w:eastAsia="Arial Unicode MS" w:hAnsi="Times New Roman" w:cs="Times New Roman"/>
          <w:b/>
          <w:bCs/>
          <w:i/>
          <w:iCs/>
          <w:sz w:val="24"/>
          <w:szCs w:val="24"/>
          <w:lang w:val="es-PE" w:eastAsia="ar-SA"/>
        </w:rPr>
        <w:t>u otros documentos</w:t>
      </w:r>
      <w:r w:rsidRPr="00C84366">
        <w:rPr>
          <w:rFonts w:ascii="Times New Roman" w:eastAsia="Arial Unicode MS" w:hAnsi="Times New Roman" w:cs="Times New Roman"/>
          <w:i/>
          <w:iCs/>
          <w:sz w:val="24"/>
          <w:szCs w:val="24"/>
          <w:lang w:val="es-PE" w:eastAsia="ar-SA"/>
        </w:rPr>
        <w:t xml:space="preserve">, hay inexactitudes, contradicciones o </w:t>
      </w:r>
      <w:r w:rsidRPr="00C84366">
        <w:rPr>
          <w:rFonts w:ascii="Times New Roman" w:eastAsia="Arial Unicode MS" w:hAnsi="Times New Roman" w:cs="Times New Roman"/>
          <w:i/>
          <w:iCs/>
          <w:sz w:val="24"/>
          <w:szCs w:val="24"/>
          <w:lang w:val="es-PE" w:eastAsia="ar-SA"/>
        </w:rPr>
        <w:lastRenderedPageBreak/>
        <w:t xml:space="preserve">inconsistencias, de manera que no se ha llegado a probar realmente la existencia del siniestro, o destacando que existen criterios objetivos para poner en duda razonable que lo supuestamente sucedido se produjo realmente.  En ese contexto es que se enmarca la prueba del polígrafo, es </w:t>
      </w:r>
      <w:proofErr w:type="gramStart"/>
      <w:r w:rsidRPr="00C84366">
        <w:rPr>
          <w:rFonts w:ascii="Times New Roman" w:eastAsia="Arial Unicode MS" w:hAnsi="Times New Roman" w:cs="Times New Roman"/>
          <w:i/>
          <w:iCs/>
          <w:sz w:val="24"/>
          <w:szCs w:val="24"/>
          <w:lang w:val="es-PE" w:eastAsia="ar-SA"/>
        </w:rPr>
        <w:t>decir,  como</w:t>
      </w:r>
      <w:proofErr w:type="gramEnd"/>
      <w:r w:rsidRPr="00C84366">
        <w:rPr>
          <w:rFonts w:ascii="Times New Roman" w:eastAsia="Arial Unicode MS" w:hAnsi="Times New Roman" w:cs="Times New Roman"/>
          <w:i/>
          <w:iCs/>
          <w:sz w:val="24"/>
          <w:szCs w:val="24"/>
          <w:lang w:val="es-PE" w:eastAsia="ar-SA"/>
        </w:rPr>
        <w:t xml:space="preserve"> un elemento integrante de una serie de indicios que llevan a la convicción de que no existe verosimilitud en el relato de lo sucedido por parte del asegurado, lo que fundamenta invocar una reclamación fraudulenta. </w:t>
      </w:r>
    </w:p>
    <w:p w14:paraId="79F77CC8" w14:textId="59C58EAF"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w:t>
      </w:r>
    </w:p>
    <w:p w14:paraId="548DEAAC" w14:textId="1D1958EE"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En este caso, no se recurrió a la entrevista personal a la que se refiere el certificado de seguro, sino que directamente se citó a la prueba poligráfica, siendo que la Carta de Rechazo solamente refirió parte del informe obtenido, sin adjuntarlo como sustento. Con lo cual, no solo no se ha presentado el informe completo del resultado de polígrafo, sino que además, no se ha corroborado esas respuestas genéricas (que no se refieren directamente al siniestro) con indicios suficientes que acrediten inexactitudes, contradicciones o inconsistencias que generen sospechas verosímiles sobre la existencia de una reclamación fraudulenta.</w:t>
      </w:r>
    </w:p>
    <w:p w14:paraId="763D9739" w14:textId="76867E69"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En efecto, a diferencia de otros casos sometidos a conocimiento de la DEFASEG, en esta oportunidad la aseguradora se ha limitado a señalar que la prueba poligráfica determina que existen respuestas “significativas” de engaño, sin mencionar qué parte de lo narrado configuraría un engaño o generaría suspicacias sobre que lo ocurrido no corresponde a la realidad, pues no se ha evidenciado cuáles serían las inconsistencias, contradicciones o inexactitudes que generan dudas sobre la existencia del siniestro, ni los elementos que generan suspicacias sobre que lo ocurrido no corresponde a la realidad (</w:t>
      </w:r>
      <w:r w:rsidRPr="00C84366">
        <w:rPr>
          <w:rFonts w:ascii="Times New Roman" w:eastAsia="Arial Unicode MS" w:hAnsi="Times New Roman" w:cs="Times New Roman"/>
          <w:b/>
          <w:bCs/>
          <w:i/>
          <w:iCs/>
          <w:sz w:val="24"/>
          <w:szCs w:val="24"/>
          <w:lang w:val="es-PE" w:eastAsia="ar-SA"/>
        </w:rPr>
        <w:t xml:space="preserve">ello ocurre cuando, por ejemplo, se evidencian inconsistencias en la forma cómo ocurrió el siniestro; no es posible identificar a la persona o entidad que realiza el fraude; la persona ha presentado siniestros similares previos; </w:t>
      </w:r>
      <w:r w:rsidRPr="00C84366">
        <w:rPr>
          <w:rFonts w:ascii="Times New Roman" w:eastAsia="Arial Unicode MS" w:hAnsi="Times New Roman" w:cs="Times New Roman"/>
          <w:b/>
          <w:bCs/>
          <w:i/>
          <w:iCs/>
          <w:sz w:val="24"/>
          <w:szCs w:val="24"/>
          <w:u w:val="single"/>
          <w:lang w:val="es-PE" w:eastAsia="ar-SA"/>
        </w:rPr>
        <w:t>se invoca -luego de la prueba de polígrafo y ante el rechazo de cobertura- amedrentamiento durante la realización de la prueba pero el asegurado llenó un encuesta de satisfacción con el servicio brindado durante la prueba</w:t>
      </w:r>
      <w:r w:rsidRPr="00C84366">
        <w:rPr>
          <w:rFonts w:ascii="Times New Roman" w:eastAsia="Arial Unicode MS" w:hAnsi="Times New Roman" w:cs="Times New Roman"/>
          <w:b/>
          <w:bCs/>
          <w:i/>
          <w:iCs/>
          <w:sz w:val="24"/>
          <w:szCs w:val="24"/>
          <w:lang w:val="es-PE" w:eastAsia="ar-SA"/>
        </w:rPr>
        <w:t>; se muestra un comportamiento de abonos inusual previo al siniestro, o demoras injustificadas en realizar el bloqueo permitiendo que se realicen mayores consumos indebidos; entre otros actos que generan suspicacias sobre lo ocurrido, los cuales sumados a la realización de una prueba poligráfica que arroja respuestas significativas de engaño, podrían permitir determinar que lo narrado no corresponde a la realidad y rechazar el siniestro invocando reclamación fraudulenta</w:t>
      </w:r>
      <w:r w:rsidRPr="00C84366">
        <w:rPr>
          <w:rFonts w:ascii="Times New Roman" w:eastAsia="Arial Unicode MS" w:hAnsi="Times New Roman" w:cs="Times New Roman"/>
          <w:i/>
          <w:iCs/>
          <w:sz w:val="24"/>
          <w:szCs w:val="24"/>
          <w:lang w:val="es-PE" w:eastAsia="ar-SA"/>
        </w:rPr>
        <w:t>).</w:t>
      </w:r>
    </w:p>
    <w:p w14:paraId="33DF561A" w14:textId="77777777"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 xml:space="preserve">Según lo mencionado en la audiencia de vista, para la aseguradora la “inconsistencia” radica en que la prueba de polígrafo determina que se dieron respuestas significativas de engaño a preguntas genéricas que no dan cuenta de los hechos acontecidos, </w:t>
      </w:r>
      <w:proofErr w:type="gramStart"/>
      <w:r w:rsidRPr="00C84366">
        <w:rPr>
          <w:rFonts w:ascii="Times New Roman" w:eastAsia="Arial Unicode MS" w:hAnsi="Times New Roman" w:cs="Times New Roman"/>
          <w:i/>
          <w:iCs/>
          <w:sz w:val="24"/>
          <w:szCs w:val="24"/>
          <w:lang w:val="es-PE" w:eastAsia="ar-SA"/>
        </w:rPr>
        <w:t>y</w:t>
      </w:r>
      <w:proofErr w:type="gramEnd"/>
      <w:r w:rsidRPr="00C84366">
        <w:rPr>
          <w:rFonts w:ascii="Times New Roman" w:eastAsia="Arial Unicode MS" w:hAnsi="Times New Roman" w:cs="Times New Roman"/>
          <w:i/>
          <w:iCs/>
          <w:sz w:val="24"/>
          <w:szCs w:val="24"/>
          <w:lang w:val="es-PE" w:eastAsia="ar-SA"/>
        </w:rPr>
        <w:t xml:space="preserve"> por lo tanto, lo narrado en la denuncia policial sería falso. Ello, sin embargo, no constituye una contradicción ni una inconsistencia pues no estamos ante la descripción de un hecho por parte de la reclamante que se contradice con otro hecho narrado por la propia reclamante, sino ante la </w:t>
      </w:r>
      <w:r w:rsidRPr="00C84366">
        <w:rPr>
          <w:rFonts w:ascii="Times New Roman" w:eastAsia="Arial Unicode MS" w:hAnsi="Times New Roman" w:cs="Times New Roman"/>
          <w:i/>
          <w:iCs/>
          <w:sz w:val="24"/>
          <w:szCs w:val="24"/>
          <w:lang w:val="es-PE" w:eastAsia="ar-SA"/>
        </w:rPr>
        <w:lastRenderedPageBreak/>
        <w:t>presunción absoluta, en base a un resultado de polígrafo, de que la respuesta negativa es falsa. Es decir, se le está otorgando al polígrafo la calidad de prueba plena, no respaldada con alguna otra prueba o indicio, lo que no se ajusta a derecho, toda vez que -reiteramos- estamos ante una prueba que no arroja resultados absolutos, sino que registra reacciones las cuales pueden estar afectadas por elementos externos o internos de la persona; razón por la cual el polígrafo puede ser utilizado como una prueba complementaria, más no así absoluta, pues no es razonablemente concluyente respecto de la existencia de una posible declaración fraudulenta por parte de la asegurada.</w:t>
      </w:r>
    </w:p>
    <w:p w14:paraId="19F6E89B" w14:textId="77777777"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p>
    <w:p w14:paraId="144D265F" w14:textId="76F214E7"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w:t>
      </w:r>
    </w:p>
    <w:p w14:paraId="6EC5BE0F" w14:textId="77777777" w:rsidR="00C84366" w:rsidRPr="00C84366" w:rsidRDefault="00C84366" w:rsidP="00AD7BB3">
      <w:pPr>
        <w:spacing w:line="240" w:lineRule="auto"/>
        <w:ind w:left="1440"/>
        <w:jc w:val="both"/>
        <w:rPr>
          <w:rFonts w:ascii="Times New Roman" w:eastAsia="Arial Unicode MS" w:hAnsi="Times New Roman" w:cs="Times New Roman"/>
          <w:i/>
          <w:iCs/>
          <w:sz w:val="24"/>
          <w:szCs w:val="24"/>
          <w:lang w:val="es-PE" w:eastAsia="ar-SA"/>
        </w:rPr>
      </w:pPr>
      <w:r w:rsidRPr="00C84366">
        <w:rPr>
          <w:rFonts w:ascii="Times New Roman" w:eastAsia="Arial Unicode MS" w:hAnsi="Times New Roman" w:cs="Times New Roman"/>
          <w:i/>
          <w:iCs/>
          <w:sz w:val="24"/>
          <w:szCs w:val="24"/>
          <w:lang w:val="es-PE" w:eastAsia="ar-SA"/>
        </w:rPr>
        <w:t xml:space="preserve">En consecuencia, no resulta suficiente amparar el rechazo únicamente en el resultado de una prueba poligráfica, que se ha citado parcialmente y cuyo informe no ha sido presentado, lo que no genera convicción. Menos </w:t>
      </w:r>
      <w:proofErr w:type="spellStart"/>
      <w:r w:rsidRPr="00C84366">
        <w:rPr>
          <w:rFonts w:ascii="Times New Roman" w:eastAsia="Arial Unicode MS" w:hAnsi="Times New Roman" w:cs="Times New Roman"/>
          <w:i/>
          <w:iCs/>
          <w:sz w:val="24"/>
          <w:szCs w:val="24"/>
          <w:lang w:val="es-PE" w:eastAsia="ar-SA"/>
        </w:rPr>
        <w:t>aún</w:t>
      </w:r>
      <w:proofErr w:type="spellEnd"/>
      <w:r w:rsidRPr="00C84366">
        <w:rPr>
          <w:rFonts w:ascii="Times New Roman" w:eastAsia="Arial Unicode MS" w:hAnsi="Times New Roman" w:cs="Times New Roman"/>
          <w:i/>
          <w:iCs/>
          <w:sz w:val="24"/>
          <w:szCs w:val="24"/>
          <w:lang w:val="es-PE" w:eastAsia="ar-SA"/>
        </w:rPr>
        <w:t xml:space="preserve"> cuando no se invocan, ni evidencian, inconsistencias en lo narrado, o elementos que permitan justificar la verificación de los hechos a través de una prueba de polígrafo.”  El resaltado y subrayado es nuestro</w:t>
      </w:r>
    </w:p>
    <w:p w14:paraId="6B63EB7B"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p>
    <w:p w14:paraId="0A3C76A9" w14:textId="4BCD71FA"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Como se aprecia de los textos transcritos, la Resolución Impugnada NO considera -como sostiene la compañía de seguros- que es necesario que la aseguradora “dentro del contenido de la propia denuncia policial” identifique inconsistencias, antes de realizar una prueba poligráfica, pues ellas pueden ser identificadas en cualquier documento, entrevista, movimientos de cuenta inusuales, etc.; o, incluso en la misma prueba de polígrafo. </w:t>
      </w:r>
    </w:p>
    <w:p w14:paraId="56367121" w14:textId="1C1B5F00"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Lo que sostiene la Resolución Impugnada y confirma este colegiado, es que la prueba de polígrafo al ser una prueba que no arroja resultados absolutos, puede presentar márgenes de error pues registra reacciones, por lo que configura un elemento de apoyo que por sí solo no es suficiente para generar convicción. Lo que corresponde a una aseguradora cuando recibe un reclamo es que lo evalúe, requiera documentación adicional o realice una entrevista, si lo considere necesario, pero si automáticamente solicita una prueba de polígrafo sin tener o identificar duda alguna sobre el siniestro o sus circunstancias, se espera que, al menos, dentro de la prueba identifique inconsistencias o contradicciones respecto de los hechos; pero no, que únicamente rechace el siniestro porque la prueba arroja que se dan respuestas “significativas” de engaño ante la pregunta de si se cometió fraude; siendo que dicha prueba no es absoluta como el mismo texto del informe de polígrafo lo indica, pues en todas las páginas del mismo figura, a pie de página, el siguiente texto: “Los resultados obtenidos en este examen Poligráfico no constituyen prueba, ni procedimiento judicial y deben ser utilizados únicamente con el fin de orientar las decisiones de carácter laboral y privado dentro de la empresa” (el resaltado es del propio texto). Es decir, el informe de polígrafo busca “orientar” una decisión, la que puede apoyarse en el informe, pero no que este sea la única prueba de la decisión. </w:t>
      </w:r>
    </w:p>
    <w:p w14:paraId="019ED04A"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Cabe señalar que la aseguradora señala y concluye que INDECOPI a través de la resolución 1303-2024/CC1 consideró que la prueba poligráfica constituye medio probatorio suficiente de una actitud fraudulenta; conclusión de ………………… que la DEFASEG no comparte. Al respecto, este colegiado tiene a bien precisar que cada caso tiene sus propias particularidades; sin perjuicio de ello, advierte que en la resolución de INDECOPI citada por la aseguradora, figura lo siguiente:</w:t>
      </w:r>
    </w:p>
    <w:p w14:paraId="44A95D6E"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p>
    <w:p w14:paraId="307227CB"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p>
    <w:p w14:paraId="266D6C17" w14:textId="66A1DE61" w:rsidR="00C84366" w:rsidRPr="00C84366" w:rsidRDefault="00C84366" w:rsidP="00CF7F8C">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4ED883EC" w14:textId="22F19F79" w:rsidR="00C84366" w:rsidRPr="00C84366" w:rsidRDefault="00CF51E2" w:rsidP="00C84366">
      <w:pPr>
        <w:spacing w:line="240" w:lineRule="auto"/>
        <w:jc w:val="both"/>
        <w:rPr>
          <w:rFonts w:ascii="Times New Roman" w:eastAsia="Arial Unicode MS" w:hAnsi="Times New Roman" w:cs="Times New Roman"/>
          <w:sz w:val="24"/>
          <w:szCs w:val="24"/>
          <w:lang w:val="es-PE" w:eastAsia="ar-SA"/>
        </w:rPr>
      </w:pPr>
      <w:r>
        <w:rPr>
          <w:rFonts w:ascii="Times New Roman" w:eastAsia="Arial Unicode MS" w:hAnsi="Times New Roman" w:cs="Times New Roman"/>
          <w:sz w:val="24"/>
          <w:szCs w:val="24"/>
          <w:lang w:val="es-PE" w:eastAsia="ar-SA"/>
        </w:rPr>
        <w:t xml:space="preserve">                    </w:t>
      </w:r>
      <w:r w:rsidR="00C84366" w:rsidRPr="00C84366">
        <w:rPr>
          <w:rFonts w:ascii="Times New Roman" w:eastAsia="Arial Unicode MS" w:hAnsi="Times New Roman" w:cs="Times New Roman"/>
          <w:sz w:val="24"/>
          <w:szCs w:val="24"/>
          <w:lang w:val="es-PE" w:eastAsia="ar-SA"/>
        </w:rPr>
        <w:t>(…)</w:t>
      </w:r>
    </w:p>
    <w:p w14:paraId="2404D25E" w14:textId="6C48E479" w:rsidR="00C84366" w:rsidRPr="00C84366" w:rsidRDefault="00C84366" w:rsidP="00CF51E2">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7357A97C" w14:textId="1DEB8749"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otras palabras, en el expediente administrativo citado por la aseguradora, se evidenció que la asegurada -de dicho caso- señalaba que durante la prueba había sido coaccionada, lo que entraba en contradicción con lo afirmado en la encuesta que le practicó la aseguradora (luego de la prueba) donde se señalaba todo lo contrario; lo que evidenciaba una conducta inconsistente y deshonesta. Es decir, se aprecia que la resolución de INDECOPI que cita la aseguradora tuvo en consideración dicha declaración contradictoria; que casualmente fue referida como ejemplo de inconsistencia, en la Resolución Impugnada que nos ocupa (véase líneas arriba el texto subrayado en el texto trascrito de la Resolución Impugnada).</w:t>
      </w:r>
    </w:p>
    <w:p w14:paraId="7FFC2C65" w14:textId="240BB610"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sidRPr="00C84366">
        <w:rPr>
          <w:rFonts w:ascii="Times New Roman" w:eastAsia="Arial Unicode MS" w:hAnsi="Times New Roman" w:cs="Times New Roman"/>
          <w:sz w:val="24"/>
          <w:szCs w:val="24"/>
          <w:lang w:val="es-PE" w:eastAsia="ar-SA"/>
        </w:rPr>
        <w:t>En conclusión, este colegiado no niega que la aseguradora puede “apoyarse” en una prueba de polígrafo para sustentar un rechazo, en tanto existen elementos que infieren una sospecha de fraude, pero no puede únicamente basarse en el resultado de dicha prueba, sin dar una explicación razonable sobre los hechos o conductas inconsistentes que llevan a dicha sospecha, o se evidencian durante la prueba de polígrafo, como es el caso descrito en la citada resolución de Indecopi, y como fue el caso resuelto bajo Resolución N° 166-21 emitido por esta Defensoría, con fecha 23 de noviembre de 2021; siendo que no corresponde a este colegiado suplir las deficiencias probatorias de la aseguradora</w:t>
      </w:r>
    </w:p>
    <w:p w14:paraId="201BDB49" w14:textId="0DA0FADE" w:rsidR="00C84366" w:rsidRDefault="00C84366" w:rsidP="00C84366">
      <w:pPr>
        <w:spacing w:line="240" w:lineRule="auto"/>
        <w:jc w:val="both"/>
        <w:rPr>
          <w:rFonts w:ascii="Times New Roman" w:eastAsia="Arial Unicode MS" w:hAnsi="Times New Roman" w:cs="Times New Roman"/>
          <w:sz w:val="24"/>
          <w:szCs w:val="24"/>
          <w:lang w:val="es-PE" w:eastAsia="ar-SA"/>
        </w:rPr>
      </w:pPr>
      <w:r w:rsidRPr="00C84366">
        <w:rPr>
          <w:rFonts w:ascii="Times New Roman" w:eastAsia="Arial Unicode MS" w:hAnsi="Times New Roman" w:cs="Times New Roman"/>
          <w:sz w:val="24"/>
          <w:szCs w:val="24"/>
          <w:lang w:val="es-PE"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14:paraId="2D1F7761" w14:textId="77777777" w:rsidR="00AD7BB3" w:rsidRDefault="00AD7BB3" w:rsidP="00C84366">
      <w:pPr>
        <w:spacing w:line="240" w:lineRule="auto"/>
        <w:jc w:val="both"/>
        <w:rPr>
          <w:rFonts w:ascii="Times New Roman" w:eastAsia="Arial Unicode MS" w:hAnsi="Times New Roman" w:cs="Times New Roman"/>
          <w:sz w:val="24"/>
          <w:szCs w:val="24"/>
          <w:lang w:val="es-PE" w:eastAsia="ar-SA"/>
        </w:rPr>
      </w:pPr>
    </w:p>
    <w:p w14:paraId="740830AC" w14:textId="77777777" w:rsidR="00AD7BB3" w:rsidRDefault="00AD7BB3" w:rsidP="00C84366">
      <w:pPr>
        <w:spacing w:line="240" w:lineRule="auto"/>
        <w:jc w:val="both"/>
        <w:rPr>
          <w:rFonts w:ascii="Times New Roman" w:eastAsia="Arial Unicode MS" w:hAnsi="Times New Roman" w:cs="Times New Roman"/>
          <w:sz w:val="24"/>
          <w:szCs w:val="24"/>
          <w:lang w:val="es-PE" w:eastAsia="ar-SA"/>
        </w:rPr>
      </w:pPr>
    </w:p>
    <w:p w14:paraId="2BD899CB" w14:textId="77777777" w:rsidR="00AD7BB3" w:rsidRDefault="00AD7BB3" w:rsidP="00C84366">
      <w:pPr>
        <w:spacing w:line="240" w:lineRule="auto"/>
        <w:jc w:val="both"/>
        <w:rPr>
          <w:rFonts w:ascii="Times New Roman" w:eastAsia="Arial Unicode MS" w:hAnsi="Times New Roman" w:cs="Times New Roman"/>
          <w:sz w:val="24"/>
          <w:szCs w:val="24"/>
          <w:lang w:val="es-PE" w:eastAsia="ar-SA"/>
        </w:rPr>
      </w:pPr>
    </w:p>
    <w:p w14:paraId="5EE5AECA" w14:textId="77777777" w:rsidR="00AD7BB3" w:rsidRDefault="00AD7BB3" w:rsidP="00C84366">
      <w:pPr>
        <w:spacing w:line="240" w:lineRule="auto"/>
        <w:jc w:val="both"/>
        <w:rPr>
          <w:rFonts w:ascii="Times New Roman" w:eastAsia="Arial Unicode MS" w:hAnsi="Times New Roman" w:cs="Times New Roman"/>
          <w:sz w:val="24"/>
          <w:szCs w:val="24"/>
          <w:lang w:val="es-PE" w:eastAsia="ar-SA"/>
        </w:rPr>
      </w:pPr>
    </w:p>
    <w:p w14:paraId="4852E44A" w14:textId="77777777" w:rsidR="00AD7BB3" w:rsidRPr="00C84366" w:rsidRDefault="00AD7BB3" w:rsidP="00C84366">
      <w:pPr>
        <w:spacing w:line="240" w:lineRule="auto"/>
        <w:jc w:val="both"/>
        <w:rPr>
          <w:rFonts w:ascii="Times New Roman" w:eastAsia="Arial Unicode MS" w:hAnsi="Times New Roman" w:cs="Times New Roman"/>
          <w:sz w:val="24"/>
          <w:szCs w:val="24"/>
          <w:lang w:val="es-PE" w:eastAsia="ar-SA"/>
        </w:rPr>
      </w:pPr>
    </w:p>
    <w:p w14:paraId="249CA35E" w14:textId="399572A7" w:rsidR="00C84366" w:rsidRPr="00C84366" w:rsidRDefault="00C84366" w:rsidP="00C84366">
      <w:pPr>
        <w:spacing w:line="240" w:lineRule="auto"/>
        <w:jc w:val="both"/>
        <w:rPr>
          <w:rFonts w:ascii="Times New Roman" w:eastAsia="Arial Unicode MS" w:hAnsi="Times New Roman" w:cs="Times New Roman"/>
          <w:b/>
          <w:bCs/>
          <w:sz w:val="24"/>
          <w:szCs w:val="24"/>
          <w:lang w:val="es-PE" w:eastAsia="ar-SA"/>
        </w:rPr>
      </w:pPr>
      <w:r w:rsidRPr="00C84366">
        <w:rPr>
          <w:rFonts w:ascii="Times New Roman" w:eastAsia="Arial Unicode MS" w:hAnsi="Times New Roman" w:cs="Times New Roman"/>
          <w:b/>
          <w:bCs/>
          <w:sz w:val="24"/>
          <w:szCs w:val="24"/>
          <w:lang w:val="es-PE" w:eastAsia="ar-SA"/>
        </w:rPr>
        <w:lastRenderedPageBreak/>
        <w:t>Resuelve:</w:t>
      </w:r>
    </w:p>
    <w:p w14:paraId="28340067" w14:textId="77777777" w:rsidR="00C84366" w:rsidRPr="00C84366" w:rsidRDefault="00C84366" w:rsidP="00C8436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por ………………… y, por consiguiente, ratificar la Resolución Nro. 090/25, de fecha 17 de junio de 2025, que declaró FUNDADA la reclamación interpuesta por ………………… respecto del seguro de Tarjetas 360° Póliza N° …………………</w:t>
      </w:r>
    </w:p>
    <w:p w14:paraId="51EDAB4B" w14:textId="59202A2B" w:rsidR="00B32E8A" w:rsidRPr="009C0D47" w:rsidRDefault="0091528B" w:rsidP="00657814">
      <w:pPr>
        <w:spacing w:line="240" w:lineRule="auto"/>
        <w:jc w:val="right"/>
        <w:rPr>
          <w:rFonts w:ascii="Times New Roman" w:hAnsi="Times New Roman" w:cs="Times New Roman"/>
          <w:sz w:val="24"/>
          <w:szCs w:val="24"/>
          <w:lang w:val="es-PE"/>
        </w:rPr>
      </w:pPr>
      <w:r w:rsidRPr="009C0D47">
        <w:rPr>
          <w:rFonts w:ascii="Times New Roman" w:eastAsia="Arial Unicode MS" w:hAnsi="Times New Roman" w:cs="Times New Roman"/>
          <w:sz w:val="24"/>
          <w:szCs w:val="24"/>
          <w:lang w:val="es-PE" w:eastAsia="ar-SA"/>
        </w:rPr>
        <w:t>Lima,</w:t>
      </w:r>
      <w:r w:rsidR="00774D05" w:rsidRPr="009C0D47">
        <w:rPr>
          <w:rFonts w:ascii="Times New Roman" w:eastAsia="Arial Unicode MS" w:hAnsi="Times New Roman" w:cs="Times New Roman"/>
          <w:sz w:val="24"/>
          <w:szCs w:val="24"/>
          <w:lang w:val="es-PE" w:eastAsia="ar-SA"/>
        </w:rPr>
        <w:t xml:space="preserve"> </w:t>
      </w:r>
      <w:r w:rsidR="00C84366">
        <w:rPr>
          <w:rFonts w:ascii="Times New Roman" w:eastAsia="Arial Unicode MS" w:hAnsi="Times New Roman" w:cs="Times New Roman"/>
          <w:sz w:val="24"/>
          <w:szCs w:val="24"/>
          <w:lang w:val="es-PE" w:eastAsia="ar-SA"/>
        </w:rPr>
        <w:t>21</w:t>
      </w:r>
      <w:r w:rsidR="00B8209E" w:rsidRPr="009C0D47">
        <w:rPr>
          <w:rFonts w:ascii="Times New Roman" w:eastAsia="Arial Unicode MS" w:hAnsi="Times New Roman" w:cs="Times New Roman"/>
          <w:sz w:val="24"/>
          <w:szCs w:val="24"/>
          <w:lang w:val="es-PE" w:eastAsia="ar-SA"/>
        </w:rPr>
        <w:t xml:space="preserve"> </w:t>
      </w:r>
      <w:r w:rsidR="00707C99" w:rsidRPr="009C0D47">
        <w:rPr>
          <w:rFonts w:ascii="Times New Roman" w:eastAsia="Arial Unicode MS" w:hAnsi="Times New Roman" w:cs="Times New Roman"/>
          <w:sz w:val="24"/>
          <w:szCs w:val="24"/>
          <w:lang w:val="es-PE" w:eastAsia="ar-SA"/>
        </w:rPr>
        <w:t xml:space="preserve">de </w:t>
      </w:r>
      <w:r w:rsidR="00FF5223" w:rsidRPr="009C0D47">
        <w:rPr>
          <w:rFonts w:ascii="Times New Roman" w:eastAsia="Arial Unicode MS" w:hAnsi="Times New Roman" w:cs="Times New Roman"/>
          <w:sz w:val="24"/>
          <w:szCs w:val="24"/>
          <w:lang w:val="es-PE" w:eastAsia="ar-SA"/>
        </w:rPr>
        <w:t>ju</w:t>
      </w:r>
      <w:r w:rsidR="00EB3A2B" w:rsidRPr="009C0D47">
        <w:rPr>
          <w:rFonts w:ascii="Times New Roman" w:eastAsia="Arial Unicode MS" w:hAnsi="Times New Roman" w:cs="Times New Roman"/>
          <w:sz w:val="24"/>
          <w:szCs w:val="24"/>
          <w:lang w:val="es-PE" w:eastAsia="ar-SA"/>
        </w:rPr>
        <w:t>l</w:t>
      </w:r>
      <w:r w:rsidR="00FF5223" w:rsidRPr="009C0D47">
        <w:rPr>
          <w:rFonts w:ascii="Times New Roman" w:eastAsia="Arial Unicode MS" w:hAnsi="Times New Roman" w:cs="Times New Roman"/>
          <w:sz w:val="24"/>
          <w:szCs w:val="24"/>
          <w:lang w:val="es-PE" w:eastAsia="ar-SA"/>
        </w:rPr>
        <w:t>io</w:t>
      </w:r>
      <w:r w:rsidR="002F478E" w:rsidRPr="009C0D47">
        <w:rPr>
          <w:rFonts w:ascii="Times New Roman" w:eastAsia="Arial Unicode MS" w:hAnsi="Times New Roman" w:cs="Times New Roman"/>
          <w:sz w:val="24"/>
          <w:szCs w:val="24"/>
          <w:lang w:val="es-PE" w:eastAsia="ar-SA"/>
        </w:rPr>
        <w:t xml:space="preserve"> </w:t>
      </w:r>
      <w:r w:rsidR="00F06498" w:rsidRPr="009C0D47">
        <w:rPr>
          <w:rFonts w:ascii="Times New Roman" w:eastAsia="Arial Unicode MS" w:hAnsi="Times New Roman" w:cs="Times New Roman"/>
          <w:sz w:val="24"/>
          <w:szCs w:val="24"/>
          <w:lang w:val="es-PE" w:eastAsia="ar-SA"/>
        </w:rPr>
        <w:t>de 202</w:t>
      </w:r>
      <w:r w:rsidR="00AE4D37" w:rsidRPr="009C0D47">
        <w:rPr>
          <w:rFonts w:ascii="Times New Roman" w:eastAsia="Arial Unicode MS" w:hAnsi="Times New Roman" w:cs="Times New Roman"/>
          <w:sz w:val="24"/>
          <w:szCs w:val="24"/>
          <w:lang w:val="es-PE" w:eastAsia="ar-SA"/>
        </w:rPr>
        <w:t>5</w:t>
      </w:r>
      <w:r w:rsidR="00707C99" w:rsidRPr="009C0D47">
        <w:rPr>
          <w:rFonts w:ascii="Times New Roman" w:eastAsia="Times New Roman" w:hAnsi="Times New Roman" w:cs="Times New Roman"/>
          <w:sz w:val="24"/>
          <w:szCs w:val="24"/>
          <w:lang w:val="es-PE" w:eastAsia="ar-SA"/>
        </w:rPr>
        <w:t xml:space="preserve"> </w:t>
      </w:r>
    </w:p>
    <w:p w14:paraId="1B6988F6" w14:textId="77777777" w:rsidR="00A323F4" w:rsidRPr="00E63817" w:rsidRDefault="00A323F4" w:rsidP="00657814">
      <w:pPr>
        <w:spacing w:after="0" w:line="240" w:lineRule="auto"/>
        <w:jc w:val="both"/>
        <w:rPr>
          <w:rFonts w:ascii="Times New Roman" w:hAnsi="Times New Roman" w:cs="Times New Roman"/>
          <w:b/>
          <w:bCs/>
          <w:i/>
          <w:iCs/>
          <w:lang w:val="es-PE"/>
        </w:rPr>
      </w:pPr>
      <w:r w:rsidRPr="00E63817">
        <w:rPr>
          <w:rFonts w:ascii="Times New Roman" w:hAnsi="Times New Roman" w:cs="Times New Roman"/>
          <w:b/>
          <w:bCs/>
          <w:i/>
          <w:iCs/>
          <w:sz w:val="24"/>
          <w:lang w:val="es-PE"/>
        </w:rPr>
        <w:t>La Secretaría Técnica certifica que la presente resolución cuenta con el voto de los vocales cuyos nombres figuran en el presente documento.</w:t>
      </w:r>
    </w:p>
    <w:p w14:paraId="2B24FCBE" w14:textId="77777777" w:rsidR="008D26BA" w:rsidRPr="00E63817" w:rsidRDefault="008D26BA" w:rsidP="00657814">
      <w:pPr>
        <w:spacing w:after="0" w:line="360" w:lineRule="auto"/>
        <w:jc w:val="both"/>
        <w:rPr>
          <w:rFonts w:ascii="Times New Roman" w:hAnsi="Times New Roman" w:cs="Times New Roman"/>
          <w:b/>
          <w:bCs/>
          <w:i/>
          <w:iCs/>
          <w:lang w:val="es-PE"/>
        </w:rPr>
      </w:pPr>
    </w:p>
    <w:p w14:paraId="220AA7AD" w14:textId="4331E0E4" w:rsidR="007543CD" w:rsidRPr="00E63817" w:rsidRDefault="008D26BA" w:rsidP="00657814">
      <w:pPr>
        <w:spacing w:after="0" w:line="360" w:lineRule="auto"/>
        <w:jc w:val="center"/>
        <w:rPr>
          <w:rFonts w:ascii="Times New Roman" w:hAnsi="Times New Roman" w:cs="Times New Roman"/>
          <w:b/>
          <w:bCs/>
          <w:lang w:val="es-PE"/>
        </w:rPr>
      </w:pPr>
      <w:r w:rsidRPr="00E63817">
        <w:rPr>
          <w:rFonts w:ascii="Times New Roman" w:hAnsi="Times New Roman" w:cs="Times New Roman"/>
          <w:b/>
          <w:bCs/>
          <w:sz w:val="24"/>
          <w:lang w:val="es-PE"/>
        </w:rPr>
        <w:t xml:space="preserve">Rolando Eyzaguirre </w:t>
      </w:r>
      <w:proofErr w:type="spellStart"/>
      <w:r w:rsidRPr="00E63817">
        <w:rPr>
          <w:rFonts w:ascii="Times New Roman" w:hAnsi="Times New Roman" w:cs="Times New Roman"/>
          <w:b/>
          <w:bCs/>
          <w:sz w:val="24"/>
          <w:lang w:val="es-PE"/>
        </w:rPr>
        <w:t>Maccan</w:t>
      </w:r>
      <w:proofErr w:type="spellEnd"/>
      <w:r w:rsidRPr="00E63817">
        <w:rPr>
          <w:rFonts w:ascii="Times New Roman" w:hAnsi="Times New Roman" w:cs="Times New Roman"/>
          <w:b/>
          <w:bCs/>
          <w:sz w:val="24"/>
          <w:lang w:val="es-PE"/>
        </w:rPr>
        <w:t xml:space="preserve"> </w:t>
      </w:r>
      <w:r w:rsidR="007543CD" w:rsidRPr="00E63817">
        <w:rPr>
          <w:rFonts w:ascii="Times New Roman" w:hAnsi="Times New Roman" w:cs="Times New Roman"/>
          <w:b/>
          <w:bCs/>
          <w:sz w:val="24"/>
          <w:lang w:val="es-PE"/>
        </w:rPr>
        <w:t xml:space="preserve">– </w:t>
      </w:r>
      <w:proofErr w:type="gramStart"/>
      <w:r w:rsidR="007543CD" w:rsidRPr="00E63817">
        <w:rPr>
          <w:rFonts w:ascii="Times New Roman" w:hAnsi="Times New Roman" w:cs="Times New Roman"/>
          <w:b/>
          <w:bCs/>
          <w:sz w:val="24"/>
          <w:lang w:val="es-PE"/>
        </w:rPr>
        <w:t>Presidente</w:t>
      </w:r>
      <w:proofErr w:type="gramEnd"/>
    </w:p>
    <w:p w14:paraId="69BFE54F" w14:textId="628D5C27" w:rsidR="007543CD" w:rsidRPr="00E63817" w:rsidRDefault="001B08C0" w:rsidP="00657814">
      <w:pPr>
        <w:spacing w:after="0" w:line="360" w:lineRule="auto"/>
        <w:jc w:val="center"/>
        <w:rPr>
          <w:rFonts w:ascii="Times New Roman" w:hAnsi="Times New Roman" w:cs="Times New Roman"/>
          <w:lang w:val="es-PE"/>
        </w:rPr>
      </w:pPr>
      <w:r w:rsidRPr="00E63817">
        <w:rPr>
          <w:rFonts w:ascii="Times New Roman" w:hAnsi="Times New Roman" w:cs="Times New Roman"/>
          <w:b/>
          <w:bCs/>
          <w:sz w:val="24"/>
          <w:lang w:val="es-PE"/>
        </w:rPr>
        <w:t xml:space="preserve">Antonio José Rodríguez Lobatón </w:t>
      </w:r>
      <w:r w:rsidR="007543CD" w:rsidRPr="00E63817">
        <w:rPr>
          <w:rFonts w:ascii="Times New Roman" w:hAnsi="Times New Roman" w:cs="Times New Roman"/>
          <w:b/>
          <w:bCs/>
          <w:sz w:val="24"/>
          <w:lang w:val="es-PE"/>
        </w:rPr>
        <w:t>–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CC916" w14:textId="77777777" w:rsidR="000E59BE" w:rsidRDefault="000E59BE" w:rsidP="00784355">
      <w:pPr>
        <w:spacing w:after="0" w:line="240" w:lineRule="auto"/>
      </w:pPr>
      <w:r>
        <w:separator/>
      </w:r>
    </w:p>
  </w:endnote>
  <w:endnote w:type="continuationSeparator" w:id="0">
    <w:p w14:paraId="48098E0D" w14:textId="77777777" w:rsidR="000E59BE" w:rsidRDefault="000E59B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9427" w14:textId="77777777" w:rsidR="000E59BE" w:rsidRDefault="000E59BE" w:rsidP="00784355">
      <w:pPr>
        <w:spacing w:after="0" w:line="240" w:lineRule="auto"/>
      </w:pPr>
      <w:r>
        <w:separator/>
      </w:r>
    </w:p>
  </w:footnote>
  <w:footnote w:type="continuationSeparator" w:id="0">
    <w:p w14:paraId="3E55AF9D" w14:textId="77777777" w:rsidR="000E59BE" w:rsidRDefault="000E59BE"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59BE"/>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1510"/>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3501"/>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4A9"/>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0945333-6FD8-4F1A-B3C7-2B475E13F102}"/>
</file>

<file path=customXml/itemProps3.xml><?xml version="1.0" encoding="utf-8"?>
<ds:datastoreItem xmlns:ds="http://schemas.openxmlformats.org/officeDocument/2006/customXml" ds:itemID="{B97FF8CF-FFDB-46E7-841B-3BDDE3C5E477}"/>
</file>

<file path=customXml/itemProps4.xml><?xml version="1.0" encoding="utf-8"?>
<ds:datastoreItem xmlns:ds="http://schemas.openxmlformats.org/officeDocument/2006/customXml" ds:itemID="{D1934739-37F0-42FB-9761-B70F1D10DD17}"/>
</file>

<file path=docProps/app.xml><?xml version="1.0" encoding="utf-8"?>
<Properties xmlns="http://schemas.openxmlformats.org/officeDocument/2006/extended-properties" xmlns:vt="http://schemas.openxmlformats.org/officeDocument/2006/docPropsVTypes">
  <Template>Normal</Template>
  <TotalTime>380</TotalTime>
  <Pages>6</Pages>
  <Words>2470</Words>
  <Characters>13591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423</cp:revision>
  <cp:lastPrinted>2025-08-04T20:58:00Z</cp:lastPrinted>
  <dcterms:created xsi:type="dcterms:W3CDTF">2023-02-14T22:37:00Z</dcterms:created>
  <dcterms:modified xsi:type="dcterms:W3CDTF">2025-08-04T20:58:00Z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