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95D4" w14:textId="7C04EB07" w:rsidR="001F32A4" w:rsidRPr="006F011C" w:rsidRDefault="00201C0D" w:rsidP="00F04C50">
      <w:pPr>
        <w:spacing w:after="0" w:line="240" w:lineRule="auto"/>
        <w:jc w:val="center"/>
        <w:rPr>
          <w:rFonts w:ascii="Times New Roman" w:hAnsi="Times New Roman" w:cs="Times New Roman"/>
          <w:b/>
          <w:sz w:val="23"/>
          <w:szCs w:val="23"/>
          <w:lang w:val="es-PE" w:eastAsia="ar-SA"/>
        </w:rPr>
      </w:pPr>
      <w:r w:rsidRPr="006F011C">
        <w:rPr>
          <w:rFonts w:ascii="Times New Roman" w:hAnsi="Times New Roman" w:cs="Times New Roman"/>
          <w:b/>
          <w:sz w:val="24"/>
          <w:szCs w:val="23"/>
          <w:lang w:val="es-PE" w:eastAsia="ar-SA"/>
        </w:rPr>
        <w:t xml:space="preserve">RESOLUCIÓN DE RECURSO IMPUGNATIVO </w:t>
      </w:r>
      <w:r w:rsidR="00707C99" w:rsidRPr="006F011C">
        <w:rPr>
          <w:rFonts w:ascii="Times New Roman" w:hAnsi="Times New Roman" w:cs="Times New Roman"/>
          <w:b/>
          <w:sz w:val="24"/>
          <w:szCs w:val="23"/>
          <w:lang w:val="es-PE" w:eastAsia="ar-SA"/>
        </w:rPr>
        <w:t xml:space="preserve">N° </w:t>
      </w:r>
      <w:r w:rsidR="00EE4B4D" w:rsidRPr="006F011C">
        <w:rPr>
          <w:rFonts w:ascii="Times New Roman" w:hAnsi="Times New Roman" w:cs="Times New Roman"/>
          <w:b/>
          <w:sz w:val="24"/>
          <w:szCs w:val="23"/>
          <w:lang w:val="es-PE" w:eastAsia="ar-SA"/>
        </w:rPr>
        <w:t>40</w:t>
      </w:r>
      <w:r w:rsidR="00C671F5" w:rsidRPr="006F011C">
        <w:rPr>
          <w:rFonts w:ascii="Times New Roman" w:hAnsi="Times New Roman" w:cs="Times New Roman"/>
          <w:b/>
          <w:sz w:val="24"/>
          <w:szCs w:val="23"/>
          <w:lang w:val="es-PE" w:eastAsia="ar-SA"/>
        </w:rPr>
        <w:t>/2</w:t>
      </w:r>
      <w:r w:rsidR="00A74F96" w:rsidRPr="006F011C">
        <w:rPr>
          <w:rFonts w:ascii="Times New Roman" w:hAnsi="Times New Roman" w:cs="Times New Roman"/>
          <w:b/>
          <w:sz w:val="24"/>
          <w:szCs w:val="23"/>
          <w:lang w:val="es-PE" w:eastAsia="ar-SA"/>
        </w:rPr>
        <w:t>5</w:t>
      </w:r>
    </w:p>
    <w:p w14:paraId="5D2EA880" w14:textId="77777777" w:rsidR="00F04C50" w:rsidRPr="006F011C" w:rsidRDefault="00F04C50" w:rsidP="00F04C50">
      <w:pPr>
        <w:spacing w:after="0" w:line="240" w:lineRule="auto"/>
        <w:jc w:val="center"/>
        <w:rPr>
          <w:rFonts w:ascii="Times New Roman" w:hAnsi="Times New Roman" w:cs="Times New Roman"/>
          <w:b/>
          <w:sz w:val="23"/>
          <w:szCs w:val="23"/>
          <w:lang w:val="es-PE" w:eastAsia="ar-SA"/>
        </w:rPr>
      </w:pPr>
    </w:p>
    <w:p w14:paraId="79F72090" w14:textId="77777777" w:rsidR="00EE4B4D" w:rsidRPr="00EE4B4D" w:rsidRDefault="00EE4B4D" w:rsidP="00EE4B4D">
      <w:pPr>
        <w:spacing w:line="240" w:lineRule="auto"/>
        <w:jc w:val="both"/>
        <w:rPr>
          <w:rFonts w:ascii="Times New Roman" w:eastAsia="Arial Unicode MS" w:hAnsi="Times New Roman" w:cs="Times New Roman"/>
          <w:b/>
          <w:bCs/>
          <w:sz w:val="23"/>
          <w:szCs w:val="23"/>
          <w:lang w:val="es-MX" w:eastAsia="ar-SA"/>
        </w:rPr>
      </w:pPr>
      <w:r w:rsidRPr="00EE4B4D">
        <w:rPr>
          <w:rFonts w:ascii="Times New Roman" w:eastAsia="Arial Unicode MS" w:hAnsi="Times New Roman" w:cs="Times New Roman"/>
          <w:b/>
          <w:bCs/>
          <w:sz w:val="24"/>
          <w:szCs w:val="23"/>
          <w:lang w:val="es-MX" w:eastAsia="ar-SA"/>
        </w:rPr>
        <w:t>VISTOS:</w:t>
      </w:r>
    </w:p>
    <w:p w14:paraId="2BDDD9E5" w14:textId="03C5E62B"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El Recurso de Impugnación presentado con fecha 2 de julio de 2025 por ………………… respecto de la Resolución Nro. 099/25, de fecha 24 de junio de 2025, expedida por el Órgano Resolutivo Unipersonal de esta Defensoría, conforme a la cual se declaró FUNDADA la reclamación interpuesta por don ………………… respecto del seguro de Tarjetas 360° Póliza N° ………………… </w:t>
      </w:r>
    </w:p>
    <w:p w14:paraId="1A987FDE" w14:textId="70629F37" w:rsidR="00EE4B4D" w:rsidRPr="00EE4B4D" w:rsidRDefault="00EE4B4D" w:rsidP="00EE4B4D">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el indicado recurso se sustenta resumidamente en lo siguiente: a) la Resolución Impugnada se basa en dos fundamentos principales (i) se considera que es necesario que antes de realizar una prueba poligráfica se identifique inconsistencias dentro del contenido de la propia denuncia policial, (ii) el informe poligráfico únicamente puede servir para evidenciar esas inconsistencias identificadas dentro de las declaraciones de la asegurada, las cuales se encuentran en la denuncia policial; b) el Órgano Resolutivo Unipersonal asume que la denuncia policial contiene una descripción de los hechos realizada a detalle, permitiendo que la aseguradora identifique inconsistencias dentro de la misma; lo que se aleja de la realidad;  pues la denuncia solo recoge una descripción sucinta de los hechos en base a una declaración de parte; elevando la denuncia a un nivel probatorio superior al que puede brindar la prueba poligráfica; c) ambos medios probatorios representan una declaración de parte, la prueba poligráfica, sin embargo, nos acerca mejor a esa verdad material que busca esclarecer para el reconocimiento del derecho exigido; se está exigiendo que la prueba poligráfica evidencie inconsistencias identificadas en la denuncia policial, siendo que la denuncia únicamente refleja una verdad formal, mientras la prueba poligráfica indaga en la verdad material que es únicamente de conocimiento del asegurado; d) en base al reporte poligráfico se identificaron declaraciones inexactas y por ello se rechazó el siniestro; pues la naturaleza de las preguntas es tal que tiene correspondencia directa con los hechos materia de la denuncia; la Resolución Impugnada hace referencia a la entrevista personal que pudo realizarse; sin embargo, la póliza N° …………………ñala algún rango de prelación para el uso de estos mecanismos siendo ella una situación enteramente potestativa para …………………;  e) INDECOPI en la Resolución Final 1303-2024/CC1, ha reconocido que el informe de la prueba poligráfica constituye medio probatorio suficiente para acreditar el incumplimiento del asegurado a lo dispuesto en los artículos 60 y 73 de la Ley del Contrato de Seguros.</w:t>
      </w:r>
    </w:p>
    <w:p w14:paraId="09D940D9" w14:textId="7B2B0B78" w:rsidR="00EE4B4D" w:rsidRPr="00EE4B4D" w:rsidRDefault="00EE4B4D" w:rsidP="00EE4B4D">
      <w:pPr>
        <w:spacing w:line="240" w:lineRule="auto"/>
        <w:jc w:val="both"/>
        <w:rPr>
          <w:rFonts w:ascii="Times New Roman" w:eastAsia="Arial Unicode MS" w:hAnsi="Times New Roman" w:cs="Times New Roman"/>
          <w:bCs/>
          <w:sz w:val="23"/>
          <w:szCs w:val="23"/>
          <w:lang w:val="es-MX" w:eastAsia="ar-SA"/>
        </w:rPr>
      </w:pPr>
      <w:r w:rsidRPr="00EE4B4D">
        <w:rPr>
          <w:rFonts w:ascii="Times New Roman" w:eastAsia="Arial Unicode MS" w:hAnsi="Times New Roman" w:cs="Times New Roman"/>
          <w:bCs/>
          <w:sz w:val="24"/>
          <w:szCs w:val="23"/>
          <w:lang w:val="es-MX" w:eastAsia="ar-SA"/>
        </w:rPr>
        <w:t>Que, habiéndosele corrido traslado de la señalada impugnación, el reclamante no ha cumplido con absolverlo; por lo que, habiendo vencido el plazo otorgado para dicho efecto, corresponde que este colegiado expida el pronunciamiento sobre la base de los documentos que obran en el expediente.</w:t>
      </w:r>
    </w:p>
    <w:p w14:paraId="6E997442" w14:textId="77777777"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053CFFCF" w14:textId="0812B23A"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5E79E244" w14:textId="56237AD7"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SEGUNDO: Que, a través del indicado recurso, la aseguradora manifiesta su discrepancia con lo resuelto por el Órgano Resolutivo Unipersonal, pues considera que la Resolución Impugnada se basó en dos fundamentos principales que no comparte (i) considera que es necesario que la aseguradora antes de realizar una prueba poligráfica identifique inconsistencias dentro del contenido de la propia denuncia policial, (ii) el informe poligráfico únicamente puede servir para evidenciar esas inconsistencias identificadas dentro de las declaraciones de la asegurada, las cuales se encuentran en la denuncia policial.</w:t>
      </w:r>
    </w:p>
    <w:p w14:paraId="293A6F9F" w14:textId="6E050AD0"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Revisada la Resolución Impugnada se aprecia que se declaró fundado el reclamo por cuanto la aseguradora se basó únicamente en la prueba de polígrafo para sustentar el rechazo de cobertura, sin evidenciar -menos aún probar- la existencia de inexactitudes, contradicciones o inconsistencias que juntamente con el resultado de la prueba de polígrafo llevaran a la convicción de la existencia de una declaración fraudulenta. </w:t>
      </w:r>
    </w:p>
    <w:p w14:paraId="3AF09D07" w14:textId="73401AEA"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La aseguradora lejos de analizar las respuestas a las preguntas formuladas, durante la prueba de polígrafo, sobre los hechos y determinar si habría alguna inconsistencia entre ellas (ya sea solo entre ellas, entre ellas y la denuncia policial o cualquier entrevista o información que se hubiere solicitado), se limita a señalar que la Resolución Impugnada estaría dando mayor valor probatorio a la denuncia policial, pues ella sería el único medio a través del cual se pueden identificar inconsistencias; y a señalar que la respuesta significativa de engaño a las preguntas ¿Ha denunciado usted algún documento falso sobe el siniestro del 12 de febrero de 2024? y ¿Transfirió usted dinero del siniestro declarado a cuentas de sus allegados? Son categorías, es decir, determinan que por el solo hecho que el polígrafo registra una reacción negativa, la persona ha presentado una declaración falsa. La aseguradora; sin embargo, no menciona que el mismo informe de polígrafo arrojó que NO se presentaba respuestas significativas de engaño a las preguntas  ¿Ha presentado usted alguna declaración falsa sobre el siniestro del 12FEBR2025?, ¿Ha participado usted como autor del siniestro declarado?; respuestas que contradicen lo anterior  y evidencian el carácter no absoluto de la prueba de polígrafo. Es por ello que es necesario complementar dicha prueba con un análisis adecuado de la conducta o hechos que se presentan ya sea antes, o durante la prueba de polígrafo.</w:t>
      </w:r>
    </w:p>
    <w:p w14:paraId="09DBD9E9" w14:textId="280FBCC1"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De otro lado, no es cierto afirmar que la Resolución Impugnada señale que las inconsistencias pueden evidenciarse únicamente a través de la denuncia policial, pues la misma señala que ello puede darse a través de “cualquier otro documento” distinto a la denuncia policial, como puede ser una entrevista, o el mismo informe de polígrafo; análisis que la aseguradora no realiza.</w:t>
      </w:r>
    </w:p>
    <w:p w14:paraId="02114D83" w14:textId="2E880246"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La aseguradora sostiene que no está obligada a realizar una entrevista personal antes de la prueba de polígrafo, pues ello es una situación enteramente potestativa para …………………. Al respecto, la aseguradora puede o no realizar dicha entrevista antes de la prueba de polígrafo ni después, pero al no hacerlo, puede estar reduciendo las posibilidades que tiene de evidenciar las inconsistencias o contradicciones que pueden presentarse cuando una persona comete fraude. Lo que sí es obligación de la aseguradora, es rechazar el siniestro en base a pruebas contundentes que determinen la configuración de un actuar fraudulento; siendo que en este caso, este colegiado coincide con el Organo Resolutivo Unipersonal, en el sentido que la prueba de polígrafo no es suficiente por sí sola para rechazar el siniestro, por cuanto no se ha evidenciado en la misma contradicciones o inconsistencias, más allá de dos respuestas significativas de engaño que se contradicen con otras dos que determinarían que el asegurado no mintió cuando se le preguntó si había presentado alguna declaración falsa o participado como autor del siniestro?. </w:t>
      </w:r>
    </w:p>
    <w:p w14:paraId="1CD77CF6" w14:textId="51E1A091"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A continuación, se transcribe parte pertinente de la Resolución Impugnada, donde se dan incluso ejemplos de situaciones que evidencian inconsistencias (no relacionadas únicamente a la denuncia policial como erróneamente sostiene la aseguradora), o suspicacias que justifican la realización de una prueba poligráfica:</w:t>
      </w:r>
    </w:p>
    <w:p w14:paraId="11E1B2E0" w14:textId="46152CD8"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1A97F61F" w14:textId="5E31D6AC"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21CA276F" w14:textId="7A6DFF5E"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32A99F78" w14:textId="616E2DB9" w:rsidR="00EE4B4D" w:rsidRPr="00EE4B4D" w:rsidRDefault="00EE4B4D" w:rsidP="00EE4B4D">
      <w:pPr>
        <w:spacing w:line="240" w:lineRule="auto"/>
        <w:jc w:val="both"/>
        <w:rPr>
          <w:rFonts w:ascii="Times New Roman" w:eastAsia="Arial Unicode MS" w:hAnsi="Times New Roman" w:cs="Times New Roman"/>
          <w:i/>
          <w:iCs/>
          <w:sz w:val="23"/>
          <w:szCs w:val="23"/>
          <w:lang w:val="es-PE" w:eastAsia="ar-SA"/>
        </w:rPr>
      </w:pPr>
      <w:r w:rsidRPr="00EE4B4D">
        <w:rPr>
          <w:rFonts w:ascii="Times New Roman" w:eastAsia="Arial Unicode MS" w:hAnsi="Times New Roman" w:cs="Times New Roman"/>
          <w:i/>
          <w:iCs/>
          <w:sz w:val="24"/>
          <w:szCs w:val="23"/>
          <w:lang w:val="es-PE" w:eastAsia="ar-SA"/>
        </w:rPr>
        <w:t>(…)</w:t>
      </w:r>
    </w:p>
    <w:p w14:paraId="330C90D5" w14:textId="786A3E27" w:rsidR="00EE4B4D" w:rsidRPr="00EE4B4D" w:rsidRDefault="00EE4B4D" w:rsidP="00EE4B4D">
      <w:pPr>
        <w:spacing w:line="240" w:lineRule="auto"/>
        <w:jc w:val="both"/>
        <w:rPr>
          <w:rFonts w:ascii="Times New Roman" w:eastAsia="Arial Unicode MS" w:hAnsi="Times New Roman" w:cs="Times New Roman"/>
          <w:i/>
          <w:iCs/>
          <w:sz w:val="23"/>
          <w:szCs w:val="23"/>
          <w:lang w:val="es-PE" w:eastAsia="ar-SA"/>
        </w:rPr>
      </w:pPr>
      <w:r>
        <w:rPr>
          <w:rFonts w:ascii="Times New Roman" w:hAnsi="Times New Roman"/>
          <w:sz w:val="24"/>
        </w:rPr>
        <w:t xml:space="preserve">…………………</w:t>
      </w:r>
    </w:p>
    <w:p w14:paraId="6745DF3C" w14:textId="2767BB0B"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Como se aprecia de los textos copiados, la Resolución Impugnada NO considera -como sostiene la compañía de seguros- que es necesario que la aseguradora “dentro del contenido de la propia denuncia policial” identifique inconsistencias, antes de realizar una prueba poligráfica, pues ellas pueden ser identificadas en cualquier documento, entrevista, movimientos de cuenta inusuales, etc.; o, incluso en la misma prueba de polígrafo. </w:t>
      </w:r>
    </w:p>
    <w:p w14:paraId="3EC4F6A2" w14:textId="7C687402"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Lo que sostiene la Resolución Impugnada y confirma este colegiado, es que la prueba de polígrafo al ser una prueba que no arroja resultados absolutos, puede presentar márgenes de error pues registra reacciones, por lo que configura un elemento de apoyo que por sí solo no es suficiente para generar convicción. Lo que corresponde a una aseguradora cuando recibe un reclamo es que lo evalúe, requiera documentación adicional o realice una entrevista, si lo considere necesario, pero si automáticamente solicita una prueba de polígrafo sin tener o identificar duda alguna sobre el siniestro o sus circunstancias, se espera que, al menos, dentro de la prueba identifique inconsistencias o contradicciones respecto de los hechos; pero no, que únicamente rechace el siniestro porque la prueba arroja que se dan respuestas “significativas” de engaño ante la pregunta de si se cometió fraude; siendo que dicha prueba no es absoluta como el mismo texto del informe de polígrafo lo indica, pues en todas las páginas del mismo figura, a pie de página, el siguiente texto: “(…) Los resultados  obtenidos en este examen Poligráfico no constituyen prueba, ni procedimiento judicial y deben ser utilizados únicamente con el fin de orientar las decisiones de carácter laboral y privado dentro de la empresa. (…)” (el resaltado es del propio texto). Es decir, el informe de polígrafo busca “orientar” una decisión, la que puede apoyarse en el informe, pero no que este sea la única prueba de la decisión. </w:t>
      </w:r>
    </w:p>
    <w:p w14:paraId="62D2C190" w14:textId="3AC2F95A" w:rsidR="006F011C"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Cabe señalar que la aseguradora señala y concluye que INDECOPI a través de la resolución 1303-2024/CC1 consideró que la prueba poligráfica constituye medio probatorio suficiente de una actitud fraudulenta; conclusión de ………………… que la DEFASEG no comparte. Al respecto, este colegiado tiene a bien precisar que cada caso tiene sus propias particularidades; sin perjuicio de ello, advierte que, en la resolución de INDECOPI citada por la aseguradora, figura lo siguiente:</w:t>
      </w:r>
    </w:p>
    <w:p w14:paraId="1120701F" w14:textId="6CC33963" w:rsidR="00EE4B4D" w:rsidRPr="00EE4B4D" w:rsidRDefault="00EE4B4D" w:rsidP="006F011C">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247A08E4" w14:textId="15E66820" w:rsidR="00EE4B4D" w:rsidRPr="00EE4B4D" w:rsidRDefault="006F011C" w:rsidP="00EE4B4D">
      <w:pPr>
        <w:spacing w:line="240" w:lineRule="auto"/>
        <w:jc w:val="both"/>
        <w:rPr>
          <w:rFonts w:ascii="Times New Roman" w:eastAsia="Arial Unicode MS" w:hAnsi="Times New Roman" w:cs="Times New Roman"/>
          <w:sz w:val="23"/>
          <w:szCs w:val="23"/>
          <w:lang w:val="es-PE" w:eastAsia="ar-SA"/>
        </w:rPr>
      </w:pPr>
      <w:r w:rsidRPr="006F011C">
        <w:rPr>
          <w:rFonts w:ascii="Times New Roman" w:eastAsia="Arial Unicode MS" w:hAnsi="Times New Roman" w:cs="Times New Roman"/>
          <w:sz w:val="24"/>
          <w:szCs w:val="23"/>
          <w:lang w:val="es-PE" w:eastAsia="ar-SA"/>
        </w:rPr>
        <w:t xml:space="preserve">                  </w:t>
      </w:r>
      <w:r w:rsidR="00EE4B4D" w:rsidRPr="00EE4B4D">
        <w:rPr>
          <w:rFonts w:ascii="Times New Roman" w:eastAsia="Arial Unicode MS" w:hAnsi="Times New Roman" w:cs="Times New Roman"/>
          <w:sz w:val="24"/>
          <w:szCs w:val="23"/>
          <w:lang w:val="es-PE" w:eastAsia="ar-SA"/>
        </w:rPr>
        <w:t>(…)</w:t>
      </w:r>
    </w:p>
    <w:p w14:paraId="24A8C60D" w14:textId="56106A25" w:rsidR="00EE4B4D" w:rsidRPr="00EE4B4D" w:rsidRDefault="00EE4B4D" w:rsidP="006F011C">
      <w:pPr>
        <w:spacing w:line="240" w:lineRule="auto"/>
        <w:jc w:val="center"/>
        <w:rPr>
          <w:rFonts w:ascii="Times New Roman" w:eastAsia="Arial Unicode MS" w:hAnsi="Times New Roman" w:cs="Times New Roman"/>
          <w:sz w:val="23"/>
          <w:szCs w:val="23"/>
          <w:lang w:val="es-PE" w:eastAsia="ar-SA"/>
        </w:rPr>
      </w:pPr>
      <w:r>
        <w:rPr>
          <w:rFonts w:ascii="Times New Roman" w:hAnsi="Times New Roman"/>
          <w:sz w:val="24"/>
        </w:rPr>
        <w:t xml:space="preserve">…………………</w:t>
      </w:r>
    </w:p>
    <w:p w14:paraId="3CDE0A9C" w14:textId="16E0464F"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En otras palabras, en el expediente administrativo citado por la aseguradora, se evidenció que la asegurada -de dicho caso- señalaba que durante la prueba había sido coaccionada, lo que entraba en contradicción con lo afirmado en la encuesta que le practicó la aseguradora (luego de la prueba) donde se señalaba todo lo contrario; lo que evidenciaba una conducta inconsistente y deshonesta. Es decir, se aprecia que la resolución de INDECOPI que cita la aseguradora tuvo en consideración dicha declaración contradictoria; que casualmente fue referida como ejemplo de inconsistencia, en la Resolución Impugnada que nos ocupa.</w:t>
      </w:r>
    </w:p>
    <w:p w14:paraId="028402F6" w14:textId="5DC954D3"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sidRPr="00EE4B4D">
        <w:rPr>
          <w:rFonts w:ascii="Times New Roman" w:eastAsia="Arial Unicode MS" w:hAnsi="Times New Roman" w:cs="Times New Roman"/>
          <w:sz w:val="24"/>
          <w:szCs w:val="23"/>
          <w:lang w:val="es-PE" w:eastAsia="ar-SA"/>
        </w:rPr>
        <w:t>En conclusión, este colegiado no niega que la aseguradora puede “apoyarse” en una prueba de polígrafo para sustentar un rechazo, en tanto existen elementos que infieren una sospecha de fraude, pero no puede únicamente basarse en el resultado de dicha prueba, sin dar una explicación razonable sobre los hechos o conductas inconsistentes que llevan a dicha sospecha, o se evidencian durante la prueba de polígrafo, como es el caso descrito en la citada resolución de Indecopi, y como fue el caso resuelto bajo Resolución N° 166-21 emitido por esta Defensoría, con fecha 23 de noviembre de 2021; siendo que no corresponde a este colegiado suplir las deficiencias probatorias de la aseguradora</w:t>
      </w:r>
    </w:p>
    <w:p w14:paraId="42976A33" w14:textId="650FEDDA"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sidRPr="00EE4B4D">
        <w:rPr>
          <w:rFonts w:ascii="Times New Roman" w:eastAsia="Arial Unicode MS" w:hAnsi="Times New Roman" w:cs="Times New Roman"/>
          <w:sz w:val="24"/>
          <w:szCs w:val="23"/>
          <w:lang w:val="es-PE" w:eastAsia="ar-SA"/>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p>
    <w:p w14:paraId="45D1EFCF" w14:textId="77777777" w:rsidR="00EE4B4D" w:rsidRPr="00EE4B4D" w:rsidRDefault="00EE4B4D" w:rsidP="00EE4B4D">
      <w:pPr>
        <w:spacing w:line="240" w:lineRule="auto"/>
        <w:jc w:val="both"/>
        <w:rPr>
          <w:rFonts w:ascii="Times New Roman" w:eastAsia="Arial Unicode MS" w:hAnsi="Times New Roman" w:cs="Times New Roman"/>
          <w:b/>
          <w:bCs/>
          <w:sz w:val="23"/>
          <w:szCs w:val="23"/>
          <w:lang w:val="es-PE" w:eastAsia="ar-SA"/>
        </w:rPr>
      </w:pPr>
      <w:r w:rsidRPr="00EE4B4D">
        <w:rPr>
          <w:rFonts w:ascii="Times New Roman" w:eastAsia="Arial Unicode MS" w:hAnsi="Times New Roman" w:cs="Times New Roman"/>
          <w:b/>
          <w:bCs/>
          <w:sz w:val="24"/>
          <w:szCs w:val="23"/>
          <w:lang w:val="es-PE" w:eastAsia="ar-SA"/>
        </w:rPr>
        <w:t>Resuelve:</w:t>
      </w:r>
    </w:p>
    <w:p w14:paraId="1B54D2D8" w14:textId="77777777" w:rsidR="00EE4B4D" w:rsidRPr="00EE4B4D" w:rsidRDefault="00EE4B4D" w:rsidP="00EE4B4D">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Declarar INFUNDADO el recurso impugnativo interpuesto por ………………… y, por consiguiente, ratificar la Resolución Nro. 099/25, de fecha 24 de junio de 2025, que declaró FUNDADA la reclamación interpuesta por don ………………… respecto del seguro de Tarjetas 360° Póliza N° …………………</w:t>
      </w:r>
    </w:p>
    <w:p w14:paraId="51EDAB4B" w14:textId="55C4A130" w:rsidR="00B32E8A" w:rsidRPr="006F011C" w:rsidRDefault="0091528B" w:rsidP="006F011C">
      <w:pPr>
        <w:spacing w:line="240" w:lineRule="auto"/>
        <w:jc w:val="right"/>
        <w:rPr>
          <w:rFonts w:ascii="Times New Roman" w:hAnsi="Times New Roman" w:cs="Times New Roman"/>
          <w:sz w:val="23"/>
          <w:szCs w:val="23"/>
          <w:lang w:val="es-PE"/>
        </w:rPr>
      </w:pPr>
      <w:r w:rsidRPr="006F011C">
        <w:rPr>
          <w:rFonts w:ascii="Times New Roman" w:eastAsia="Arial Unicode MS" w:hAnsi="Times New Roman" w:cs="Times New Roman"/>
          <w:sz w:val="24"/>
          <w:szCs w:val="23"/>
          <w:lang w:val="es-PE" w:eastAsia="ar-SA"/>
        </w:rPr>
        <w:t>Lima,</w:t>
      </w:r>
      <w:r w:rsidR="00774D05" w:rsidRPr="006F011C">
        <w:rPr>
          <w:rFonts w:ascii="Times New Roman" w:eastAsia="Arial Unicode MS" w:hAnsi="Times New Roman" w:cs="Times New Roman"/>
          <w:sz w:val="24"/>
          <w:szCs w:val="23"/>
          <w:lang w:val="es-PE" w:eastAsia="ar-SA"/>
        </w:rPr>
        <w:t xml:space="preserve"> </w:t>
      </w:r>
      <w:r w:rsidR="002756B9" w:rsidRPr="006F011C">
        <w:rPr>
          <w:rFonts w:ascii="Times New Roman" w:eastAsia="Arial Unicode MS" w:hAnsi="Times New Roman" w:cs="Times New Roman"/>
          <w:sz w:val="24"/>
          <w:szCs w:val="23"/>
          <w:lang w:val="es-PE" w:eastAsia="ar-SA"/>
        </w:rPr>
        <w:t>04</w:t>
      </w:r>
      <w:r w:rsidR="00B8209E" w:rsidRPr="006F011C">
        <w:rPr>
          <w:rFonts w:ascii="Times New Roman" w:eastAsia="Arial Unicode MS" w:hAnsi="Times New Roman" w:cs="Times New Roman"/>
          <w:sz w:val="24"/>
          <w:szCs w:val="23"/>
          <w:lang w:val="es-PE" w:eastAsia="ar-SA"/>
        </w:rPr>
        <w:t xml:space="preserve"> </w:t>
      </w:r>
      <w:r w:rsidR="00707C99" w:rsidRPr="006F011C">
        <w:rPr>
          <w:rFonts w:ascii="Times New Roman" w:eastAsia="Arial Unicode MS" w:hAnsi="Times New Roman" w:cs="Times New Roman"/>
          <w:sz w:val="24"/>
          <w:szCs w:val="23"/>
          <w:lang w:val="es-PE" w:eastAsia="ar-SA"/>
        </w:rPr>
        <w:t xml:space="preserve">de </w:t>
      </w:r>
      <w:r w:rsidR="002756B9" w:rsidRPr="006F011C">
        <w:rPr>
          <w:rFonts w:ascii="Times New Roman" w:eastAsia="Arial Unicode MS" w:hAnsi="Times New Roman" w:cs="Times New Roman"/>
          <w:sz w:val="24"/>
          <w:szCs w:val="23"/>
          <w:lang w:val="es-PE" w:eastAsia="ar-SA"/>
        </w:rPr>
        <w:t xml:space="preserve">agosto </w:t>
      </w:r>
      <w:r w:rsidR="00F06498" w:rsidRPr="006F011C">
        <w:rPr>
          <w:rFonts w:ascii="Times New Roman" w:eastAsia="Arial Unicode MS" w:hAnsi="Times New Roman" w:cs="Times New Roman"/>
          <w:sz w:val="24"/>
          <w:szCs w:val="23"/>
          <w:lang w:val="es-PE" w:eastAsia="ar-SA"/>
        </w:rPr>
        <w:t>de 202</w:t>
      </w:r>
      <w:r w:rsidR="00AE4D37" w:rsidRPr="006F011C">
        <w:rPr>
          <w:rFonts w:ascii="Times New Roman" w:eastAsia="Arial Unicode MS" w:hAnsi="Times New Roman" w:cs="Times New Roman"/>
          <w:sz w:val="24"/>
          <w:szCs w:val="23"/>
          <w:lang w:val="es-PE" w:eastAsia="ar-SA"/>
        </w:rPr>
        <w:t>5</w:t>
      </w:r>
      <w:r w:rsidR="00707C99" w:rsidRPr="006F011C">
        <w:rPr>
          <w:rFonts w:ascii="Times New Roman" w:eastAsia="Times New Roman" w:hAnsi="Times New Roman" w:cs="Times New Roman"/>
          <w:sz w:val="24"/>
          <w:szCs w:val="23"/>
          <w:lang w:val="es-PE" w:eastAsia="ar-SA"/>
        </w:rPr>
        <w:t xml:space="preserve"> </w:t>
      </w:r>
    </w:p>
    <w:p w14:paraId="1B6988F6" w14:textId="77777777" w:rsidR="00A323F4" w:rsidRPr="006F011C" w:rsidRDefault="00A323F4" w:rsidP="00657814">
      <w:pPr>
        <w:spacing w:after="0" w:line="240" w:lineRule="auto"/>
        <w:jc w:val="both"/>
        <w:rPr>
          <w:rFonts w:ascii="Times New Roman" w:hAnsi="Times New Roman" w:cs="Times New Roman"/>
          <w:b/>
          <w:bCs/>
          <w:i/>
          <w:iCs/>
          <w:sz w:val="23"/>
          <w:szCs w:val="23"/>
          <w:lang w:val="es-PE"/>
        </w:rPr>
      </w:pPr>
      <w:r w:rsidRPr="006F011C">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6F011C" w:rsidRDefault="008D26BA" w:rsidP="00657814">
      <w:pPr>
        <w:spacing w:after="0" w:line="360" w:lineRule="auto"/>
        <w:jc w:val="both"/>
        <w:rPr>
          <w:rFonts w:ascii="Times New Roman" w:hAnsi="Times New Roman" w:cs="Times New Roman"/>
          <w:b/>
          <w:bCs/>
          <w:i/>
          <w:iCs/>
          <w:sz w:val="23"/>
          <w:szCs w:val="23"/>
          <w:lang w:val="es-PE"/>
        </w:rPr>
      </w:pPr>
    </w:p>
    <w:p w14:paraId="220AA7AD" w14:textId="4331E0E4" w:rsidR="007543CD" w:rsidRPr="006F011C" w:rsidRDefault="008D26BA" w:rsidP="00657814">
      <w:pPr>
        <w:spacing w:after="0" w:line="360" w:lineRule="auto"/>
        <w:jc w:val="center"/>
        <w:rPr>
          <w:rFonts w:ascii="Times New Roman" w:hAnsi="Times New Roman" w:cs="Times New Roman"/>
          <w:b/>
          <w:bCs/>
          <w:sz w:val="23"/>
          <w:szCs w:val="23"/>
          <w:lang w:val="es-PE"/>
        </w:rPr>
      </w:pPr>
      <w:r w:rsidRPr="006F011C">
        <w:rPr>
          <w:rFonts w:ascii="Times New Roman" w:hAnsi="Times New Roman" w:cs="Times New Roman"/>
          <w:b/>
          <w:bCs/>
          <w:sz w:val="24"/>
          <w:szCs w:val="23"/>
          <w:lang w:val="es-PE"/>
        </w:rPr>
        <w:t xml:space="preserve">Rolando Eyzaguirre </w:t>
      </w:r>
      <w:proofErr w:type="spellStart"/>
      <w:r w:rsidRPr="006F011C">
        <w:rPr>
          <w:rFonts w:ascii="Times New Roman" w:hAnsi="Times New Roman" w:cs="Times New Roman"/>
          <w:b/>
          <w:bCs/>
          <w:sz w:val="24"/>
          <w:szCs w:val="23"/>
          <w:lang w:val="es-PE"/>
        </w:rPr>
        <w:t>Maccan</w:t>
      </w:r>
      <w:proofErr w:type="spellEnd"/>
      <w:r w:rsidRPr="006F011C">
        <w:rPr>
          <w:rFonts w:ascii="Times New Roman" w:hAnsi="Times New Roman" w:cs="Times New Roman"/>
          <w:b/>
          <w:bCs/>
          <w:sz w:val="24"/>
          <w:szCs w:val="23"/>
          <w:lang w:val="es-PE"/>
        </w:rPr>
        <w:t xml:space="preserve"> </w:t>
      </w:r>
      <w:r w:rsidR="007543CD" w:rsidRPr="006F011C">
        <w:rPr>
          <w:rFonts w:ascii="Times New Roman" w:hAnsi="Times New Roman" w:cs="Times New Roman"/>
          <w:b/>
          <w:bCs/>
          <w:sz w:val="24"/>
          <w:szCs w:val="23"/>
          <w:lang w:val="es-PE"/>
        </w:rPr>
        <w:t xml:space="preserve">– </w:t>
      </w:r>
      <w:proofErr w:type="gramStart"/>
      <w:r w:rsidR="007543CD" w:rsidRPr="006F011C">
        <w:rPr>
          <w:rFonts w:ascii="Times New Roman" w:hAnsi="Times New Roman" w:cs="Times New Roman"/>
          <w:b/>
          <w:bCs/>
          <w:sz w:val="24"/>
          <w:szCs w:val="23"/>
          <w:lang w:val="es-PE"/>
        </w:rPr>
        <w:t>Presidente</w:t>
      </w:r>
      <w:proofErr w:type="gramEnd"/>
    </w:p>
    <w:p w14:paraId="69BFE54F" w14:textId="628D5C27" w:rsidR="007543CD" w:rsidRPr="006F011C" w:rsidRDefault="001B08C0" w:rsidP="00657814">
      <w:pPr>
        <w:spacing w:after="0" w:line="360" w:lineRule="auto"/>
        <w:jc w:val="center"/>
        <w:rPr>
          <w:rFonts w:ascii="Times New Roman" w:hAnsi="Times New Roman" w:cs="Times New Roman"/>
          <w:sz w:val="23"/>
          <w:szCs w:val="23"/>
          <w:lang w:val="es-PE"/>
        </w:rPr>
      </w:pPr>
      <w:r w:rsidRPr="006F011C">
        <w:rPr>
          <w:rFonts w:ascii="Times New Roman" w:hAnsi="Times New Roman" w:cs="Times New Roman"/>
          <w:b/>
          <w:bCs/>
          <w:sz w:val="24"/>
          <w:szCs w:val="23"/>
          <w:lang w:val="es-PE"/>
        </w:rPr>
        <w:t xml:space="preserve">Antonio José Rodríguez Lobatón </w:t>
      </w:r>
      <w:r w:rsidR="007543CD" w:rsidRPr="006F011C">
        <w:rPr>
          <w:rFonts w:ascii="Times New Roman" w:hAnsi="Times New Roman" w:cs="Times New Roman"/>
          <w:b/>
          <w:bCs/>
          <w:sz w:val="24"/>
          <w:szCs w:val="23"/>
          <w:lang w:val="es-PE"/>
        </w:rPr>
        <w:t>–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4"/>
      <w:footerReference w:type="default" r:id="rId15"/>
      <w:headerReference w:type="first" r:id="rId18"/>
      <w:footerReference w:type="first" r:id="rId1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123AA" w14:textId="77777777" w:rsidR="004F7CF6" w:rsidRDefault="004F7CF6" w:rsidP="00784355">
      <w:pPr>
        <w:spacing w:after="0" w:line="240" w:lineRule="auto"/>
      </w:pPr>
      <w:r>
        <w:separator/>
      </w:r>
    </w:p>
  </w:endnote>
  <w:endnote w:type="continuationSeparator" w:id="0">
    <w:p w14:paraId="4E3FF482" w14:textId="77777777" w:rsidR="004F7CF6" w:rsidRDefault="004F7CF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8DAFB" w14:textId="77777777" w:rsidR="004F7CF6" w:rsidRDefault="004F7CF6" w:rsidP="00784355">
      <w:pPr>
        <w:spacing w:after="0" w:line="240" w:lineRule="auto"/>
      </w:pPr>
      <w:r>
        <w:separator/>
      </w:r>
    </w:p>
  </w:footnote>
  <w:footnote w:type="continuationSeparator" w:id="0">
    <w:p w14:paraId="04AD55DF" w14:textId="77777777" w:rsidR="004F7CF6" w:rsidRDefault="004F7CF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27DA7"/>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4A9"/>
    <w:rsid w:val="006768BB"/>
    <w:rsid w:val="0067765F"/>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1116"/>
    <w:rsid w:val="00F0089C"/>
    <w:rsid w:val="00F01B55"/>
    <w:rsid w:val="00F0237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43EA336-E75B-4897-8E87-4C22D937DF1A}"/>
</file>

<file path=customXml/itemProps3.xml><?xml version="1.0" encoding="utf-8"?>
<ds:datastoreItem xmlns:ds="http://schemas.openxmlformats.org/officeDocument/2006/customXml" ds:itemID="{6E2F79D9-C568-48AE-8B6D-D2AB089AC56D}"/>
</file>

<file path=customXml/itemProps4.xml><?xml version="1.0" encoding="utf-8"?>
<ds:datastoreItem xmlns:ds="http://schemas.openxmlformats.org/officeDocument/2006/customXml" ds:itemID="{BF000335-A187-484E-9215-247022EEB500}"/>
</file>

<file path=docProps/app.xml><?xml version="1.0" encoding="utf-8"?>
<Properties xmlns="http://schemas.openxmlformats.org/officeDocument/2006/extended-properties" xmlns:vt="http://schemas.openxmlformats.org/officeDocument/2006/docPropsVTypes">
  <Template>Normal</Template>
  <TotalTime>384</TotalTime>
  <Pages>5</Pages>
  <Words>1894</Words>
  <Characters>10417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426</cp:revision>
  <cp:lastPrinted>2025-08-04T21:04:00Z</cp:lastPrinted>
  <dcterms:created xsi:type="dcterms:W3CDTF">2023-02-14T22:37:00Z</dcterms:created>
  <dcterms:modified xsi:type="dcterms:W3CDTF">2025-08-04T21:04:00Z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