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D95D4" w14:textId="77FB6AD1" w:rsidR="001F32A4" w:rsidRPr="00682D7A" w:rsidRDefault="00201C0D" w:rsidP="00F04C50">
      <w:pPr>
        <w:spacing w:after="0" w:line="240" w:lineRule="auto"/>
        <w:jc w:val="center"/>
        <w:rPr>
          <w:rFonts w:ascii="Times New Roman" w:hAnsi="Times New Roman" w:cs="Times New Roman"/>
          <w:b/>
          <w:sz w:val="24"/>
          <w:szCs w:val="24"/>
          <w:lang w:val="es-PE" w:eastAsia="ar-SA"/>
        </w:rPr>
      </w:pPr>
      <w:r w:rsidRPr="00682D7A">
        <w:rPr>
          <w:rFonts w:ascii="Times New Roman" w:hAnsi="Times New Roman" w:cs="Times New Roman"/>
          <w:b/>
          <w:sz w:val="24"/>
          <w:szCs w:val="24"/>
          <w:lang w:val="es-PE" w:eastAsia="ar-SA"/>
        </w:rPr>
        <w:t xml:space="preserve">RESOLUCIÓN DE RECURSO IMPUGNATIVO </w:t>
      </w:r>
      <w:r w:rsidR="00707C99" w:rsidRPr="00682D7A">
        <w:rPr>
          <w:rFonts w:ascii="Times New Roman" w:hAnsi="Times New Roman" w:cs="Times New Roman"/>
          <w:b/>
          <w:sz w:val="24"/>
          <w:szCs w:val="24"/>
          <w:lang w:val="es-PE" w:eastAsia="ar-SA"/>
        </w:rPr>
        <w:t xml:space="preserve">N° </w:t>
      </w:r>
      <w:r w:rsidR="00EE4B4D" w:rsidRPr="00682D7A">
        <w:rPr>
          <w:rFonts w:ascii="Times New Roman" w:hAnsi="Times New Roman" w:cs="Times New Roman"/>
          <w:b/>
          <w:sz w:val="24"/>
          <w:szCs w:val="24"/>
          <w:lang w:val="es-PE" w:eastAsia="ar-SA"/>
        </w:rPr>
        <w:t>4</w:t>
      </w:r>
      <w:r w:rsidR="008246F7" w:rsidRPr="00682D7A">
        <w:rPr>
          <w:rFonts w:ascii="Times New Roman" w:hAnsi="Times New Roman" w:cs="Times New Roman"/>
          <w:b/>
          <w:sz w:val="24"/>
          <w:szCs w:val="24"/>
          <w:lang w:val="es-PE" w:eastAsia="ar-SA"/>
        </w:rPr>
        <w:t>2</w:t>
      </w:r>
      <w:r w:rsidR="00C671F5" w:rsidRPr="00682D7A">
        <w:rPr>
          <w:rFonts w:ascii="Times New Roman" w:hAnsi="Times New Roman" w:cs="Times New Roman"/>
          <w:b/>
          <w:sz w:val="24"/>
          <w:szCs w:val="24"/>
          <w:lang w:val="es-PE" w:eastAsia="ar-SA"/>
        </w:rPr>
        <w:t>/2</w:t>
      </w:r>
      <w:r w:rsidR="00A74F96" w:rsidRPr="00682D7A">
        <w:rPr>
          <w:rFonts w:ascii="Times New Roman" w:hAnsi="Times New Roman" w:cs="Times New Roman"/>
          <w:b/>
          <w:sz w:val="24"/>
          <w:szCs w:val="24"/>
          <w:lang w:val="es-PE" w:eastAsia="ar-SA"/>
        </w:rPr>
        <w:t>5</w:t>
      </w:r>
    </w:p>
    <w:p w14:paraId="5D2EA880" w14:textId="77777777" w:rsidR="00F04C50" w:rsidRPr="00682D7A" w:rsidRDefault="00F04C50" w:rsidP="00682D7A">
      <w:pPr>
        <w:spacing w:after="0" w:line="240" w:lineRule="auto"/>
        <w:jc w:val="both"/>
        <w:rPr>
          <w:rFonts w:ascii="Times New Roman" w:hAnsi="Times New Roman" w:cs="Times New Roman"/>
          <w:b/>
          <w:sz w:val="24"/>
          <w:szCs w:val="24"/>
          <w:lang w:val="es-PE" w:eastAsia="ar-SA"/>
        </w:rPr>
      </w:pPr>
    </w:p>
    <w:p w14:paraId="44177DA6" w14:textId="77777777" w:rsidR="00682D7A" w:rsidRPr="00682D7A" w:rsidRDefault="00682D7A" w:rsidP="00682D7A">
      <w:pPr>
        <w:spacing w:line="240" w:lineRule="auto"/>
        <w:jc w:val="both"/>
        <w:rPr>
          <w:rFonts w:ascii="Times New Roman" w:eastAsia="Arial Unicode MS" w:hAnsi="Times New Roman" w:cs="Times New Roman"/>
          <w:b/>
          <w:bCs/>
          <w:sz w:val="24"/>
          <w:szCs w:val="24"/>
          <w:lang w:val="es-MX" w:eastAsia="ar-SA"/>
        </w:rPr>
      </w:pPr>
      <w:r w:rsidRPr="00682D7A">
        <w:rPr>
          <w:rFonts w:ascii="Times New Roman" w:eastAsia="Arial Unicode MS" w:hAnsi="Times New Roman" w:cs="Times New Roman"/>
          <w:b/>
          <w:bCs/>
          <w:sz w:val="24"/>
          <w:szCs w:val="24"/>
          <w:lang w:val="es-MX" w:eastAsia="ar-SA"/>
        </w:rPr>
        <w:t>VISTOS:</w:t>
      </w:r>
    </w:p>
    <w:p w14:paraId="543C1E59" w14:textId="77777777" w:rsidR="00682D7A" w:rsidRPr="00682D7A" w:rsidRDefault="00682D7A" w:rsidP="00682D7A">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Que, con fecha 26 de julio de 2025, ………………… (“…………………”), interpuso Recurso de Impugnación ante la Defensoría del Asegurado (“…………………”) contra la Resolución n.° 94/25 (la “Resolución Impugnada”) de fecha 17 de junio de 2025 expedida por la Sala Colegiada a través de la cual se declara FUNDADO el reclamo presentado por el señor ………………… (el señor “…………………”) respecto del Seguro Vehicular contemplado en la póliza N° ………………… (“Póliza”).</w:t>
      </w:r>
    </w:p>
    <w:p w14:paraId="21651C64" w14:textId="77777777" w:rsidR="00682D7A" w:rsidRPr="00682D7A" w:rsidRDefault="00682D7A" w:rsidP="00682D7A">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Que, ………………… solicita en vía de impugnación que se declare infundado el reclamo presentado por el señor ………………… sobre la base de los siguientes argumentos: a) que, la Defensoría estaría cuestionando el rechazo de ………………… en base a dos fundamentos principales: (i) es necesario que …………………, antes de realizar una prueba poligráfica, identifique inconsistencias dentro del contenido de la propia denuncia policial, (ii) el informe poligráfico únicamente puede servir para evidenciar estas inconsistencias identificadas dentro de las declaraciones de la asegurada; las cuales se encuentran en la denuncia policial y (iii) las preguntas relevantes con respuestas significativas de engaño no corresponderían al siniestro, sino a la actuación posterior del reclamante; b) que, la Defensoría asume que la denuncia policial contiene una descripción de los hechos realizada a detalle, permitiendo que la aseguradora identifique inconsistencias dentro de la misma, lo cual se aleja de toda realidad pues la denuncia policial se limita a recoger una descripción sucinta de los hechos en base a una declaración de parte que realiza la asegurada; c) que, la Defensoría ha elevado a la denuncia policial a un nivel probatorio que –únicamente basada en motivos formales- considera superior al que puede brindar la prueba poligráfica; d) que, tanto la denuncia policial como la prueba poligráfica, constituyen declaraciones de parte realizadas por la persona asegurada respecto a los mismos hechos; e) que, existen situaciones en las que resulta imposible alcanzar una prueba de ocurrencia efectiva de esta manera que únicamente se puede aspirar a alcanzar la verdad material a través de los distintos medios probatorios disponibles; f) que, la prueba poligráfica nos acerca de mejor manera a esa verdad material que se busca esclarecer para el reconocimiento del derecho exigido, g) que, la prueba policial únicamente refleja una verdad formal, mientras la prueba poligráfica (si bien constituye una prueba formal) indaga directamente en la verdad material que es únicamente de conocimiento del asegurado, empero, ello no debería significar una falta de correspondencia entre ambas pruebas, en tanto las dos se encuentran dirigidas a esclarecer el mismo hecho materia de controversia; h) que, en base a los artículos 69 y 73 de la Ley del Contrato de Seguro, es obligación del denuncia N° ………………… realizar el aviso del siniestro de forma razonable y veraz, pudiendo perder su derecho indemnizatorio en caso de declaraciones inexactas; i) que, ………………… actuó según los derechos que le asisten para realizar la prueba poligráfica correspondiente; cuya realización no se encuentra limitada de manera contractual ni legal; j) que, siendo que sobre la base del reporte emitido por la entidad encargada de la prueba poligráfica, ………………… identificó que estas declaraciones inexactas habrían tenido lugar durante el proceso de solicitud de cobertura; k) que, tal como ha sido reconocido por el Instituto Nacional de Defensa de la Competencia y de la Protección de la Propiedad Intelectual (INDECOPI) en su Resolución n.° 1303-2024/CC1, el informe de la prueba poligráfica constituye un medio probatorio suficiente para acreditar el incumplimiento del asegurado a lo dispuesto en los artículos 69 y 73 de la Ley del Contrato de Seguros; l) que, de acuerdo con lo señalado por la DEFASEG las preguntas que habrían presentado respuestas con indicios significativos de engaño no corresponderían a los hechos materia de denuncia; sino a la actuación posterior del reclamante, sin embargo, las preguntas se encuentran directamente vinculadas, a la ocurrencia del siniestro; y, m) que, la naturaleza de las preguntas es tal que tiene correspondencia directa con los hechos materia de denuncia, los mismos que justificarían la solicitud de cobertura presentada por el reclamante. </w:t>
      </w:r>
    </w:p>
    <w:p w14:paraId="3EFEFCEC" w14:textId="77777777" w:rsidR="00682D7A" w:rsidRPr="00682D7A" w:rsidRDefault="00682D7A" w:rsidP="00682D7A">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Que, con su impugnación, ………………… presentó una copia de la Resolución n.° 1303-2024/CC1 (Expediente N° …………………, Caso Salazar Bernachea v. …………………) de fecha 5 de junio de 2024.</w:t>
      </w:r>
    </w:p>
    <w:p w14:paraId="5739C658" w14:textId="77777777" w:rsidR="00682D7A" w:rsidRPr="00682D7A" w:rsidRDefault="00682D7A" w:rsidP="00682D7A">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Que, el señor ………………… con fecha 7 de julio de 2025 absolvió la impugnación presentada por …………………, solicitando que su reclamación sea declarada fundada por los siguientes argumentos: a) que, varias de las preguntas formuladas durante la entrevista estuvieron fuera de contexto y con una premisa distinta a la manera en que se desarrolló el siniestro, b) que, el motivo del reclamo es por consumos y compras realizadas desde la aplicación del Banco Internacional del Perú S.A.A. (“Interbank”) a su teléfono y que fueron cargados a mi tarjeta de crédito, no habiendo reportado retiros de efectivo desde algún cajero automático de Interbank, lo que motivó que hiciera mayores aclaraciones y precisiones durante la entrevista; c) que, algunas preguntas previas servirían para tomar algunos valores base de sus respuestas y calibrar los equipos y que sus respuestas fueran sucintas, en lo posible sí o no; d) que, el escenario sobre el que se realizan las preguntas es sobre retiros de dinero de cajero automático, lo cual no corresponde al siniestro ya que el robo fue realizado a través de compras con tarjeta de crédito usando las aplicaciones del banco como manifestó al entrevistador, a Interbank y a la autoridad desde un inicio; e) que, con respecto a las preguntas del Sub Test B, los consumos denunciados fueron realizados después que el asegurado fue despojado de sus pertenencias, siendo que el último consumo lo realizó en Miraflores con una tarjeta de crédito Scotiabank aproximadamente a las 3:30 h del día 18 de agosto de 2024; f) que, nunca hubo dinero que se reflejara como algún saldo a favor del asegurado producto de los consumos denunciados, menos aún habría podido el asegurado hacer alguna transferencia a otra persona, pues las tarjetas y aplicación ya estaban bloqueadas; g) que, durante la entrevista el asegurado realizó algunas precisiones al examinador por un movimiento de una de sus cuentas y que también forma parte del delito del que fue víctima; h) que, como señaló en su oportunidad el asegurado, horas después de haber bloqueado sus tarjetas y teléfono móvil, los delincuentes contactaron a dos de sus familiares haciéndose pasar por el asegurado, para pedir envíos de dinero; e i) que, uno de estos familiares llegó incluso a realizar dos envíos de dinero a los delincuentes. </w:t>
      </w:r>
    </w:p>
    <w:p w14:paraId="5E7B0B4A" w14:textId="77777777" w:rsidR="00682D7A" w:rsidRPr="00682D7A" w:rsidRDefault="00682D7A" w:rsidP="00682D7A">
      <w:pPr>
        <w:spacing w:line="240" w:lineRule="auto"/>
        <w:jc w:val="both"/>
        <w:rPr>
          <w:rFonts w:ascii="Times New Roman" w:eastAsia="Arial Unicode MS" w:hAnsi="Times New Roman" w:cs="Times New Roman"/>
          <w:b/>
          <w:bCs/>
          <w:sz w:val="24"/>
          <w:szCs w:val="24"/>
          <w:lang w:val="es-MX" w:eastAsia="ar-SA"/>
        </w:rPr>
      </w:pPr>
      <w:r w:rsidRPr="00682D7A">
        <w:rPr>
          <w:rFonts w:ascii="Times New Roman" w:eastAsia="Arial Unicode MS" w:hAnsi="Times New Roman" w:cs="Times New Roman"/>
          <w:b/>
          <w:bCs/>
          <w:sz w:val="24"/>
          <w:szCs w:val="24"/>
          <w:lang w:val="es-MX" w:eastAsia="ar-SA"/>
        </w:rPr>
        <w:t>CONSIDERANDO:</w:t>
      </w:r>
    </w:p>
    <w:p w14:paraId="316CF03F" w14:textId="77777777" w:rsidR="00682D7A" w:rsidRPr="00682D7A" w:rsidRDefault="00682D7A" w:rsidP="00682D7A">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PRIMERO: Que, el artículo 10 del Reglamento de DEFASEG establece que cualquiera de las partes que no se encuentre de acuerdo con la decisión adoptada por la Sala Colegiada, podrá cuestionarla, interponiendo el correspondiente Recurso de Impugnación.  </w:t>
      </w:r>
    </w:p>
    <w:p w14:paraId="3B497CF9" w14:textId="77777777" w:rsidR="00682D7A" w:rsidRPr="00682D7A" w:rsidRDefault="00682D7A" w:rsidP="00682D7A">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Conforme a ello, en el caso concreto, al interponer el Recurso de Impugnación la empresa ………………… resuelto por la Defensoría.</w:t>
      </w:r>
    </w:p>
    <w:p w14:paraId="0D4C3F5E" w14:textId="77777777" w:rsidR="00682D7A" w:rsidRPr="00682D7A" w:rsidRDefault="00682D7A" w:rsidP="00682D7A">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SEGUNDO: Que, a través del recurso impugnativo, la compañía asegurada cuestiona lo resuelto por la Sala Colegiada, pues considera que la Resolución Impugnada no tomó en cuenta los siguientes argumentos: (i) que, la Defensoría ha elevado a la denuncia policial a un nivel probatorio superior al que puede brindar la prueba poligráfica; (ii) que, la prueba poligráfica es un instrumento que nos acerca de mejor manera a la verdad material que busca aclarar el reconocimiento del derecho exigido; (iii) que, INDECOPI señala que la prueba poligráfica constituye un medio probatorio idóneo para acreditar el incumplimiento del asegurado a lo dispuesto en los artículos 69 y 73 de la Ley del Contrato de Seguro; y (iv) que, la naturaleza de las preguntas realizadas al asegurado tienen correspondencia directa con los hechos materia de investigación, que justificarían la solicitud de cobertura presentada por el asegurado.</w:t>
      </w:r>
    </w:p>
    <w:p w14:paraId="4127A3A2" w14:textId="77777777" w:rsidR="00682D7A" w:rsidRPr="00682D7A" w:rsidRDefault="00682D7A" w:rsidP="00682D7A">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TERCERO: Que, tal como se señala en la Resolución Impugnada, el artículo 69 de la Ley del Contrato de Seguro establece que cuando se realice un aviso de siniestro, el asegurado debe suministrar a la empresa aseguradora, información veraz, razonable y necesaria para verificar el siniestro. En la misma línea, el artículo 73 de la Ley del Contrato de Seguro, prescribe que el asegurado pierde se derecho a ser indemnizado si actúa fraudulentamente. </w:t>
      </w:r>
    </w:p>
    <w:p w14:paraId="28BD5751" w14:textId="77777777" w:rsidR="00682D7A" w:rsidRPr="00682D7A" w:rsidRDefault="00682D7A" w:rsidP="00682D7A">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Asimismo, para este Colegiado, los resultados de la prueba de polígrafo, por sí mismos, no cumplen con evidenciar de forma razonada una inconsistencia respecto de la posible naturaleza fraudulenta del aviso de siniestro; sí, deberían ser tomados en cuenta como indicios, para que la aseguradora, sobre la base de las prerrogativas otorgadas en la Ley del Contrato de Seguro, realice mayores pesquisas con la finalidad de determinar con un grado de certeza razonable si efectivamente el siniestro se produjo. </w:t>
      </w:r>
    </w:p>
    <w:p w14:paraId="02CB93A0" w14:textId="77777777" w:rsidR="00682D7A" w:rsidRPr="00682D7A" w:rsidRDefault="00682D7A" w:rsidP="00682D7A">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Sobre el particular, ………………… cuestiona lo señalado por este Colegiado, básicamente sobre la base del argumento que se habría indicado que la denuncia policial tendría un nivel probatorio incluso superior a la prueba de polígrafo. Sin embargo, el dicho respecto de lo señalado en la Resolución Impugnada no es correcto. Este Colegiado es plenamente consciente que la denuncia policial, también constituye una declaración de parte, ello en la medida que es una declaración a la autoridad competente respecto del conocimiento de un hecho que constituye -o podría constituir- un delito, ello de acuerdo con lo señalado por el Código Procesal Penal, específicamente en su artículo 326 (aprobado por el Decreto Legislativo n.° 957). Asimismo, el artículo 328 de la norma mencionada, señala cuáles son los requisitos que debe contener una denuncia policial. De acuerdo con la norma citada quien acude a una dependencia policial a sentar una denuncia debe detallar los posibles hechos delictivos, así como realizar una adecuada identificación de los presuntos responsables, corresponderá luego de las investigaciones pertinentes, que el fiscal califique el hecho como delito. </w:t>
      </w:r>
    </w:p>
    <w:p w14:paraId="56EB0264" w14:textId="77777777" w:rsidR="00682D7A" w:rsidRPr="00682D7A" w:rsidRDefault="00682D7A" w:rsidP="00682D7A">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Sin embargo, esta Defensoría ha indicado claramente en la Resolución Impugnada como un criterio a partir del cual se considera que la empresa ………………… declaraciones del asegurado, es a partir del análisis de todos los instrumentos actuados, encontrando inexactitudes, contradicciones e inconsistencias, máxime, si nuestro sistema procesal ha optado por la valoración en conjunto de todos los medios probatorios, sentido a partir del cual este Colegiado coincide plenamente con lo señalado por el profesor florentino Carlo FURNO, citado por la empresa …………………. </w:t>
      </w:r>
    </w:p>
    <w:p w14:paraId="10C7A90D" w14:textId="77777777" w:rsidR="00682D7A" w:rsidRPr="00682D7A" w:rsidRDefault="00682D7A" w:rsidP="00682D7A">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Por el contrario, en lo que discrepa este Tribunal respecto de lo señalado por …………………, es que los resultados de la prueba de polígrafo nos acercan de mejor manera a esa verdad material a partir de lo cual se busca esclarecer el reconocimiento del derecho exigido, pues ello nos podría llevar a situaciones cuestionables, por ejemplo, si de los instrumentos presentados por el asegurado para la investigación del siniestro se concluye que se ha presentado una declaración fraudulenta, ello habilitaría a la empresa ………………… de la prueba de polígrafo fuera negativo. Sin embargo, si aceptamos el criterio de la empresa …………………, no cabría rechazar una solicitud de cobertura en ningún caso en el que se cuente con una prueba de polígrafo negativa.   </w:t>
      </w:r>
    </w:p>
    <w:p w14:paraId="56ACFF5C" w14:textId="77777777" w:rsidR="00682D7A" w:rsidRPr="00682D7A" w:rsidRDefault="00682D7A" w:rsidP="00682D7A">
      <w:pPr>
        <w:spacing w:line="240" w:lineRule="auto"/>
        <w:jc w:val="both"/>
        <w:rPr>
          <w:rFonts w:ascii="Times New Roman" w:eastAsia="Arial Unicode MS" w:hAnsi="Times New Roman" w:cs="Times New Roman"/>
          <w:sz w:val="24"/>
          <w:szCs w:val="24"/>
          <w:lang w:val="es-PE" w:eastAsia="ar-SA"/>
        </w:rPr>
      </w:pPr>
      <w:r w:rsidRPr="00682D7A">
        <w:rPr>
          <w:rFonts w:ascii="Times New Roman" w:eastAsia="Arial Unicode MS" w:hAnsi="Times New Roman" w:cs="Times New Roman"/>
          <w:sz w:val="24"/>
          <w:szCs w:val="24"/>
          <w:lang w:val="es-PE" w:eastAsia="ar-SA"/>
        </w:rPr>
        <w:t xml:space="preserve">Lo que ha señalado este Colegiado claramente, es que no basta con la prueba de polígrafo para determinar que se ha presentado una declaración </w:t>
      </w:r>
      <w:proofErr w:type="gramStart"/>
      <w:r w:rsidRPr="00682D7A">
        <w:rPr>
          <w:rFonts w:ascii="Times New Roman" w:eastAsia="Arial Unicode MS" w:hAnsi="Times New Roman" w:cs="Times New Roman"/>
          <w:sz w:val="24"/>
          <w:szCs w:val="24"/>
          <w:lang w:val="es-PE" w:eastAsia="ar-SA"/>
        </w:rPr>
        <w:t>fraudulenta,  sino</w:t>
      </w:r>
      <w:proofErr w:type="gramEnd"/>
      <w:r w:rsidRPr="00682D7A">
        <w:rPr>
          <w:rFonts w:ascii="Times New Roman" w:eastAsia="Arial Unicode MS" w:hAnsi="Times New Roman" w:cs="Times New Roman"/>
          <w:sz w:val="24"/>
          <w:szCs w:val="24"/>
          <w:lang w:val="es-PE" w:eastAsia="ar-SA"/>
        </w:rPr>
        <w:t xml:space="preserve"> que es necesario valorar todos los instrumentos presentados por el asegurado, tal como ha sido expuesto por esta Defensoría en un reciente caso: </w:t>
      </w:r>
    </w:p>
    <w:p w14:paraId="45CD49A2" w14:textId="77777777" w:rsidR="00682D7A" w:rsidRPr="00682D7A" w:rsidRDefault="00682D7A" w:rsidP="00682D7A">
      <w:pPr>
        <w:spacing w:line="240" w:lineRule="auto"/>
        <w:jc w:val="both"/>
        <w:rPr>
          <w:rFonts w:ascii="Times New Roman" w:eastAsia="Arial Unicode MS" w:hAnsi="Times New Roman" w:cs="Times New Roman"/>
          <w:i/>
          <w:iCs/>
          <w:sz w:val="24"/>
          <w:szCs w:val="24"/>
          <w:lang w:val="es-PE" w:eastAsia="ar-SA"/>
        </w:rPr>
      </w:pPr>
      <w:r w:rsidRPr="00682D7A">
        <w:rPr>
          <w:rFonts w:ascii="Times New Roman" w:eastAsia="Arial Unicode MS" w:hAnsi="Times New Roman" w:cs="Times New Roman"/>
          <w:i/>
          <w:iCs/>
          <w:sz w:val="24"/>
          <w:szCs w:val="24"/>
          <w:lang w:val="es-PE" w:eastAsia="ar-SA"/>
        </w:rPr>
        <w:t xml:space="preserve">«En ese sentido, </w:t>
      </w:r>
      <w:r w:rsidRPr="00682D7A">
        <w:rPr>
          <w:rFonts w:ascii="Times New Roman" w:eastAsia="Arial Unicode MS" w:hAnsi="Times New Roman" w:cs="Times New Roman"/>
          <w:b/>
          <w:bCs/>
          <w:i/>
          <w:iCs/>
          <w:sz w:val="24"/>
          <w:szCs w:val="24"/>
          <w:u w:val="single"/>
          <w:lang w:val="es-PE" w:eastAsia="ar-SA"/>
        </w:rPr>
        <w:t>por sí sola la prueba del polígrafo no es suficiente para sustentar la existencia de una reclamación fraudulenta</w:t>
      </w:r>
      <w:r w:rsidRPr="00682D7A">
        <w:rPr>
          <w:rFonts w:ascii="Times New Roman" w:eastAsia="Arial Unicode MS" w:hAnsi="Times New Roman" w:cs="Times New Roman"/>
          <w:i/>
          <w:iCs/>
          <w:sz w:val="24"/>
          <w:szCs w:val="24"/>
          <w:lang w:val="es-PE" w:eastAsia="ar-SA"/>
        </w:rPr>
        <w:t xml:space="preserve">.  </w:t>
      </w:r>
    </w:p>
    <w:p w14:paraId="6F8EA430" w14:textId="77777777" w:rsidR="00682D7A" w:rsidRPr="00682D7A" w:rsidRDefault="00682D7A" w:rsidP="00682D7A">
      <w:pPr>
        <w:spacing w:line="240" w:lineRule="auto"/>
        <w:jc w:val="both"/>
        <w:rPr>
          <w:rFonts w:ascii="Times New Roman" w:eastAsia="Arial Unicode MS" w:hAnsi="Times New Roman" w:cs="Times New Roman"/>
          <w:i/>
          <w:iCs/>
          <w:sz w:val="24"/>
          <w:szCs w:val="24"/>
          <w:lang w:val="es-PE" w:eastAsia="ar-SA"/>
        </w:rPr>
      </w:pPr>
      <w:r w:rsidRPr="00682D7A">
        <w:rPr>
          <w:rFonts w:ascii="Times New Roman" w:eastAsia="Arial Unicode MS" w:hAnsi="Times New Roman" w:cs="Times New Roman"/>
          <w:i/>
          <w:iCs/>
          <w:sz w:val="24"/>
          <w:szCs w:val="24"/>
          <w:lang w:val="es-PE" w:eastAsia="ar-SA"/>
        </w:rPr>
        <w:t xml:space="preserve">Si bien es cierto que a la aseguradora le asiste el derecho de verificar lo sucedido y validar el relato de hechos practicado por la asegurada, empero, esta </w:t>
      </w:r>
      <w:r w:rsidRPr="00682D7A">
        <w:rPr>
          <w:rFonts w:ascii="Times New Roman" w:eastAsia="Arial Unicode MS" w:hAnsi="Times New Roman" w:cs="Times New Roman"/>
          <w:b/>
          <w:bCs/>
          <w:i/>
          <w:iCs/>
          <w:sz w:val="24"/>
          <w:szCs w:val="24"/>
          <w:u w:val="single"/>
          <w:lang w:val="es-PE" w:eastAsia="ar-SA"/>
        </w:rPr>
        <w:t>también tiene la obligación de probar la existencia de inexactitudes, contradicciones o inconsistencias que razonablemente juntamente con el resultado de la prueba del polígrafo lleven a la convicción de la existencia de una reclamación fraudulenta</w:t>
      </w:r>
      <w:r w:rsidRPr="00682D7A">
        <w:rPr>
          <w:rFonts w:ascii="Times New Roman" w:eastAsia="Arial Unicode MS" w:hAnsi="Times New Roman" w:cs="Times New Roman"/>
          <w:i/>
          <w:iCs/>
          <w:sz w:val="24"/>
          <w:szCs w:val="24"/>
          <w:lang w:val="es-PE" w:eastAsia="ar-SA"/>
        </w:rPr>
        <w:t>.</w:t>
      </w:r>
    </w:p>
    <w:p w14:paraId="4E3DCB8F" w14:textId="77777777" w:rsidR="00682D7A" w:rsidRPr="00682D7A" w:rsidRDefault="00682D7A" w:rsidP="00682D7A">
      <w:pPr>
        <w:spacing w:line="240" w:lineRule="auto"/>
        <w:jc w:val="both"/>
        <w:rPr>
          <w:rFonts w:ascii="Times New Roman" w:eastAsia="Arial Unicode MS" w:hAnsi="Times New Roman" w:cs="Times New Roman"/>
          <w:i/>
          <w:iCs/>
          <w:sz w:val="24"/>
          <w:szCs w:val="24"/>
          <w:lang w:val="es-PE" w:eastAsia="ar-SA"/>
        </w:rPr>
      </w:pPr>
      <w:r w:rsidRPr="00682D7A">
        <w:rPr>
          <w:rFonts w:ascii="Times New Roman" w:eastAsia="Arial Unicode MS" w:hAnsi="Times New Roman" w:cs="Times New Roman"/>
          <w:i/>
          <w:iCs/>
          <w:sz w:val="24"/>
          <w:szCs w:val="24"/>
          <w:lang w:val="es-PE" w:eastAsia="ar-SA"/>
        </w:rPr>
        <w:lastRenderedPageBreak/>
        <w:t xml:space="preserve">Debe destacarse que la prueba del polígrafo no arroja resultados absolutos, por esa razón dicha prueba debe estar acompañada de otros indicios que permiten razonablemente poner bajo cuestionamiento la veracidad del relato sobre lo sucedido y la real configuración del robo denunciado.  </w:t>
      </w:r>
    </w:p>
    <w:p w14:paraId="33B70C2F" w14:textId="77777777" w:rsidR="00682D7A" w:rsidRPr="00682D7A" w:rsidRDefault="00682D7A" w:rsidP="00682D7A">
      <w:pPr>
        <w:spacing w:line="240" w:lineRule="auto"/>
        <w:jc w:val="both"/>
        <w:rPr>
          <w:rFonts w:ascii="Times New Roman" w:eastAsia="Arial Unicode MS" w:hAnsi="Times New Roman" w:cs="Times New Roman"/>
          <w:i/>
          <w:iCs/>
          <w:sz w:val="24"/>
          <w:szCs w:val="24"/>
          <w:lang w:val="es-PE" w:eastAsia="ar-SA"/>
        </w:rPr>
      </w:pPr>
      <w:r w:rsidRPr="00682D7A">
        <w:rPr>
          <w:rFonts w:ascii="Times New Roman" w:eastAsia="Arial Unicode MS" w:hAnsi="Times New Roman" w:cs="Times New Roman"/>
          <w:i/>
          <w:iCs/>
          <w:sz w:val="24"/>
          <w:szCs w:val="24"/>
          <w:lang w:val="es-PE" w:eastAsia="ar-SA"/>
        </w:rPr>
        <w:t>La indicada prueba presenta márgenes de error y registra reacciones, por lo que no prueba certezas. En efecto, el instrumento del polígrafo no comprueba hechos, solo indica si la reacción de la examinada frente a una pregunta. De ahí que configura un indicio indirecto de sospecha que no es por sí solo suficiente para generar convicción.»</w:t>
      </w:r>
      <w:r w:rsidRPr="00682D7A">
        <w:rPr>
          <w:rFonts w:ascii="Times New Roman" w:eastAsia="Arial Unicode MS" w:hAnsi="Times New Roman" w:cs="Times New Roman"/>
          <w:sz w:val="24"/>
          <w:szCs w:val="24"/>
          <w:vertAlign w:val="superscript"/>
          <w:lang w:val="es-PE" w:eastAsia="ar-SA"/>
        </w:rPr>
        <w:footnoteReference w:id="6"/>
      </w:r>
    </w:p>
    <w:p w14:paraId="105B3BBF" w14:textId="77777777" w:rsidR="00682D7A" w:rsidRPr="00682D7A" w:rsidRDefault="00682D7A" w:rsidP="00682D7A">
      <w:pPr>
        <w:spacing w:line="240" w:lineRule="auto"/>
        <w:jc w:val="both"/>
        <w:rPr>
          <w:rFonts w:ascii="Times New Roman" w:eastAsia="Arial Unicode MS" w:hAnsi="Times New Roman" w:cs="Times New Roman"/>
          <w:sz w:val="24"/>
          <w:szCs w:val="24"/>
          <w:lang w:val="es-PE" w:eastAsia="ar-SA"/>
        </w:rPr>
      </w:pPr>
      <w:r w:rsidRPr="00682D7A">
        <w:rPr>
          <w:rFonts w:ascii="Times New Roman" w:eastAsia="Arial Unicode MS" w:hAnsi="Times New Roman" w:cs="Times New Roman"/>
          <w:sz w:val="24"/>
          <w:szCs w:val="24"/>
          <w:lang w:val="es-PE" w:eastAsia="ar-SA"/>
        </w:rPr>
        <w:t>Coincidentemente con lo señalado en la cita precedente, este Colegiado ya ha indicado cuáles son los criterios que pueden conjuntamente tomarse en cuenta para determinar la existencia de una declaración de cobertura fraudulenta, como por ejemplo, si se evidencia la existencia de inconsistencias en la forma de cómo ocurrió el siniestro; cuando no es posible identificar a la persona o entidad que realizó el fraude; si la persona ha presentado siniestros similares previos; se invoca -luego de la prueba de polígrafo y ante el rechazo de cobertura- amedrentamiento durante la realización de la prueba pero el asegurado llenó un encuesta de satisfacción con el servicio brindado durante la prueba; se muestra un comportamiento de abonos inusual previo al siniestro; demoras injustificadas en realizar el bloqueo permitiendo que se realicen mayores consumos indebidos; entre otros actos que conjuntamente generen suspicacia sobre lo ocurrido, los cual sumado a la denuncia policial y a los resultados de la prueba de polígrafo con respuestas significativas de engaño, podrían determinar que lo detallado por el asegurado no se corresponde con la realidad; y, por lo tanto, a partir de ello rechazar el siniestro por reclamación fraudulenta.</w:t>
      </w:r>
      <w:r w:rsidRPr="00682D7A">
        <w:rPr>
          <w:rFonts w:ascii="Times New Roman" w:eastAsia="Arial Unicode MS" w:hAnsi="Times New Roman" w:cs="Times New Roman"/>
          <w:sz w:val="24"/>
          <w:szCs w:val="24"/>
          <w:vertAlign w:val="superscript"/>
          <w:lang w:val="es-PE" w:eastAsia="ar-SA"/>
        </w:rPr>
        <w:footnoteReference w:id="7"/>
      </w:r>
    </w:p>
    <w:p w14:paraId="170FCB9B" w14:textId="77777777" w:rsidR="00682D7A" w:rsidRPr="00682D7A" w:rsidRDefault="00682D7A" w:rsidP="00682D7A">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CUARTO: Que, la Resolución Impugnada especifica que INDECOPI ha determinado que la prueba poligráfica constituye un medio probatorio idóneo para acreditar el incumplimiento del asegurado de lo dispuesto en los artículos 69 y 73 de la Ley del Contrato de Seguro. </w:t>
      </w:r>
    </w:p>
    <w:p w14:paraId="5402BC25" w14:textId="77777777" w:rsidR="00682D7A" w:rsidRPr="00682D7A" w:rsidRDefault="00682D7A" w:rsidP="00682D7A">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Sobre el particular, este Colegiado coincide por lo señalado por INDECOPI en la resolución que ………………… acompaña con su recurso impugnativo, y en sintonía con ello se puede advertir que desde el año 2021 se ha pronunciado respecto de la validez de la prueba de polígrafo como un mecanismo idóneo para para aclarar los hechos de un siniestro cuya cobertura se solicita. Sin embargo, la actuación de INDECOPI contra una empresa aseguradora, consiste en establecer si se cometió una posible infracción al deber de idoneidad de acuerdo con los artículos 19 y 108 del Código de protección y defensa del consumidor (aprobado por Ley n.° 29571), mientras que lo que se discute ante esta Defensoría es si la negativa de ………………… a brindar cobertura por el siniestro sufrido por el asegurado se encuentra justificada. </w:t>
      </w:r>
    </w:p>
    <w:p w14:paraId="07F8B22F" w14:textId="77777777" w:rsidR="00682D7A" w:rsidRPr="00682D7A" w:rsidRDefault="00682D7A" w:rsidP="00682D7A">
      <w:pPr>
        <w:spacing w:line="240" w:lineRule="auto"/>
        <w:jc w:val="both"/>
        <w:rPr>
          <w:rFonts w:ascii="Times New Roman" w:eastAsia="Arial Unicode MS" w:hAnsi="Times New Roman" w:cs="Times New Roman"/>
          <w:sz w:val="24"/>
          <w:szCs w:val="24"/>
          <w:lang w:val="es-PE" w:eastAsia="ar-SA"/>
        </w:rPr>
      </w:pPr>
      <w:r w:rsidRPr="00682D7A">
        <w:rPr>
          <w:rFonts w:ascii="Times New Roman" w:eastAsia="Arial Unicode MS" w:hAnsi="Times New Roman" w:cs="Times New Roman"/>
          <w:sz w:val="24"/>
          <w:szCs w:val="24"/>
          <w:lang w:val="es-PE" w:eastAsia="ar-SA"/>
        </w:rPr>
        <w:t>Como ha señalado este Colegiado en casos anteriores, no se niega que la aseguradora pueda emplear una prueba de polígrafo para sustentar válidamente un rechazo a brindar cobertura, sin embargo, el uso de este mecanismo debe acompañarse de elementos adicionales que permitan inferir la existencia de fraude.</w:t>
      </w:r>
      <w:r w:rsidRPr="00682D7A">
        <w:rPr>
          <w:rFonts w:ascii="Times New Roman" w:eastAsia="Arial Unicode MS" w:hAnsi="Times New Roman" w:cs="Times New Roman"/>
          <w:sz w:val="24"/>
          <w:szCs w:val="24"/>
          <w:vertAlign w:val="superscript"/>
          <w:lang w:val="es-PE" w:eastAsia="ar-SA"/>
        </w:rPr>
        <w:footnoteReference w:id="11"/>
      </w:r>
      <w:r w:rsidRPr="00682D7A">
        <w:rPr>
          <w:rFonts w:ascii="Times New Roman" w:eastAsia="Arial Unicode MS" w:hAnsi="Times New Roman" w:cs="Times New Roman"/>
          <w:sz w:val="24"/>
          <w:szCs w:val="24"/>
          <w:lang w:val="es-PE" w:eastAsia="ar-SA"/>
        </w:rPr>
        <w:t xml:space="preserve"> </w:t>
      </w:r>
    </w:p>
    <w:p w14:paraId="6AD86746" w14:textId="77777777" w:rsidR="00682D7A" w:rsidRPr="00682D7A" w:rsidRDefault="00682D7A" w:rsidP="00682D7A">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QUINTO: Que, para ………………… las preguntas realizadas al asegurado durante la prueba de polígrafo se encuentran directamente vinculadas a la ocurrencia del siniestro y a una actuación conforme a lo establecido en la Ley del Contrato de Seguro. Sobre el particular, ………………… se pregunta cómo es posible asimilar la respuesta negativa a estas preguntas por parte del asegurado con una declaración exacta y veraz. </w:t>
      </w:r>
    </w:p>
    <w:p w14:paraId="0AFEDD19" w14:textId="77777777" w:rsidR="00682D7A" w:rsidRPr="00682D7A" w:rsidRDefault="00682D7A" w:rsidP="00682D7A">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Sin embargo, la apreciación de ………………… respecto de lo señalado por este Colegiado es parcial, lo que se ha indicado en la Resolución Impugnada es que en el Informe del examen de polígrafo n.° 2729-2024-CCASS se advierte que se realizaron alrededor de 45 preguntas, sólo se consideraron relevantes cuatro de ellas y sólo en dos se advirtieron respuestas significativas de engaño. Este Colegiado no comparte lo señalado por ………………… respecto del carácter concluyente de las respuestas a estas dos peguntas, como si dicho resultado nos diera una certeza matemática respecto de la posible inconducta del asegurado, máxime si como ha señalado esta Defensoría, por sí sola la prueba del polígrafo no es suficiente para sustentar la existencia de una reclamación fraudulenta. </w:t>
      </w:r>
    </w:p>
    <w:p w14:paraId="6E74B483" w14:textId="77777777" w:rsidR="00682D7A" w:rsidRPr="00682D7A" w:rsidRDefault="00682D7A" w:rsidP="00682D7A">
      <w:pPr>
        <w:spacing w:line="240" w:lineRule="auto"/>
        <w:jc w:val="both"/>
        <w:rPr>
          <w:rFonts w:ascii="Times New Roman" w:eastAsia="Arial Unicode MS" w:hAnsi="Times New Roman" w:cs="Times New Roman"/>
          <w:sz w:val="24"/>
          <w:szCs w:val="24"/>
          <w:lang w:val="es-PE" w:eastAsia="ar-SA"/>
        </w:rPr>
      </w:pPr>
      <w:r w:rsidRPr="00682D7A">
        <w:rPr>
          <w:rFonts w:ascii="Times New Roman" w:eastAsia="Arial Unicode MS" w:hAnsi="Times New Roman" w:cs="Times New Roman"/>
          <w:sz w:val="24"/>
          <w:szCs w:val="24"/>
          <w:lang w:val="es-PE" w:eastAsia="ar-SA"/>
        </w:rPr>
        <w:t>Por otro lado, no es correcto que las preguntas que arrojaron respuestas significativas de engaño tuvieran una correspondencia directa con los hechos materia de denuncia como señala la empresa asegurada, puesto que de acuerdo con la información que obra en el expediente, el asegurado reportó un uso fraudulento de sus tarjetas de crédito y no una disposición de efectivo como infiere una de las preguntas realizadas en la prueba de polígrafo. Siendo, que no se reportó un siniestro en el que se dispusiera de dinero en efectivo, mal podía el asegurado dar una respuesta falsa respecto de una transacción que materialmente no se podía cuestionar.</w:t>
      </w:r>
    </w:p>
    <w:p w14:paraId="0E3DFAC8" w14:textId="77777777" w:rsidR="00682D7A" w:rsidRPr="00682D7A" w:rsidRDefault="00682D7A" w:rsidP="00682D7A">
      <w:pPr>
        <w:spacing w:line="240" w:lineRule="auto"/>
        <w:jc w:val="both"/>
        <w:rPr>
          <w:rFonts w:ascii="Times New Roman" w:eastAsia="Arial Unicode MS" w:hAnsi="Times New Roman" w:cs="Times New Roman"/>
          <w:sz w:val="24"/>
          <w:szCs w:val="24"/>
          <w:lang w:val="es-PE" w:eastAsia="ar-SA"/>
        </w:rPr>
      </w:pPr>
      <w:r w:rsidRPr="00682D7A">
        <w:rPr>
          <w:rFonts w:ascii="Times New Roman" w:eastAsia="Arial Unicode MS" w:hAnsi="Times New Roman" w:cs="Times New Roman"/>
          <w:sz w:val="24"/>
          <w:szCs w:val="24"/>
          <w:lang w:val="es-PE" w:eastAsia="ar-SA"/>
        </w:rPr>
        <w:t>Que, en consecuencia, esta Defensoría del Asegurado concluye su apreciación razonada y conjunta al amparo de lo establecido en su Reglamento, por lo que:</w:t>
      </w:r>
    </w:p>
    <w:p w14:paraId="7ACA816D" w14:textId="77777777" w:rsidR="00682D7A" w:rsidRPr="00682D7A" w:rsidRDefault="00682D7A" w:rsidP="00682D7A">
      <w:pPr>
        <w:spacing w:line="240" w:lineRule="auto"/>
        <w:jc w:val="both"/>
        <w:rPr>
          <w:rFonts w:ascii="Times New Roman" w:eastAsia="Arial Unicode MS" w:hAnsi="Times New Roman" w:cs="Times New Roman"/>
          <w:b/>
          <w:bCs/>
          <w:sz w:val="24"/>
          <w:szCs w:val="24"/>
          <w:u w:val="single"/>
          <w:lang w:val="es-PE" w:eastAsia="ar-SA"/>
        </w:rPr>
      </w:pPr>
      <w:r w:rsidRPr="00682D7A">
        <w:rPr>
          <w:rFonts w:ascii="Times New Roman" w:eastAsia="Arial Unicode MS" w:hAnsi="Times New Roman" w:cs="Times New Roman"/>
          <w:b/>
          <w:bCs/>
          <w:sz w:val="24"/>
          <w:szCs w:val="24"/>
          <w:lang w:val="es-PE" w:eastAsia="ar-SA"/>
        </w:rPr>
        <w:t>RESUELVE:</w:t>
      </w:r>
    </w:p>
    <w:p w14:paraId="45D42A55" w14:textId="77777777" w:rsidR="00682D7A" w:rsidRPr="00682D7A" w:rsidRDefault="00682D7A" w:rsidP="00682D7A">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Declarar INFUNDADA la impugnación presentada por ………………… contra la Resolución n.° 094/25 de fecha 17 de junio de 2025.</w:t>
      </w:r>
    </w:p>
    <w:p w14:paraId="51EDAB4B" w14:textId="73830AD9" w:rsidR="00B32E8A" w:rsidRPr="00682D7A" w:rsidRDefault="0091528B" w:rsidP="006F011C">
      <w:pPr>
        <w:spacing w:line="240" w:lineRule="auto"/>
        <w:jc w:val="right"/>
        <w:rPr>
          <w:rFonts w:ascii="Times New Roman" w:hAnsi="Times New Roman" w:cs="Times New Roman"/>
          <w:sz w:val="24"/>
          <w:szCs w:val="24"/>
          <w:lang w:val="es-PE"/>
        </w:rPr>
      </w:pPr>
      <w:r w:rsidRPr="00682D7A">
        <w:rPr>
          <w:rFonts w:ascii="Times New Roman" w:eastAsia="Arial Unicode MS" w:hAnsi="Times New Roman" w:cs="Times New Roman"/>
          <w:sz w:val="24"/>
          <w:szCs w:val="24"/>
          <w:lang w:val="es-PE" w:eastAsia="ar-SA"/>
        </w:rPr>
        <w:t>Lima,</w:t>
      </w:r>
      <w:r w:rsidR="00774D05" w:rsidRPr="00682D7A">
        <w:rPr>
          <w:rFonts w:ascii="Times New Roman" w:eastAsia="Arial Unicode MS" w:hAnsi="Times New Roman" w:cs="Times New Roman"/>
          <w:sz w:val="24"/>
          <w:szCs w:val="24"/>
          <w:lang w:val="es-PE" w:eastAsia="ar-SA"/>
        </w:rPr>
        <w:t xml:space="preserve"> </w:t>
      </w:r>
      <w:r w:rsidR="00682D7A" w:rsidRPr="00682D7A">
        <w:rPr>
          <w:rFonts w:ascii="Times New Roman" w:eastAsia="Arial Unicode MS" w:hAnsi="Times New Roman" w:cs="Times New Roman"/>
          <w:sz w:val="24"/>
          <w:szCs w:val="24"/>
          <w:lang w:val="es-PE" w:eastAsia="ar-SA"/>
        </w:rPr>
        <w:t>21</w:t>
      </w:r>
      <w:r w:rsidR="00B8209E" w:rsidRPr="00682D7A">
        <w:rPr>
          <w:rFonts w:ascii="Times New Roman" w:eastAsia="Arial Unicode MS" w:hAnsi="Times New Roman" w:cs="Times New Roman"/>
          <w:sz w:val="24"/>
          <w:szCs w:val="24"/>
          <w:lang w:val="es-PE" w:eastAsia="ar-SA"/>
        </w:rPr>
        <w:t xml:space="preserve"> </w:t>
      </w:r>
      <w:r w:rsidR="00707C99" w:rsidRPr="00682D7A">
        <w:rPr>
          <w:rFonts w:ascii="Times New Roman" w:eastAsia="Arial Unicode MS" w:hAnsi="Times New Roman" w:cs="Times New Roman"/>
          <w:sz w:val="24"/>
          <w:szCs w:val="24"/>
          <w:lang w:val="es-PE" w:eastAsia="ar-SA"/>
        </w:rPr>
        <w:t xml:space="preserve">de </w:t>
      </w:r>
      <w:r w:rsidR="002756B9" w:rsidRPr="00682D7A">
        <w:rPr>
          <w:rFonts w:ascii="Times New Roman" w:eastAsia="Arial Unicode MS" w:hAnsi="Times New Roman" w:cs="Times New Roman"/>
          <w:sz w:val="24"/>
          <w:szCs w:val="24"/>
          <w:lang w:val="es-PE" w:eastAsia="ar-SA"/>
        </w:rPr>
        <w:t xml:space="preserve">agosto </w:t>
      </w:r>
      <w:r w:rsidR="00F06498" w:rsidRPr="00682D7A">
        <w:rPr>
          <w:rFonts w:ascii="Times New Roman" w:eastAsia="Arial Unicode MS" w:hAnsi="Times New Roman" w:cs="Times New Roman"/>
          <w:sz w:val="24"/>
          <w:szCs w:val="24"/>
          <w:lang w:val="es-PE" w:eastAsia="ar-SA"/>
        </w:rPr>
        <w:t>de 202</w:t>
      </w:r>
      <w:r w:rsidR="00AE4D37" w:rsidRPr="00682D7A">
        <w:rPr>
          <w:rFonts w:ascii="Times New Roman" w:eastAsia="Arial Unicode MS" w:hAnsi="Times New Roman" w:cs="Times New Roman"/>
          <w:sz w:val="24"/>
          <w:szCs w:val="24"/>
          <w:lang w:val="es-PE" w:eastAsia="ar-SA"/>
        </w:rPr>
        <w:t>5</w:t>
      </w:r>
      <w:r w:rsidR="00707C99" w:rsidRPr="00682D7A">
        <w:rPr>
          <w:rFonts w:ascii="Times New Roman" w:eastAsia="Times New Roman" w:hAnsi="Times New Roman" w:cs="Times New Roman"/>
          <w:sz w:val="24"/>
          <w:szCs w:val="24"/>
          <w:lang w:val="es-PE" w:eastAsia="ar-SA"/>
        </w:rPr>
        <w:t xml:space="preserve"> </w:t>
      </w:r>
    </w:p>
    <w:p w14:paraId="1B6988F6" w14:textId="77777777" w:rsidR="00A323F4" w:rsidRPr="00682D7A" w:rsidRDefault="00A323F4" w:rsidP="00657814">
      <w:pPr>
        <w:spacing w:after="0" w:line="240" w:lineRule="auto"/>
        <w:jc w:val="both"/>
        <w:rPr>
          <w:rFonts w:ascii="Times New Roman" w:hAnsi="Times New Roman" w:cs="Times New Roman"/>
          <w:b/>
          <w:bCs/>
          <w:i/>
          <w:iCs/>
          <w:sz w:val="24"/>
          <w:szCs w:val="24"/>
          <w:lang w:val="es-PE"/>
        </w:rPr>
      </w:pPr>
      <w:r w:rsidRPr="00682D7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2B24FCBE" w14:textId="77777777" w:rsidR="008D26BA" w:rsidRPr="00682D7A" w:rsidRDefault="008D26BA" w:rsidP="00657814">
      <w:pPr>
        <w:spacing w:after="0" w:line="360" w:lineRule="auto"/>
        <w:jc w:val="both"/>
        <w:rPr>
          <w:rFonts w:ascii="Times New Roman" w:hAnsi="Times New Roman" w:cs="Times New Roman"/>
          <w:b/>
          <w:bCs/>
          <w:i/>
          <w:iCs/>
          <w:sz w:val="24"/>
          <w:szCs w:val="24"/>
          <w:lang w:val="es-PE"/>
        </w:rPr>
      </w:pPr>
    </w:p>
    <w:p w14:paraId="5B39FA6C" w14:textId="77777777" w:rsidR="0066633A" w:rsidRPr="00682D7A" w:rsidRDefault="0066633A" w:rsidP="0066633A">
      <w:pPr>
        <w:spacing w:after="0" w:line="360" w:lineRule="auto"/>
        <w:jc w:val="center"/>
        <w:rPr>
          <w:rFonts w:ascii="Times New Roman" w:hAnsi="Times New Roman" w:cs="Times New Roman"/>
          <w:b/>
          <w:bCs/>
          <w:sz w:val="24"/>
          <w:szCs w:val="24"/>
          <w:lang w:val="es-PE"/>
        </w:rPr>
      </w:pPr>
      <w:r w:rsidRPr="00682D7A">
        <w:rPr>
          <w:rFonts w:ascii="Times New Roman" w:hAnsi="Times New Roman" w:cs="Times New Roman"/>
          <w:b/>
          <w:bCs/>
          <w:sz w:val="24"/>
          <w:szCs w:val="24"/>
          <w:lang w:val="es-PE"/>
        </w:rPr>
        <w:t xml:space="preserve">Rolando Eyzaguirre </w:t>
      </w:r>
      <w:proofErr w:type="spellStart"/>
      <w:r w:rsidRPr="00682D7A">
        <w:rPr>
          <w:rFonts w:ascii="Times New Roman" w:hAnsi="Times New Roman" w:cs="Times New Roman"/>
          <w:b/>
          <w:bCs/>
          <w:sz w:val="24"/>
          <w:szCs w:val="24"/>
          <w:lang w:val="es-PE"/>
        </w:rPr>
        <w:t>Maccan</w:t>
      </w:r>
      <w:proofErr w:type="spellEnd"/>
      <w:r w:rsidRPr="00682D7A">
        <w:rPr>
          <w:rFonts w:ascii="Times New Roman" w:hAnsi="Times New Roman" w:cs="Times New Roman"/>
          <w:b/>
          <w:bCs/>
          <w:sz w:val="24"/>
          <w:szCs w:val="24"/>
          <w:lang w:val="es-PE"/>
        </w:rPr>
        <w:t xml:space="preserve"> – </w:t>
      </w:r>
      <w:proofErr w:type="gramStart"/>
      <w:r w:rsidRPr="00682D7A">
        <w:rPr>
          <w:rFonts w:ascii="Times New Roman" w:hAnsi="Times New Roman" w:cs="Times New Roman"/>
          <w:b/>
          <w:bCs/>
          <w:sz w:val="24"/>
          <w:szCs w:val="24"/>
          <w:lang w:val="es-PE"/>
        </w:rPr>
        <w:t>Presidente</w:t>
      </w:r>
      <w:proofErr w:type="gramEnd"/>
    </w:p>
    <w:p w14:paraId="5A48D78D" w14:textId="77777777" w:rsidR="0066633A" w:rsidRPr="00682D7A" w:rsidRDefault="0066633A" w:rsidP="0066633A">
      <w:pPr>
        <w:spacing w:after="0" w:line="360" w:lineRule="auto"/>
        <w:jc w:val="center"/>
        <w:rPr>
          <w:rFonts w:ascii="Times New Roman" w:hAnsi="Times New Roman" w:cs="Times New Roman"/>
          <w:b/>
          <w:bCs/>
          <w:sz w:val="24"/>
          <w:szCs w:val="24"/>
          <w:lang w:val="es-PE"/>
        </w:rPr>
      </w:pPr>
      <w:r w:rsidRPr="00682D7A">
        <w:rPr>
          <w:rFonts w:ascii="Times New Roman" w:hAnsi="Times New Roman" w:cs="Times New Roman"/>
          <w:b/>
          <w:bCs/>
          <w:sz w:val="24"/>
          <w:szCs w:val="24"/>
          <w:lang w:val="es-PE"/>
        </w:rPr>
        <w:t>María Eugenia Valdez Fernández Baca – Vocal</w:t>
      </w:r>
    </w:p>
    <w:p w14:paraId="37821FA7" w14:textId="77777777" w:rsidR="0066633A" w:rsidRPr="00682D7A" w:rsidRDefault="0066633A" w:rsidP="0066633A">
      <w:pPr>
        <w:spacing w:after="0" w:line="360" w:lineRule="auto"/>
        <w:jc w:val="center"/>
        <w:rPr>
          <w:rFonts w:ascii="Times New Roman" w:hAnsi="Times New Roman" w:cs="Times New Roman"/>
          <w:sz w:val="24"/>
          <w:szCs w:val="24"/>
          <w:lang w:val="es-PE"/>
        </w:rPr>
      </w:pPr>
      <w:r w:rsidRPr="00682D7A">
        <w:rPr>
          <w:rFonts w:ascii="Times New Roman" w:hAnsi="Times New Roman" w:cs="Times New Roman"/>
          <w:b/>
          <w:bCs/>
          <w:sz w:val="24"/>
          <w:szCs w:val="24"/>
        </w:rPr>
        <w:t>Antonio José Rodríguez Lobatón</w:t>
      </w:r>
      <w:r w:rsidRPr="00682D7A">
        <w:rPr>
          <w:rFonts w:ascii="Times New Roman" w:hAnsi="Times New Roman" w:cs="Times New Roman"/>
          <w:b/>
          <w:bCs/>
          <w:sz w:val="24"/>
          <w:szCs w:val="24"/>
          <w:lang w:val="es-PE"/>
        </w:rPr>
        <w:t xml:space="preserve"> – Vocal</w:t>
      </w:r>
    </w:p>
    <w:p w14:paraId="412CCBAA" w14:textId="77777777" w:rsidR="00986F0C" w:rsidRPr="009C0D47"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9C0D47"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9C0D47" w:rsidRDefault="00556526" w:rsidP="00B17E56">
      <w:pPr>
        <w:spacing w:line="240" w:lineRule="auto"/>
        <w:jc w:val="both"/>
        <w:rPr>
          <w:rFonts w:ascii="Times New Roman" w:hAnsi="Times New Roman" w:cs="Times New Roman"/>
          <w:b/>
          <w:bCs/>
          <w:i/>
          <w:iCs/>
          <w:sz w:val="24"/>
          <w:szCs w:val="24"/>
          <w:lang w:val="es-PE"/>
        </w:rPr>
      </w:pPr>
    </w:p>
    <w:p w14:paraId="33E0FAB8" w14:textId="77777777" w:rsidR="00C671F5" w:rsidRPr="009849E6"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9849E6" w:rsidRDefault="00C671F5" w:rsidP="00C671F5">
      <w:pPr>
        <w:spacing w:line="240" w:lineRule="auto"/>
        <w:rPr>
          <w:rFonts w:ascii="Times New Roman" w:eastAsia="Arial Unicode MS" w:hAnsi="Times New Roman" w:cs="Times New Roman"/>
          <w:sz w:val="24"/>
          <w:szCs w:val="24"/>
          <w:lang w:val="es-ES" w:eastAsia="ar-SA"/>
        </w:rPr>
      </w:pPr>
    </w:p>
    <w:sectPr w:rsidR="00C671F5" w:rsidRPr="009849E6"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5F0AD" w14:textId="77777777" w:rsidR="004B358C" w:rsidRDefault="004B358C" w:rsidP="00784355">
      <w:pPr>
        <w:spacing w:after="0" w:line="240" w:lineRule="auto"/>
      </w:pPr>
      <w:r>
        <w:separator/>
      </w:r>
    </w:p>
  </w:endnote>
  <w:endnote w:type="continuationSeparator" w:id="0">
    <w:p w14:paraId="498EF0EB" w14:textId="77777777" w:rsidR="004B358C" w:rsidRDefault="004B358C"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BE478" w14:textId="77777777" w:rsidR="004B358C" w:rsidRDefault="004B358C" w:rsidP="00784355">
      <w:pPr>
        <w:spacing w:after="0" w:line="240" w:lineRule="auto"/>
      </w:pPr>
      <w:r>
        <w:separator/>
      </w:r>
    </w:p>
  </w:footnote>
  <w:footnote w:type="continuationSeparator" w:id="0">
    <w:p w14:paraId="7B7BDE5F" w14:textId="77777777" w:rsidR="004B358C" w:rsidRDefault="004B358C" w:rsidP="00784355">
      <w:pPr>
        <w:spacing w:after="0" w:line="240" w:lineRule="auto"/>
      </w:pPr>
      <w:r>
        <w:continuationSeparator/>
      </w:r>
    </w:p>
  </w:footnote>
  <w:footnote w:id="1">
    <w:p w14:paraId="7768E2E8" w14:textId="77777777" w:rsidR="00682D7A" w:rsidRPr="00682D7A" w:rsidRDefault="00682D7A" w:rsidP="00682D7A">
      <w:pPr>
        <w:pStyle w:val="Textonotapie"/>
        <w:tabs>
          <w:tab w:val="left" w:pos="284"/>
        </w:tabs>
        <w:spacing w:after="60"/>
        <w:ind w:left="284" w:hanging="284"/>
        <w:jc w:val="both"/>
        <w:rPr>
          <w:rFonts w:ascii="Times New Roman" w:hAnsi="Times New Roman" w:cs="Times New Roman"/>
          <w:b/>
          <w:bCs/>
          <w:sz w:val="18"/>
          <w:szCs w:val="18"/>
          <w:lang w:val="es-PE"/>
        </w:rPr>
      </w:pPr>
      <w:r>
        <w:rPr>
          <w:rStyle w:val="Refdenotaalpie"/>
          <w:rFonts w:ascii="Georgia" w:hAnsi="Georgia"/>
          <w:lang w:val="es-PE"/>
        </w:rPr>
        <w:footnoteRef/>
      </w:r>
      <w:r>
        <w:rPr>
          <w:rFonts w:ascii="Georgia" w:hAnsi="Georgia"/>
          <w:lang w:val="es-PE"/>
        </w:rPr>
        <w:t xml:space="preserve"> </w:t>
      </w:r>
      <w:r>
        <w:rPr>
          <w:rFonts w:ascii="Georgia" w:hAnsi="Georgia"/>
          <w:lang w:val="es-PE"/>
        </w:rPr>
        <w:tab/>
      </w:r>
      <w:r w:rsidRPr="00682D7A">
        <w:rPr>
          <w:rFonts w:ascii="Times New Roman" w:hAnsi="Times New Roman" w:cs="Times New Roman"/>
          <w:b/>
          <w:bCs/>
          <w:sz w:val="18"/>
          <w:szCs w:val="18"/>
          <w:lang w:val="es-PE"/>
        </w:rPr>
        <w:t>Reglamento de DEFASEG</w:t>
      </w:r>
    </w:p>
    <w:p w14:paraId="0DD5CAEE" w14:textId="77777777" w:rsidR="00682D7A" w:rsidRPr="00682D7A" w:rsidRDefault="00682D7A" w:rsidP="00682D7A">
      <w:pPr>
        <w:pStyle w:val="Textonotapie"/>
        <w:tabs>
          <w:tab w:val="left" w:pos="284"/>
        </w:tabs>
        <w:spacing w:after="60"/>
        <w:ind w:left="284" w:hanging="284"/>
        <w:jc w:val="both"/>
        <w:rPr>
          <w:rFonts w:ascii="Times New Roman" w:hAnsi="Times New Roman" w:cs="Times New Roman"/>
          <w:b/>
          <w:bCs/>
          <w:sz w:val="18"/>
          <w:szCs w:val="18"/>
          <w:lang w:val="es-PE"/>
        </w:rPr>
      </w:pPr>
      <w:r w:rsidRPr="00682D7A">
        <w:rPr>
          <w:rFonts w:ascii="Times New Roman" w:hAnsi="Times New Roman" w:cs="Times New Roman"/>
          <w:sz w:val="18"/>
          <w:szCs w:val="18"/>
          <w:lang w:val="es-PE"/>
        </w:rPr>
        <w:tab/>
      </w:r>
      <w:r w:rsidRPr="00682D7A">
        <w:rPr>
          <w:rFonts w:ascii="Times New Roman" w:hAnsi="Times New Roman" w:cs="Times New Roman"/>
          <w:b/>
          <w:bCs/>
          <w:sz w:val="18"/>
          <w:szCs w:val="18"/>
          <w:lang w:val="es-PE"/>
        </w:rPr>
        <w:t>10. Procedimiento</w:t>
      </w:r>
    </w:p>
    <w:p w14:paraId="5DD6CE9F" w14:textId="77777777" w:rsidR="00682D7A" w:rsidRPr="00682D7A" w:rsidRDefault="00682D7A" w:rsidP="00682D7A">
      <w:pPr>
        <w:pStyle w:val="Textonotapie"/>
        <w:tabs>
          <w:tab w:val="left" w:pos="284"/>
        </w:tabs>
        <w:spacing w:after="60"/>
        <w:ind w:left="284" w:hanging="284"/>
        <w:jc w:val="both"/>
        <w:rPr>
          <w:rFonts w:ascii="Times New Roman" w:hAnsi="Times New Roman" w:cs="Times New Roman"/>
          <w:sz w:val="18"/>
          <w:szCs w:val="18"/>
          <w:lang w:val="es-PE"/>
        </w:rPr>
      </w:pPr>
      <w:r w:rsidRPr="00682D7A">
        <w:rPr>
          <w:rFonts w:ascii="Times New Roman" w:hAnsi="Times New Roman" w:cs="Times New Roman"/>
          <w:sz w:val="18"/>
          <w:szCs w:val="18"/>
          <w:lang w:val="es-PE"/>
        </w:rPr>
        <w:tab/>
        <w:t>(…)</w:t>
      </w:r>
    </w:p>
    <w:p w14:paraId="14C19284" w14:textId="77777777" w:rsidR="00682D7A" w:rsidRPr="00682D7A" w:rsidRDefault="00682D7A" w:rsidP="00682D7A">
      <w:pPr>
        <w:pStyle w:val="Textonotapie"/>
        <w:tabs>
          <w:tab w:val="left" w:pos="284"/>
        </w:tabs>
        <w:spacing w:after="60"/>
        <w:ind w:left="284" w:hanging="284"/>
        <w:jc w:val="both"/>
        <w:rPr>
          <w:rFonts w:ascii="Times New Roman" w:hAnsi="Times New Roman" w:cs="Times New Roman"/>
          <w:sz w:val="18"/>
          <w:szCs w:val="18"/>
          <w:lang w:val="es-PE"/>
        </w:rPr>
      </w:pPr>
      <w:r w:rsidRPr="00682D7A">
        <w:rPr>
          <w:rFonts w:ascii="Times New Roman" w:hAnsi="Times New Roman" w:cs="Times New Roman"/>
          <w:sz w:val="18"/>
          <w:szCs w:val="18"/>
          <w:lang w:val="es-PE"/>
        </w:rPr>
        <w:tab/>
        <w:t xml:space="preserve">En caso cualquiera de las partes no se encuentre conforme con la decisión adoptada, podrá impugnarla, en el plazo de cinco (5) días hábiles de notificada. </w:t>
      </w:r>
    </w:p>
    <w:p w14:paraId="611E82E1" w14:textId="77777777" w:rsidR="00682D7A" w:rsidRPr="00682D7A" w:rsidRDefault="00682D7A" w:rsidP="00682D7A">
      <w:pPr>
        <w:pStyle w:val="Textonotapie"/>
        <w:tabs>
          <w:tab w:val="left" w:pos="284"/>
        </w:tabs>
        <w:spacing w:after="60"/>
        <w:ind w:left="284" w:hanging="284"/>
        <w:jc w:val="both"/>
        <w:rPr>
          <w:rFonts w:ascii="Times New Roman" w:hAnsi="Times New Roman" w:cs="Times New Roman"/>
          <w:sz w:val="18"/>
          <w:szCs w:val="18"/>
          <w:lang w:val="es-PE"/>
        </w:rPr>
      </w:pPr>
      <w:r w:rsidRPr="00682D7A">
        <w:rPr>
          <w:rFonts w:ascii="Times New Roman" w:hAnsi="Times New Roman" w:cs="Times New Roman"/>
          <w:sz w:val="18"/>
          <w:szCs w:val="18"/>
          <w:lang w:val="es-PE"/>
        </w:rPr>
        <w:tab/>
        <w:t>Recibido el recurso, la Defensoría correrá traslado a la otra parte por el plazo de cinco (5) días hábiles para que exprese su posición.</w:t>
      </w:r>
    </w:p>
  </w:footnote>
  <w:footnote w:id="2">
    <w:p w14:paraId="6A8FE307" w14:textId="77777777" w:rsidR="00682D7A" w:rsidRPr="00682D7A" w:rsidRDefault="00682D7A" w:rsidP="00682D7A">
      <w:pPr>
        <w:pStyle w:val="Textonotapie"/>
        <w:tabs>
          <w:tab w:val="left" w:pos="284"/>
        </w:tabs>
        <w:spacing w:after="120"/>
        <w:ind w:left="284" w:hanging="284"/>
        <w:jc w:val="both"/>
        <w:rPr>
          <w:rFonts w:ascii="Times New Roman" w:hAnsi="Times New Roman" w:cs="Times New Roman"/>
          <w:sz w:val="18"/>
          <w:szCs w:val="18"/>
          <w:lang w:val="es-PE"/>
        </w:rPr>
      </w:pPr>
      <w:r w:rsidRPr="00682D7A">
        <w:rPr>
          <w:rStyle w:val="Refdenotaalpie"/>
          <w:rFonts w:ascii="Times New Roman" w:hAnsi="Times New Roman" w:cs="Times New Roman"/>
          <w:sz w:val="18"/>
          <w:szCs w:val="18"/>
          <w:lang w:val="es-PE"/>
        </w:rPr>
        <w:footnoteRef/>
      </w:r>
      <w:r w:rsidRPr="00682D7A">
        <w:rPr>
          <w:rFonts w:ascii="Times New Roman" w:hAnsi="Times New Roman" w:cs="Times New Roman"/>
          <w:sz w:val="18"/>
          <w:szCs w:val="18"/>
          <w:lang w:val="es-PE"/>
        </w:rPr>
        <w:t xml:space="preserve"> </w:t>
      </w:r>
      <w:r w:rsidRPr="00682D7A">
        <w:rPr>
          <w:rFonts w:ascii="Times New Roman" w:hAnsi="Times New Roman" w:cs="Times New Roman"/>
          <w:sz w:val="18"/>
          <w:szCs w:val="18"/>
          <w:lang w:val="es-PE"/>
        </w:rPr>
        <w:tab/>
      </w:r>
      <w:r w:rsidRPr="00682D7A">
        <w:rPr>
          <w:rFonts w:ascii="Times New Roman" w:hAnsi="Times New Roman" w:cs="Times New Roman"/>
          <w:b/>
          <w:bCs/>
          <w:sz w:val="18"/>
          <w:szCs w:val="18"/>
          <w:lang w:val="es-PE"/>
        </w:rPr>
        <w:t>Ley del Contrato de Seguro</w:t>
      </w:r>
    </w:p>
    <w:p w14:paraId="2D0575F6" w14:textId="77777777" w:rsidR="00682D7A" w:rsidRPr="00682D7A" w:rsidRDefault="00682D7A" w:rsidP="00682D7A">
      <w:pPr>
        <w:pStyle w:val="Textonotapie"/>
        <w:tabs>
          <w:tab w:val="left" w:pos="284"/>
        </w:tabs>
        <w:spacing w:after="120"/>
        <w:ind w:left="284" w:hanging="284"/>
        <w:jc w:val="both"/>
        <w:rPr>
          <w:rFonts w:ascii="Times New Roman" w:hAnsi="Times New Roman" w:cs="Times New Roman"/>
          <w:b/>
          <w:bCs/>
          <w:sz w:val="18"/>
          <w:szCs w:val="18"/>
          <w:lang w:val="es-PE"/>
        </w:rPr>
      </w:pPr>
      <w:r w:rsidRPr="00682D7A">
        <w:rPr>
          <w:rFonts w:ascii="Times New Roman" w:hAnsi="Times New Roman" w:cs="Times New Roman"/>
          <w:b/>
          <w:bCs/>
          <w:sz w:val="18"/>
          <w:szCs w:val="18"/>
          <w:lang w:val="es-PE"/>
        </w:rPr>
        <w:tab/>
        <w:t>Artículo 69.- Informaciones</w:t>
      </w:r>
    </w:p>
    <w:p w14:paraId="458B1FDB" w14:textId="77777777" w:rsidR="00682D7A" w:rsidRPr="00682D7A" w:rsidRDefault="00682D7A" w:rsidP="00682D7A">
      <w:pPr>
        <w:pStyle w:val="Textonotapie"/>
        <w:tabs>
          <w:tab w:val="left" w:pos="284"/>
        </w:tabs>
        <w:spacing w:after="120"/>
        <w:ind w:left="284" w:hanging="284"/>
        <w:jc w:val="both"/>
        <w:rPr>
          <w:rFonts w:ascii="Times New Roman" w:hAnsi="Times New Roman" w:cs="Times New Roman"/>
          <w:sz w:val="18"/>
          <w:szCs w:val="18"/>
          <w:lang w:val="es-PE"/>
        </w:rPr>
      </w:pPr>
      <w:r w:rsidRPr="00682D7A">
        <w:rPr>
          <w:rFonts w:ascii="Times New Roman" w:hAnsi="Times New Roman" w:cs="Times New Roman"/>
          <w:sz w:val="18"/>
          <w:szCs w:val="18"/>
          <w:lang w:val="es-PE"/>
        </w:rPr>
        <w:tab/>
        <w:t xml:space="preserve">Sin perjuicio de lo dispuesto en el artículo anterior, el contratante, el asegurado o el beneficiario deben suministrar al asegurador, a su pedido, la información veraz, razonable y necesaria para verificar el siniestro o la extensión de la prestación a su cargo y </w:t>
      </w:r>
      <w:proofErr w:type="gramStart"/>
      <w:r w:rsidRPr="00682D7A">
        <w:rPr>
          <w:rFonts w:ascii="Times New Roman" w:hAnsi="Times New Roman" w:cs="Times New Roman"/>
          <w:sz w:val="18"/>
          <w:szCs w:val="18"/>
          <w:lang w:val="es-PE"/>
        </w:rPr>
        <w:t>permitirle</w:t>
      </w:r>
      <w:proofErr w:type="gramEnd"/>
      <w:r w:rsidRPr="00682D7A">
        <w:rPr>
          <w:rFonts w:ascii="Times New Roman" w:hAnsi="Times New Roman" w:cs="Times New Roman"/>
          <w:sz w:val="18"/>
          <w:szCs w:val="18"/>
          <w:lang w:val="es-PE"/>
        </w:rPr>
        <w:t xml:space="preserve"> las indagaciones necesarias a tales fines.</w:t>
      </w:r>
    </w:p>
  </w:footnote>
  <w:footnote w:id="3">
    <w:p w14:paraId="0551E4F6" w14:textId="77777777" w:rsidR="00682D7A" w:rsidRPr="00682D7A" w:rsidRDefault="00682D7A" w:rsidP="00682D7A">
      <w:pPr>
        <w:pStyle w:val="Textonotapie"/>
        <w:tabs>
          <w:tab w:val="left" w:pos="284"/>
        </w:tabs>
        <w:spacing w:after="120"/>
        <w:ind w:left="284" w:hanging="284"/>
        <w:jc w:val="both"/>
        <w:rPr>
          <w:rFonts w:ascii="Times New Roman" w:hAnsi="Times New Roman" w:cs="Times New Roman"/>
          <w:sz w:val="18"/>
          <w:szCs w:val="18"/>
          <w:lang w:val="es-PE"/>
        </w:rPr>
      </w:pPr>
      <w:r w:rsidRPr="00682D7A">
        <w:rPr>
          <w:rStyle w:val="Refdenotaalpie"/>
          <w:rFonts w:ascii="Times New Roman" w:hAnsi="Times New Roman" w:cs="Times New Roman"/>
          <w:sz w:val="18"/>
          <w:szCs w:val="18"/>
          <w:lang w:val="es-PE"/>
        </w:rPr>
        <w:footnoteRef/>
      </w:r>
      <w:r w:rsidRPr="00682D7A">
        <w:rPr>
          <w:rFonts w:ascii="Times New Roman" w:hAnsi="Times New Roman" w:cs="Times New Roman"/>
          <w:sz w:val="18"/>
          <w:szCs w:val="18"/>
          <w:lang w:val="es-PE"/>
        </w:rPr>
        <w:t xml:space="preserve"> </w:t>
      </w:r>
      <w:r w:rsidRPr="00682D7A">
        <w:rPr>
          <w:rFonts w:ascii="Times New Roman" w:hAnsi="Times New Roman" w:cs="Times New Roman"/>
          <w:sz w:val="18"/>
          <w:szCs w:val="18"/>
          <w:lang w:val="es-PE"/>
        </w:rPr>
        <w:tab/>
      </w:r>
      <w:r w:rsidRPr="00682D7A">
        <w:rPr>
          <w:rFonts w:ascii="Times New Roman" w:hAnsi="Times New Roman" w:cs="Times New Roman"/>
          <w:b/>
          <w:bCs/>
          <w:sz w:val="18"/>
          <w:szCs w:val="18"/>
          <w:lang w:val="es-PE"/>
        </w:rPr>
        <w:t>Ley del Contrato de Seguro</w:t>
      </w:r>
    </w:p>
    <w:p w14:paraId="31C96106" w14:textId="77777777" w:rsidR="00682D7A" w:rsidRPr="00682D7A" w:rsidRDefault="00682D7A" w:rsidP="00682D7A">
      <w:pPr>
        <w:pStyle w:val="Textonotapie"/>
        <w:tabs>
          <w:tab w:val="left" w:pos="284"/>
        </w:tabs>
        <w:spacing w:after="120"/>
        <w:ind w:left="284" w:hanging="284"/>
        <w:jc w:val="both"/>
        <w:rPr>
          <w:rFonts w:ascii="Times New Roman" w:hAnsi="Times New Roman" w:cs="Times New Roman"/>
          <w:b/>
          <w:bCs/>
          <w:sz w:val="18"/>
          <w:szCs w:val="18"/>
          <w:lang w:val="es-PE"/>
        </w:rPr>
      </w:pPr>
      <w:r w:rsidRPr="00682D7A">
        <w:rPr>
          <w:rFonts w:ascii="Times New Roman" w:hAnsi="Times New Roman" w:cs="Times New Roman"/>
          <w:sz w:val="18"/>
          <w:szCs w:val="18"/>
          <w:lang w:val="es-PE"/>
        </w:rPr>
        <w:tab/>
      </w:r>
      <w:r w:rsidRPr="00682D7A">
        <w:rPr>
          <w:rFonts w:ascii="Times New Roman" w:hAnsi="Times New Roman" w:cs="Times New Roman"/>
          <w:b/>
          <w:bCs/>
          <w:sz w:val="18"/>
          <w:szCs w:val="18"/>
          <w:lang w:val="es-PE"/>
        </w:rPr>
        <w:t>Artículo 73.- Fraude</w:t>
      </w:r>
    </w:p>
    <w:p w14:paraId="159BEABD" w14:textId="77777777" w:rsidR="00682D7A" w:rsidRPr="00682D7A" w:rsidRDefault="00682D7A" w:rsidP="00682D7A">
      <w:pPr>
        <w:pStyle w:val="Textonotapie"/>
        <w:tabs>
          <w:tab w:val="left" w:pos="284"/>
        </w:tabs>
        <w:spacing w:after="120"/>
        <w:ind w:left="284" w:hanging="284"/>
        <w:jc w:val="both"/>
        <w:rPr>
          <w:rFonts w:ascii="Times New Roman" w:hAnsi="Times New Roman" w:cs="Times New Roman"/>
          <w:sz w:val="18"/>
          <w:szCs w:val="18"/>
          <w:lang w:val="es-PE"/>
        </w:rPr>
      </w:pPr>
      <w:r w:rsidRPr="00682D7A">
        <w:rPr>
          <w:rFonts w:ascii="Times New Roman" w:hAnsi="Times New Roman" w:cs="Times New Roman"/>
          <w:sz w:val="18"/>
          <w:szCs w:val="18"/>
          <w:lang w:val="es-PE"/>
        </w:rPr>
        <w:tab/>
        <w:t>El asegurado pierde el derecho a ser indemnizado si actúa fraudulentamente, exagera los daños o emplea medios falsos para probarlos.</w:t>
      </w:r>
    </w:p>
  </w:footnote>
  <w:footnote w:id="4">
    <w:p w14:paraId="19891A0C" w14:textId="77777777" w:rsidR="00682D7A" w:rsidRPr="00682D7A" w:rsidRDefault="00682D7A" w:rsidP="00682D7A">
      <w:pPr>
        <w:pStyle w:val="Textonotapie"/>
        <w:tabs>
          <w:tab w:val="left" w:pos="284"/>
        </w:tabs>
        <w:spacing w:after="120"/>
        <w:ind w:left="284" w:hanging="284"/>
        <w:jc w:val="both"/>
        <w:rPr>
          <w:rFonts w:ascii="Times New Roman" w:hAnsi="Times New Roman" w:cs="Times New Roman"/>
          <w:b/>
          <w:bCs/>
          <w:sz w:val="18"/>
          <w:szCs w:val="18"/>
          <w:lang w:val="es-PE"/>
        </w:rPr>
      </w:pPr>
      <w:r w:rsidRPr="00682D7A">
        <w:rPr>
          <w:rStyle w:val="Refdenotaalpie"/>
          <w:rFonts w:ascii="Times New Roman" w:hAnsi="Times New Roman" w:cs="Times New Roman"/>
          <w:sz w:val="18"/>
          <w:szCs w:val="18"/>
          <w:lang w:val="es-PE"/>
        </w:rPr>
        <w:footnoteRef/>
      </w:r>
      <w:r w:rsidRPr="00682D7A">
        <w:rPr>
          <w:rFonts w:ascii="Times New Roman" w:hAnsi="Times New Roman" w:cs="Times New Roman"/>
          <w:sz w:val="18"/>
          <w:szCs w:val="18"/>
          <w:lang w:val="es-PE"/>
        </w:rPr>
        <w:t xml:space="preserve"> </w:t>
      </w:r>
      <w:r w:rsidRPr="00682D7A">
        <w:rPr>
          <w:rFonts w:ascii="Times New Roman" w:hAnsi="Times New Roman" w:cs="Times New Roman"/>
          <w:sz w:val="18"/>
          <w:szCs w:val="18"/>
          <w:lang w:val="es-PE"/>
        </w:rPr>
        <w:tab/>
      </w:r>
      <w:r w:rsidRPr="00682D7A">
        <w:rPr>
          <w:rFonts w:ascii="Times New Roman" w:hAnsi="Times New Roman" w:cs="Times New Roman"/>
          <w:b/>
          <w:bCs/>
          <w:sz w:val="18"/>
          <w:szCs w:val="18"/>
          <w:lang w:val="es-PE"/>
        </w:rPr>
        <w:t>Código Procesal Penal</w:t>
      </w:r>
    </w:p>
    <w:p w14:paraId="3BB8F97A" w14:textId="77777777" w:rsidR="00682D7A" w:rsidRPr="00682D7A" w:rsidRDefault="00682D7A" w:rsidP="00682D7A">
      <w:pPr>
        <w:pStyle w:val="Textonotapie"/>
        <w:tabs>
          <w:tab w:val="left" w:pos="284"/>
        </w:tabs>
        <w:spacing w:after="120"/>
        <w:ind w:left="284" w:hanging="284"/>
        <w:jc w:val="both"/>
        <w:rPr>
          <w:rFonts w:ascii="Times New Roman" w:hAnsi="Times New Roman" w:cs="Times New Roman"/>
          <w:sz w:val="18"/>
          <w:szCs w:val="18"/>
          <w:lang w:val="es-PE"/>
        </w:rPr>
      </w:pPr>
      <w:r w:rsidRPr="00682D7A">
        <w:rPr>
          <w:rFonts w:ascii="Times New Roman" w:hAnsi="Times New Roman" w:cs="Times New Roman"/>
          <w:sz w:val="18"/>
          <w:szCs w:val="18"/>
          <w:lang w:val="es-PE"/>
        </w:rPr>
        <w:tab/>
      </w:r>
      <w:r w:rsidRPr="00682D7A">
        <w:rPr>
          <w:rFonts w:ascii="Times New Roman" w:hAnsi="Times New Roman" w:cs="Times New Roman"/>
          <w:b/>
          <w:sz w:val="18"/>
          <w:szCs w:val="18"/>
          <w:lang w:val="es-PE"/>
        </w:rPr>
        <w:t>Artículo 326.- Facultad y obligación de denunciar</w:t>
      </w:r>
    </w:p>
    <w:p w14:paraId="4247A339" w14:textId="77777777" w:rsidR="00682D7A" w:rsidRPr="00682D7A" w:rsidRDefault="00682D7A" w:rsidP="00682D7A">
      <w:pPr>
        <w:pStyle w:val="Textonotapie"/>
        <w:tabs>
          <w:tab w:val="left" w:pos="567"/>
        </w:tabs>
        <w:spacing w:after="120"/>
        <w:ind w:left="644" w:hanging="360"/>
        <w:jc w:val="both"/>
        <w:rPr>
          <w:rFonts w:ascii="Times New Roman" w:hAnsi="Times New Roman" w:cs="Times New Roman"/>
          <w:sz w:val="18"/>
          <w:szCs w:val="18"/>
          <w:lang w:val="es-PE"/>
        </w:rPr>
      </w:pPr>
      <w:r w:rsidRPr="00682D7A">
        <w:rPr>
          <w:rFonts w:ascii="Times New Roman" w:hAnsi="Times New Roman" w:cs="Times New Roman"/>
          <w:sz w:val="18"/>
          <w:szCs w:val="18"/>
          <w:lang w:val="es-PE"/>
        </w:rPr>
        <w:t xml:space="preserve">1. </w:t>
      </w:r>
      <w:r w:rsidRPr="00682D7A">
        <w:rPr>
          <w:rFonts w:ascii="Times New Roman" w:hAnsi="Times New Roman" w:cs="Times New Roman"/>
          <w:sz w:val="18"/>
          <w:szCs w:val="18"/>
          <w:lang w:val="es-PE"/>
        </w:rPr>
        <w:tab/>
      </w:r>
      <w:r w:rsidRPr="00682D7A">
        <w:rPr>
          <w:rFonts w:ascii="Times New Roman" w:hAnsi="Times New Roman" w:cs="Times New Roman"/>
          <w:sz w:val="18"/>
          <w:szCs w:val="18"/>
          <w:lang w:val="es-PE"/>
        </w:rPr>
        <w:tab/>
        <w:t>Cualquier persona tiene la facultad de denunciar los hechos delictuosos ante la autoridad respectiva, siempre y cuando el ejercicio de la acción penal para perseguirlos sea público.</w:t>
      </w:r>
    </w:p>
    <w:p w14:paraId="514D9CBF" w14:textId="77777777" w:rsidR="00682D7A" w:rsidRPr="00682D7A" w:rsidRDefault="00682D7A" w:rsidP="00682D7A">
      <w:pPr>
        <w:pStyle w:val="Textonotapie"/>
        <w:tabs>
          <w:tab w:val="left" w:pos="567"/>
        </w:tabs>
        <w:spacing w:after="120"/>
        <w:ind w:left="644" w:hanging="360"/>
        <w:jc w:val="both"/>
        <w:rPr>
          <w:rFonts w:ascii="Times New Roman" w:hAnsi="Times New Roman" w:cs="Times New Roman"/>
          <w:sz w:val="18"/>
          <w:szCs w:val="18"/>
          <w:lang w:val="es-PE"/>
        </w:rPr>
      </w:pPr>
      <w:r w:rsidRPr="00682D7A">
        <w:rPr>
          <w:rFonts w:ascii="Times New Roman" w:hAnsi="Times New Roman" w:cs="Times New Roman"/>
          <w:sz w:val="18"/>
          <w:szCs w:val="18"/>
          <w:lang w:val="es-PE"/>
        </w:rPr>
        <w:t>(…)</w:t>
      </w:r>
    </w:p>
  </w:footnote>
  <w:footnote w:id="5">
    <w:p w14:paraId="29831977" w14:textId="77777777" w:rsidR="00682D7A" w:rsidRPr="00682D7A" w:rsidRDefault="00682D7A" w:rsidP="00682D7A">
      <w:pPr>
        <w:pStyle w:val="Textonotapie"/>
        <w:tabs>
          <w:tab w:val="left" w:pos="284"/>
        </w:tabs>
        <w:spacing w:after="120"/>
        <w:ind w:left="284" w:hanging="284"/>
        <w:jc w:val="both"/>
        <w:rPr>
          <w:rFonts w:ascii="Times New Roman" w:hAnsi="Times New Roman" w:cs="Times New Roman"/>
          <w:b/>
          <w:bCs/>
          <w:sz w:val="18"/>
          <w:szCs w:val="18"/>
          <w:lang w:val="es-PE"/>
        </w:rPr>
      </w:pPr>
      <w:r w:rsidRPr="00682D7A">
        <w:rPr>
          <w:rStyle w:val="Refdenotaalpie"/>
          <w:rFonts w:ascii="Times New Roman" w:hAnsi="Times New Roman" w:cs="Times New Roman"/>
          <w:sz w:val="18"/>
          <w:szCs w:val="18"/>
          <w:lang w:val="es-PE"/>
        </w:rPr>
        <w:footnoteRef/>
      </w:r>
      <w:r w:rsidRPr="00682D7A">
        <w:rPr>
          <w:rFonts w:ascii="Times New Roman" w:hAnsi="Times New Roman" w:cs="Times New Roman"/>
          <w:sz w:val="18"/>
          <w:szCs w:val="18"/>
          <w:lang w:val="es-PE"/>
        </w:rPr>
        <w:t xml:space="preserve"> </w:t>
      </w:r>
      <w:r w:rsidRPr="00682D7A">
        <w:rPr>
          <w:rFonts w:ascii="Times New Roman" w:hAnsi="Times New Roman" w:cs="Times New Roman"/>
          <w:sz w:val="18"/>
          <w:szCs w:val="18"/>
          <w:lang w:val="es-PE"/>
        </w:rPr>
        <w:tab/>
      </w:r>
      <w:r w:rsidRPr="00682D7A">
        <w:rPr>
          <w:rFonts w:ascii="Times New Roman" w:hAnsi="Times New Roman" w:cs="Times New Roman"/>
          <w:b/>
          <w:bCs/>
          <w:sz w:val="18"/>
          <w:szCs w:val="18"/>
          <w:lang w:val="es-PE"/>
        </w:rPr>
        <w:t>Código Procesal Penal</w:t>
      </w:r>
    </w:p>
    <w:p w14:paraId="2574A80C" w14:textId="77777777" w:rsidR="00682D7A" w:rsidRPr="00682D7A" w:rsidRDefault="00682D7A" w:rsidP="00682D7A">
      <w:pPr>
        <w:pStyle w:val="Textonotapie"/>
        <w:tabs>
          <w:tab w:val="left" w:pos="284"/>
        </w:tabs>
        <w:spacing w:after="120"/>
        <w:ind w:left="284" w:hanging="284"/>
        <w:jc w:val="both"/>
        <w:rPr>
          <w:rFonts w:ascii="Times New Roman" w:hAnsi="Times New Roman" w:cs="Times New Roman"/>
          <w:b/>
          <w:bCs/>
          <w:sz w:val="18"/>
          <w:szCs w:val="18"/>
          <w:lang w:val="es-PE"/>
        </w:rPr>
      </w:pPr>
      <w:r w:rsidRPr="00682D7A">
        <w:rPr>
          <w:rFonts w:ascii="Times New Roman" w:hAnsi="Times New Roman" w:cs="Times New Roman"/>
          <w:sz w:val="18"/>
          <w:szCs w:val="18"/>
          <w:lang w:val="es-PE"/>
        </w:rPr>
        <w:tab/>
      </w:r>
      <w:r w:rsidRPr="00682D7A">
        <w:rPr>
          <w:rFonts w:ascii="Times New Roman" w:hAnsi="Times New Roman" w:cs="Times New Roman"/>
          <w:b/>
          <w:bCs/>
          <w:sz w:val="18"/>
          <w:szCs w:val="18"/>
          <w:lang w:val="es-PE"/>
        </w:rPr>
        <w:t xml:space="preserve">Artículo 328.- Contenido y forma de la </w:t>
      </w:r>
      <w:proofErr w:type="gramStart"/>
      <w:r w:rsidRPr="00682D7A">
        <w:rPr>
          <w:rFonts w:ascii="Times New Roman" w:hAnsi="Times New Roman" w:cs="Times New Roman"/>
          <w:b/>
          <w:bCs/>
          <w:sz w:val="18"/>
          <w:szCs w:val="18"/>
          <w:lang w:val="es-PE"/>
        </w:rPr>
        <w:t>denuncia.-</w:t>
      </w:r>
      <w:proofErr w:type="gramEnd"/>
    </w:p>
    <w:p w14:paraId="075FA895" w14:textId="77777777" w:rsidR="00682D7A" w:rsidRPr="00682D7A" w:rsidRDefault="00682D7A" w:rsidP="00682D7A">
      <w:pPr>
        <w:pStyle w:val="Textonotapie"/>
        <w:tabs>
          <w:tab w:val="left" w:pos="567"/>
        </w:tabs>
        <w:spacing w:after="120"/>
        <w:ind w:left="644" w:hanging="360"/>
        <w:jc w:val="both"/>
        <w:rPr>
          <w:rFonts w:ascii="Times New Roman" w:hAnsi="Times New Roman" w:cs="Times New Roman"/>
          <w:sz w:val="18"/>
          <w:szCs w:val="18"/>
          <w:lang w:val="es-PE"/>
        </w:rPr>
      </w:pPr>
      <w:r w:rsidRPr="00682D7A">
        <w:rPr>
          <w:rFonts w:ascii="Times New Roman" w:hAnsi="Times New Roman" w:cs="Times New Roman"/>
          <w:sz w:val="18"/>
          <w:szCs w:val="18"/>
          <w:lang w:val="es-PE"/>
        </w:rPr>
        <w:t xml:space="preserve">1. </w:t>
      </w:r>
      <w:r w:rsidRPr="00682D7A">
        <w:rPr>
          <w:rFonts w:ascii="Times New Roman" w:hAnsi="Times New Roman" w:cs="Times New Roman"/>
          <w:sz w:val="18"/>
          <w:szCs w:val="18"/>
          <w:lang w:val="es-PE"/>
        </w:rPr>
        <w:tab/>
        <w:t>Toda denuncia debe contener la identidad del denunciante, una narración detallada y veraz de los hechos, y -de ser posible- la individualización del presunto responsable.</w:t>
      </w:r>
    </w:p>
    <w:p w14:paraId="7BD315E5" w14:textId="77777777" w:rsidR="00682D7A" w:rsidRPr="00682D7A" w:rsidRDefault="00682D7A" w:rsidP="00682D7A">
      <w:pPr>
        <w:pStyle w:val="Textonotapie"/>
        <w:tabs>
          <w:tab w:val="left" w:pos="567"/>
        </w:tabs>
        <w:spacing w:after="120"/>
        <w:ind w:left="644" w:hanging="360"/>
        <w:jc w:val="both"/>
        <w:rPr>
          <w:rFonts w:ascii="Times New Roman" w:hAnsi="Times New Roman" w:cs="Times New Roman"/>
          <w:sz w:val="18"/>
          <w:szCs w:val="18"/>
          <w:lang w:val="es-PE"/>
        </w:rPr>
      </w:pPr>
      <w:r w:rsidRPr="00682D7A">
        <w:rPr>
          <w:rFonts w:ascii="Times New Roman" w:hAnsi="Times New Roman" w:cs="Times New Roman"/>
          <w:sz w:val="18"/>
          <w:szCs w:val="18"/>
          <w:lang w:val="es-PE"/>
        </w:rPr>
        <w:t xml:space="preserve">2. </w:t>
      </w:r>
      <w:r w:rsidRPr="00682D7A">
        <w:rPr>
          <w:rFonts w:ascii="Times New Roman" w:hAnsi="Times New Roman" w:cs="Times New Roman"/>
          <w:sz w:val="18"/>
          <w:szCs w:val="18"/>
          <w:lang w:val="es-PE"/>
        </w:rPr>
        <w:tab/>
      </w:r>
      <w:r w:rsidRPr="00682D7A">
        <w:rPr>
          <w:rFonts w:ascii="Times New Roman" w:hAnsi="Times New Roman" w:cs="Times New Roman"/>
          <w:sz w:val="18"/>
          <w:szCs w:val="18"/>
          <w:lang w:val="es-PE"/>
        </w:rPr>
        <w:tab/>
        <w:t>La denuncia podrá formularse por cualquier medio. Si es escrita, el denunciante firmará y colocará su impresión digital. Si es verbal se sentará el acta respectiva. Si es digital se realizará a través de la plataforma Denuncia Digital.</w:t>
      </w:r>
    </w:p>
    <w:p w14:paraId="6BFBF41D" w14:textId="77777777" w:rsidR="00682D7A" w:rsidRPr="00682D7A" w:rsidRDefault="00682D7A" w:rsidP="00682D7A">
      <w:pPr>
        <w:pStyle w:val="Textonotapie"/>
        <w:tabs>
          <w:tab w:val="left" w:pos="567"/>
        </w:tabs>
        <w:spacing w:after="120"/>
        <w:ind w:left="644" w:hanging="360"/>
        <w:jc w:val="both"/>
        <w:rPr>
          <w:rFonts w:ascii="Times New Roman" w:hAnsi="Times New Roman" w:cs="Times New Roman"/>
          <w:sz w:val="18"/>
          <w:szCs w:val="18"/>
          <w:lang w:val="es-PE"/>
        </w:rPr>
      </w:pPr>
      <w:r w:rsidRPr="00682D7A">
        <w:rPr>
          <w:rFonts w:ascii="Times New Roman" w:hAnsi="Times New Roman" w:cs="Times New Roman"/>
          <w:sz w:val="18"/>
          <w:szCs w:val="18"/>
          <w:lang w:val="es-PE"/>
        </w:rPr>
        <w:t>3.</w:t>
      </w:r>
      <w:r w:rsidRPr="00682D7A">
        <w:rPr>
          <w:rFonts w:ascii="Times New Roman" w:hAnsi="Times New Roman" w:cs="Times New Roman"/>
          <w:sz w:val="18"/>
          <w:szCs w:val="18"/>
          <w:lang w:val="es-PE"/>
        </w:rPr>
        <w:tab/>
      </w:r>
      <w:r w:rsidRPr="00682D7A">
        <w:rPr>
          <w:rFonts w:ascii="Times New Roman" w:hAnsi="Times New Roman" w:cs="Times New Roman"/>
          <w:sz w:val="18"/>
          <w:szCs w:val="18"/>
          <w:lang w:val="es-PE"/>
        </w:rPr>
        <w:tab/>
        <w:t>En la denuncia escrita y verbal, si el denunciante no puede firmar se limitará a colocar su impresión digital, dejándose constancia en el acta del impedimento. En la denuncia digital, la identificación de la parte denunciante se realizará a través de la Plataforma Nacional de Identificación y Autenticación de la Identidad Digital (ID Perú).</w:t>
      </w:r>
    </w:p>
  </w:footnote>
  <w:footnote w:id="6">
    <w:p w14:paraId="3BD0FB8A" w14:textId="77777777" w:rsidR="00682D7A" w:rsidRPr="00682D7A" w:rsidRDefault="00682D7A" w:rsidP="00682D7A">
      <w:pPr>
        <w:pStyle w:val="Textonotapie"/>
        <w:tabs>
          <w:tab w:val="left" w:pos="284"/>
        </w:tabs>
        <w:spacing w:after="120"/>
        <w:ind w:left="284" w:hanging="284"/>
        <w:jc w:val="both"/>
        <w:rPr>
          <w:rFonts w:ascii="Times New Roman" w:hAnsi="Times New Roman" w:cs="Times New Roman"/>
          <w:sz w:val="18"/>
          <w:szCs w:val="18"/>
          <w:lang w:val="es-PE"/>
        </w:rPr>
      </w:pPr>
      <w:r w:rsidRPr="00682D7A">
        <w:rPr>
          <w:rStyle w:val="Refdenotaalpie"/>
          <w:rFonts w:ascii="Times New Roman" w:hAnsi="Times New Roman" w:cs="Times New Roman"/>
          <w:sz w:val="18"/>
          <w:szCs w:val="18"/>
          <w:lang w:val="es-PE"/>
        </w:rPr>
        <w:footnoteRef/>
      </w:r>
      <w:r w:rsidRPr="00682D7A">
        <w:rPr>
          <w:rFonts w:ascii="Times New Roman" w:hAnsi="Times New Roman" w:cs="Times New Roman"/>
          <w:sz w:val="18"/>
          <w:szCs w:val="18"/>
          <w:lang w:val="es-PE"/>
        </w:rPr>
        <w:t xml:space="preserve"> </w:t>
      </w:r>
      <w:r w:rsidRPr="00682D7A">
        <w:rPr>
          <w:rFonts w:ascii="Times New Roman" w:hAnsi="Times New Roman" w:cs="Times New Roman"/>
          <w:sz w:val="18"/>
          <w:szCs w:val="18"/>
          <w:lang w:val="es-PE"/>
        </w:rPr>
        <w:tab/>
        <w:t xml:space="preserve">Resolución DEFASEG </w:t>
      </w:r>
      <w:proofErr w:type="spellStart"/>
      <w:r w:rsidRPr="00682D7A">
        <w:rPr>
          <w:rFonts w:ascii="Times New Roman" w:hAnsi="Times New Roman" w:cs="Times New Roman"/>
          <w:sz w:val="18"/>
          <w:szCs w:val="18"/>
          <w:lang w:val="es-PE"/>
        </w:rPr>
        <w:t>n.°</w:t>
      </w:r>
      <w:proofErr w:type="spellEnd"/>
      <w:r w:rsidRPr="00682D7A">
        <w:rPr>
          <w:rFonts w:ascii="Times New Roman" w:hAnsi="Times New Roman" w:cs="Times New Roman"/>
          <w:sz w:val="18"/>
          <w:szCs w:val="18"/>
          <w:lang w:val="es-PE"/>
        </w:rPr>
        <w:t xml:space="preserve"> 88/25 (</w:t>
      </w:r>
      <w:r w:rsidRPr="00682D7A">
        <w:rPr>
          <w:rFonts w:ascii="Times New Roman" w:hAnsi="Times New Roman" w:cs="Times New Roman"/>
          <w:i/>
          <w:iCs/>
          <w:sz w:val="18"/>
          <w:szCs w:val="18"/>
          <w:u w:val="single"/>
          <w:lang w:val="es-PE"/>
        </w:rPr>
        <w:t xml:space="preserve">Expediente </w:t>
      </w:r>
      <w:proofErr w:type="spellStart"/>
      <w:r w:rsidRPr="00682D7A">
        <w:rPr>
          <w:rFonts w:ascii="Times New Roman" w:hAnsi="Times New Roman" w:cs="Times New Roman"/>
          <w:i/>
          <w:iCs/>
          <w:sz w:val="18"/>
          <w:szCs w:val="18"/>
          <w:u w:val="single"/>
          <w:lang w:val="es-PE"/>
        </w:rPr>
        <w:t>n.°</w:t>
      </w:r>
      <w:proofErr w:type="spellEnd"/>
      <w:r w:rsidRPr="00682D7A">
        <w:rPr>
          <w:rFonts w:ascii="Times New Roman" w:hAnsi="Times New Roman" w:cs="Times New Roman"/>
          <w:i/>
          <w:iCs/>
          <w:sz w:val="18"/>
          <w:szCs w:val="18"/>
          <w:u w:val="single"/>
          <w:lang w:val="es-PE"/>
        </w:rPr>
        <w:t xml:space="preserve"> 6100, Caso López Pérez v. Interseguro</w:t>
      </w:r>
      <w:r w:rsidRPr="00682D7A">
        <w:rPr>
          <w:rFonts w:ascii="Times New Roman" w:hAnsi="Times New Roman" w:cs="Times New Roman"/>
          <w:sz w:val="18"/>
          <w:szCs w:val="18"/>
          <w:lang w:val="es-PE"/>
        </w:rPr>
        <w:t>) del 9 de junio de 2025.</w:t>
      </w:r>
    </w:p>
  </w:footnote>
  <w:footnote w:id="7">
    <w:p w14:paraId="5B4EB27A" w14:textId="77777777" w:rsidR="00682D7A" w:rsidRPr="00682D7A" w:rsidRDefault="00682D7A" w:rsidP="00682D7A">
      <w:pPr>
        <w:pStyle w:val="Textonotapie"/>
        <w:tabs>
          <w:tab w:val="left" w:pos="284"/>
        </w:tabs>
        <w:spacing w:after="120"/>
        <w:ind w:left="284" w:hanging="284"/>
        <w:jc w:val="both"/>
        <w:rPr>
          <w:rFonts w:ascii="Times New Roman" w:hAnsi="Times New Roman" w:cs="Times New Roman"/>
          <w:sz w:val="18"/>
          <w:szCs w:val="18"/>
          <w:lang w:val="es-PE"/>
        </w:rPr>
      </w:pPr>
      <w:r w:rsidRPr="00682D7A">
        <w:rPr>
          <w:rStyle w:val="Refdenotaalpie"/>
          <w:rFonts w:ascii="Times New Roman" w:hAnsi="Times New Roman" w:cs="Times New Roman"/>
          <w:sz w:val="18"/>
          <w:szCs w:val="18"/>
          <w:lang w:val="es-PE"/>
        </w:rPr>
        <w:footnoteRef/>
      </w:r>
      <w:r w:rsidRPr="00682D7A">
        <w:rPr>
          <w:rFonts w:ascii="Times New Roman" w:hAnsi="Times New Roman" w:cs="Times New Roman"/>
          <w:sz w:val="18"/>
          <w:szCs w:val="18"/>
          <w:lang w:val="es-PE"/>
        </w:rPr>
        <w:t xml:space="preserve"> </w:t>
      </w:r>
      <w:r w:rsidRPr="00682D7A">
        <w:rPr>
          <w:rFonts w:ascii="Times New Roman" w:hAnsi="Times New Roman" w:cs="Times New Roman"/>
          <w:sz w:val="18"/>
          <w:szCs w:val="18"/>
          <w:lang w:val="es-PE"/>
        </w:rPr>
        <w:tab/>
        <w:t xml:space="preserve">Resolución DEFASEG </w:t>
      </w:r>
      <w:proofErr w:type="spellStart"/>
      <w:r w:rsidRPr="00682D7A">
        <w:rPr>
          <w:rFonts w:ascii="Times New Roman" w:hAnsi="Times New Roman" w:cs="Times New Roman"/>
          <w:sz w:val="18"/>
          <w:szCs w:val="18"/>
          <w:lang w:val="es-PE"/>
        </w:rPr>
        <w:t>n.°</w:t>
      </w:r>
      <w:proofErr w:type="spellEnd"/>
      <w:r w:rsidRPr="00682D7A">
        <w:rPr>
          <w:rFonts w:ascii="Times New Roman" w:hAnsi="Times New Roman" w:cs="Times New Roman"/>
          <w:sz w:val="18"/>
          <w:szCs w:val="18"/>
          <w:lang w:val="es-PE"/>
        </w:rPr>
        <w:t xml:space="preserve"> 111/25 (</w:t>
      </w:r>
      <w:r w:rsidRPr="00682D7A">
        <w:rPr>
          <w:rFonts w:ascii="Times New Roman" w:hAnsi="Times New Roman" w:cs="Times New Roman"/>
          <w:i/>
          <w:iCs/>
          <w:sz w:val="18"/>
          <w:szCs w:val="18"/>
          <w:u w:val="single"/>
          <w:lang w:val="es-PE"/>
        </w:rPr>
        <w:t xml:space="preserve">Expediente </w:t>
      </w:r>
      <w:proofErr w:type="spellStart"/>
      <w:r w:rsidRPr="00682D7A">
        <w:rPr>
          <w:rFonts w:ascii="Times New Roman" w:hAnsi="Times New Roman" w:cs="Times New Roman"/>
          <w:i/>
          <w:iCs/>
          <w:sz w:val="18"/>
          <w:szCs w:val="18"/>
          <w:u w:val="single"/>
          <w:lang w:val="es-PE"/>
        </w:rPr>
        <w:t>n.°</w:t>
      </w:r>
      <w:proofErr w:type="spellEnd"/>
      <w:r w:rsidRPr="00682D7A">
        <w:rPr>
          <w:rFonts w:ascii="Times New Roman" w:hAnsi="Times New Roman" w:cs="Times New Roman"/>
          <w:i/>
          <w:iCs/>
          <w:sz w:val="18"/>
          <w:szCs w:val="18"/>
          <w:u w:val="single"/>
          <w:lang w:val="es-PE"/>
        </w:rPr>
        <w:t xml:space="preserve"> 6283, Caso Martín Román v. Interseguro</w:t>
      </w:r>
      <w:r w:rsidRPr="00682D7A">
        <w:rPr>
          <w:rFonts w:ascii="Times New Roman" w:hAnsi="Times New Roman" w:cs="Times New Roman"/>
          <w:sz w:val="18"/>
          <w:szCs w:val="18"/>
          <w:lang w:val="es-PE"/>
        </w:rPr>
        <w:t>) del 17 de julio de 2025.</w:t>
      </w:r>
    </w:p>
  </w:footnote>
  <w:footnote w:id="8">
    <w:p w14:paraId="7521C7E3" w14:textId="77777777" w:rsidR="00682D7A" w:rsidRPr="00682D7A" w:rsidRDefault="00682D7A" w:rsidP="00682D7A">
      <w:pPr>
        <w:pStyle w:val="Textonotapie"/>
        <w:tabs>
          <w:tab w:val="left" w:pos="284"/>
        </w:tabs>
        <w:spacing w:after="120"/>
        <w:ind w:left="284" w:hanging="284"/>
        <w:jc w:val="both"/>
        <w:rPr>
          <w:rFonts w:ascii="Times New Roman" w:hAnsi="Times New Roman" w:cs="Times New Roman"/>
          <w:sz w:val="18"/>
          <w:szCs w:val="18"/>
          <w:lang w:val="es-PE"/>
        </w:rPr>
      </w:pPr>
      <w:r w:rsidRPr="00682D7A">
        <w:rPr>
          <w:rStyle w:val="Refdenotaalpie"/>
          <w:rFonts w:ascii="Times New Roman" w:hAnsi="Times New Roman" w:cs="Times New Roman"/>
          <w:sz w:val="18"/>
          <w:szCs w:val="18"/>
          <w:lang w:val="es-PE"/>
        </w:rPr>
        <w:footnoteRef/>
      </w:r>
      <w:r w:rsidRPr="00682D7A">
        <w:rPr>
          <w:rFonts w:ascii="Times New Roman" w:hAnsi="Times New Roman" w:cs="Times New Roman"/>
          <w:sz w:val="18"/>
          <w:szCs w:val="18"/>
          <w:lang w:val="es-PE"/>
        </w:rPr>
        <w:t xml:space="preserve"> </w:t>
      </w:r>
      <w:r w:rsidRPr="00682D7A">
        <w:rPr>
          <w:rFonts w:ascii="Times New Roman" w:hAnsi="Times New Roman" w:cs="Times New Roman"/>
          <w:sz w:val="18"/>
          <w:szCs w:val="18"/>
          <w:lang w:val="es-PE"/>
        </w:rPr>
        <w:tab/>
      </w:r>
      <w:bookmarkStart w:id="1" w:name="_Hlk206449109"/>
      <w:r w:rsidRPr="00682D7A">
        <w:rPr>
          <w:rFonts w:ascii="Times New Roman" w:hAnsi="Times New Roman" w:cs="Times New Roman"/>
          <w:sz w:val="18"/>
          <w:szCs w:val="18"/>
          <w:lang w:val="es-PE"/>
        </w:rPr>
        <w:t xml:space="preserve">Resolución DEFASEG </w:t>
      </w:r>
      <w:proofErr w:type="spellStart"/>
      <w:r w:rsidRPr="00682D7A">
        <w:rPr>
          <w:rFonts w:ascii="Times New Roman" w:hAnsi="Times New Roman" w:cs="Times New Roman"/>
          <w:sz w:val="18"/>
          <w:szCs w:val="18"/>
          <w:lang w:val="es-PE"/>
        </w:rPr>
        <w:t>n.°</w:t>
      </w:r>
      <w:proofErr w:type="spellEnd"/>
      <w:r w:rsidRPr="00682D7A">
        <w:rPr>
          <w:rFonts w:ascii="Times New Roman" w:hAnsi="Times New Roman" w:cs="Times New Roman"/>
          <w:sz w:val="18"/>
          <w:szCs w:val="18"/>
          <w:lang w:val="es-PE"/>
        </w:rPr>
        <w:t xml:space="preserve"> 25/21 (</w:t>
      </w:r>
      <w:r w:rsidRPr="00682D7A">
        <w:rPr>
          <w:rFonts w:ascii="Times New Roman" w:hAnsi="Times New Roman" w:cs="Times New Roman"/>
          <w:i/>
          <w:iCs/>
          <w:sz w:val="18"/>
          <w:szCs w:val="18"/>
          <w:u w:val="single"/>
          <w:lang w:val="es-PE"/>
        </w:rPr>
        <w:t xml:space="preserve">Expediente </w:t>
      </w:r>
      <w:proofErr w:type="spellStart"/>
      <w:r w:rsidRPr="00682D7A">
        <w:rPr>
          <w:rFonts w:ascii="Times New Roman" w:hAnsi="Times New Roman" w:cs="Times New Roman"/>
          <w:i/>
          <w:iCs/>
          <w:sz w:val="18"/>
          <w:szCs w:val="18"/>
          <w:u w:val="single"/>
          <w:lang w:val="es-PE"/>
        </w:rPr>
        <w:t>n.°</w:t>
      </w:r>
      <w:proofErr w:type="spellEnd"/>
      <w:r w:rsidRPr="00682D7A">
        <w:rPr>
          <w:rFonts w:ascii="Times New Roman" w:hAnsi="Times New Roman" w:cs="Times New Roman"/>
          <w:i/>
          <w:iCs/>
          <w:sz w:val="18"/>
          <w:szCs w:val="18"/>
          <w:u w:val="single"/>
          <w:lang w:val="es-PE"/>
        </w:rPr>
        <w:t xml:space="preserve"> 4445, Caso Calero Janampa v. Pacífico</w:t>
      </w:r>
      <w:r w:rsidRPr="00682D7A">
        <w:rPr>
          <w:rFonts w:ascii="Times New Roman" w:hAnsi="Times New Roman" w:cs="Times New Roman"/>
          <w:sz w:val="18"/>
          <w:szCs w:val="18"/>
          <w:lang w:val="es-PE"/>
        </w:rPr>
        <w:t>) del 5 de marzo de 2021.</w:t>
      </w:r>
      <w:bookmarkEnd w:id="1"/>
    </w:p>
  </w:footnote>
  <w:footnote w:id="9">
    <w:p w14:paraId="2BFE39F1" w14:textId="77777777" w:rsidR="00682D7A" w:rsidRPr="00682D7A" w:rsidRDefault="00682D7A" w:rsidP="00682D7A">
      <w:pPr>
        <w:pStyle w:val="Textonotapie"/>
        <w:tabs>
          <w:tab w:val="left" w:pos="284"/>
        </w:tabs>
        <w:spacing w:after="120"/>
        <w:ind w:left="284" w:hanging="284"/>
        <w:jc w:val="both"/>
        <w:rPr>
          <w:rFonts w:ascii="Times New Roman" w:hAnsi="Times New Roman" w:cs="Times New Roman"/>
          <w:b/>
          <w:bCs/>
          <w:sz w:val="18"/>
          <w:szCs w:val="18"/>
          <w:lang w:val="es-PE"/>
        </w:rPr>
      </w:pPr>
      <w:r w:rsidRPr="00682D7A">
        <w:rPr>
          <w:rStyle w:val="Refdenotaalpie"/>
          <w:rFonts w:ascii="Times New Roman" w:hAnsi="Times New Roman" w:cs="Times New Roman"/>
          <w:sz w:val="18"/>
          <w:szCs w:val="18"/>
          <w:lang w:val="es-PE"/>
        </w:rPr>
        <w:footnoteRef/>
      </w:r>
      <w:r w:rsidRPr="00682D7A">
        <w:rPr>
          <w:rFonts w:ascii="Times New Roman" w:hAnsi="Times New Roman" w:cs="Times New Roman"/>
          <w:sz w:val="18"/>
          <w:szCs w:val="18"/>
          <w:lang w:val="es-PE"/>
        </w:rPr>
        <w:t xml:space="preserve"> </w:t>
      </w:r>
      <w:r w:rsidRPr="00682D7A">
        <w:rPr>
          <w:rFonts w:ascii="Times New Roman" w:hAnsi="Times New Roman" w:cs="Times New Roman"/>
          <w:sz w:val="18"/>
          <w:szCs w:val="18"/>
          <w:lang w:val="es-PE"/>
        </w:rPr>
        <w:tab/>
      </w:r>
      <w:r w:rsidRPr="00682D7A">
        <w:rPr>
          <w:rFonts w:ascii="Times New Roman" w:hAnsi="Times New Roman" w:cs="Times New Roman"/>
          <w:b/>
          <w:bCs/>
          <w:sz w:val="18"/>
          <w:szCs w:val="18"/>
          <w:lang w:val="es-PE"/>
        </w:rPr>
        <w:t>Código de Consumo</w:t>
      </w:r>
    </w:p>
    <w:p w14:paraId="53018A5F" w14:textId="77777777" w:rsidR="00682D7A" w:rsidRPr="00682D7A" w:rsidRDefault="00682D7A" w:rsidP="00682D7A">
      <w:pPr>
        <w:pStyle w:val="Textonotapie"/>
        <w:tabs>
          <w:tab w:val="left" w:pos="284"/>
        </w:tabs>
        <w:spacing w:after="120"/>
        <w:ind w:left="284" w:hanging="284"/>
        <w:jc w:val="both"/>
        <w:rPr>
          <w:rFonts w:ascii="Times New Roman" w:hAnsi="Times New Roman" w:cs="Times New Roman"/>
          <w:b/>
          <w:bCs/>
          <w:sz w:val="18"/>
          <w:szCs w:val="18"/>
          <w:lang w:val="es-PE"/>
        </w:rPr>
      </w:pPr>
      <w:r w:rsidRPr="00682D7A">
        <w:rPr>
          <w:rFonts w:ascii="Times New Roman" w:hAnsi="Times New Roman" w:cs="Times New Roman"/>
          <w:sz w:val="18"/>
          <w:szCs w:val="18"/>
          <w:lang w:val="es-PE"/>
        </w:rPr>
        <w:tab/>
      </w:r>
      <w:r w:rsidRPr="00682D7A">
        <w:rPr>
          <w:rFonts w:ascii="Times New Roman" w:hAnsi="Times New Roman" w:cs="Times New Roman"/>
          <w:b/>
          <w:bCs/>
          <w:sz w:val="18"/>
          <w:szCs w:val="18"/>
          <w:lang w:val="es-PE"/>
        </w:rPr>
        <w:t>Artículo 19.- Obligación de los proveedores</w:t>
      </w:r>
    </w:p>
    <w:p w14:paraId="7D2644B6" w14:textId="77777777" w:rsidR="00682D7A" w:rsidRPr="00682D7A" w:rsidRDefault="00682D7A" w:rsidP="00682D7A">
      <w:pPr>
        <w:pStyle w:val="Textonotapie"/>
        <w:tabs>
          <w:tab w:val="left" w:pos="284"/>
        </w:tabs>
        <w:spacing w:after="120"/>
        <w:ind w:left="284" w:hanging="284"/>
        <w:jc w:val="both"/>
        <w:rPr>
          <w:rFonts w:ascii="Times New Roman" w:hAnsi="Times New Roman" w:cs="Times New Roman"/>
          <w:sz w:val="18"/>
          <w:szCs w:val="18"/>
          <w:lang w:val="es-PE"/>
        </w:rPr>
      </w:pPr>
      <w:r w:rsidRPr="00682D7A">
        <w:rPr>
          <w:rFonts w:ascii="Times New Roman" w:hAnsi="Times New Roman" w:cs="Times New Roman"/>
          <w:sz w:val="18"/>
          <w:szCs w:val="18"/>
          <w:lang w:val="es-PE"/>
        </w:rPr>
        <w:tab/>
        <w:t>El proveedor responde por la idoneidad y calidad de los productos y servicios ofrecidos; por la autenticidad de las marcas y leyendas que exhiben sus productos o del signo que respalda al prestador del servicio, por la falta de conformidad entre la publicidad comercial de los productos y servicios y éstos, así como por el contenido y la vida útil del producto indicado en el envase, en lo que corresponda.</w:t>
      </w:r>
    </w:p>
  </w:footnote>
  <w:footnote w:id="10">
    <w:p w14:paraId="4026F107" w14:textId="77777777" w:rsidR="00682D7A" w:rsidRPr="00682D7A" w:rsidRDefault="00682D7A" w:rsidP="00682D7A">
      <w:pPr>
        <w:pStyle w:val="Textonotapie"/>
        <w:tabs>
          <w:tab w:val="left" w:pos="284"/>
        </w:tabs>
        <w:spacing w:after="120"/>
        <w:ind w:left="284" w:hanging="284"/>
        <w:jc w:val="both"/>
        <w:rPr>
          <w:rFonts w:ascii="Times New Roman" w:hAnsi="Times New Roman" w:cs="Times New Roman"/>
          <w:sz w:val="18"/>
          <w:szCs w:val="18"/>
          <w:lang w:val="es-PE"/>
        </w:rPr>
      </w:pPr>
      <w:r w:rsidRPr="00682D7A">
        <w:rPr>
          <w:rStyle w:val="Refdenotaalpie"/>
          <w:rFonts w:ascii="Times New Roman" w:hAnsi="Times New Roman" w:cs="Times New Roman"/>
          <w:sz w:val="18"/>
          <w:szCs w:val="18"/>
          <w:lang w:val="es-PE"/>
        </w:rPr>
        <w:footnoteRef/>
      </w:r>
      <w:r w:rsidRPr="00682D7A">
        <w:rPr>
          <w:rFonts w:ascii="Times New Roman" w:hAnsi="Times New Roman" w:cs="Times New Roman"/>
          <w:sz w:val="18"/>
          <w:szCs w:val="18"/>
          <w:lang w:val="es-PE"/>
        </w:rPr>
        <w:t xml:space="preserve"> </w:t>
      </w:r>
      <w:r w:rsidRPr="00682D7A">
        <w:rPr>
          <w:rFonts w:ascii="Times New Roman" w:hAnsi="Times New Roman" w:cs="Times New Roman"/>
          <w:sz w:val="18"/>
          <w:szCs w:val="18"/>
          <w:lang w:val="es-PE"/>
        </w:rPr>
        <w:tab/>
      </w:r>
      <w:r w:rsidRPr="00682D7A">
        <w:rPr>
          <w:rFonts w:ascii="Times New Roman" w:hAnsi="Times New Roman" w:cs="Times New Roman"/>
          <w:b/>
          <w:bCs/>
          <w:sz w:val="18"/>
          <w:szCs w:val="18"/>
          <w:lang w:val="es-PE"/>
        </w:rPr>
        <w:t>Código de Consumo</w:t>
      </w:r>
    </w:p>
    <w:p w14:paraId="30F97D93" w14:textId="77777777" w:rsidR="00682D7A" w:rsidRPr="00682D7A" w:rsidRDefault="00682D7A" w:rsidP="00682D7A">
      <w:pPr>
        <w:pStyle w:val="Textonotapie"/>
        <w:tabs>
          <w:tab w:val="left" w:pos="284"/>
        </w:tabs>
        <w:spacing w:after="120"/>
        <w:ind w:left="284" w:hanging="284"/>
        <w:jc w:val="both"/>
        <w:rPr>
          <w:rFonts w:ascii="Times New Roman" w:hAnsi="Times New Roman" w:cs="Times New Roman"/>
          <w:b/>
          <w:bCs/>
          <w:sz w:val="18"/>
          <w:szCs w:val="18"/>
          <w:lang w:val="es-PE"/>
        </w:rPr>
      </w:pPr>
      <w:r w:rsidRPr="00682D7A">
        <w:rPr>
          <w:rFonts w:ascii="Times New Roman" w:hAnsi="Times New Roman" w:cs="Times New Roman"/>
          <w:b/>
          <w:bCs/>
          <w:sz w:val="18"/>
          <w:szCs w:val="18"/>
          <w:lang w:val="es-PE"/>
        </w:rPr>
        <w:tab/>
        <w:t>Artículo 108.- Infracciones administrativas.</w:t>
      </w:r>
    </w:p>
    <w:p w14:paraId="6E5336AF" w14:textId="77777777" w:rsidR="00682D7A" w:rsidRPr="00682D7A" w:rsidRDefault="00682D7A" w:rsidP="00682D7A">
      <w:pPr>
        <w:pStyle w:val="Textonotapie"/>
        <w:tabs>
          <w:tab w:val="left" w:pos="284"/>
        </w:tabs>
        <w:spacing w:after="120"/>
        <w:ind w:left="284" w:hanging="284"/>
        <w:jc w:val="both"/>
        <w:rPr>
          <w:rFonts w:ascii="Times New Roman" w:hAnsi="Times New Roman" w:cs="Times New Roman"/>
          <w:sz w:val="18"/>
          <w:szCs w:val="18"/>
          <w:lang w:val="es-PE"/>
        </w:rPr>
      </w:pPr>
      <w:r w:rsidRPr="00682D7A">
        <w:rPr>
          <w:rFonts w:ascii="Times New Roman" w:hAnsi="Times New Roman" w:cs="Times New Roman"/>
          <w:sz w:val="18"/>
          <w:szCs w:val="18"/>
          <w:lang w:val="es-PE"/>
        </w:rPr>
        <w:t xml:space="preserve">      Constituye infracción administrativa la conducta del proveedor que transgrede las disposiciones del presente Código, tanto si ello implica violar los derechos reconocidos a los consumidores como incumplir las obligaciones que estas normas imponen a los proveedores. También son supuestos de infracción administrativa el incumplimiento de acuerdos conciliatorios o cualquier otro acuerdo que de forma indubitable deje constancia de la manifestación de voluntad expresa de las partes de dar por culminada la controversia, de laudos arbitrales, y aquellos previstos en el Decreto Legislativo </w:t>
      </w:r>
      <w:proofErr w:type="spellStart"/>
      <w:r w:rsidRPr="00682D7A">
        <w:rPr>
          <w:rFonts w:ascii="Times New Roman" w:hAnsi="Times New Roman" w:cs="Times New Roman"/>
          <w:sz w:val="18"/>
          <w:szCs w:val="18"/>
          <w:lang w:val="es-PE"/>
        </w:rPr>
        <w:t>Nº</w:t>
      </w:r>
      <w:proofErr w:type="spellEnd"/>
      <w:r w:rsidRPr="00682D7A">
        <w:rPr>
          <w:rFonts w:ascii="Times New Roman" w:hAnsi="Times New Roman" w:cs="Times New Roman"/>
          <w:sz w:val="18"/>
          <w:szCs w:val="18"/>
          <w:lang w:val="es-PE"/>
        </w:rPr>
        <w:t xml:space="preserve"> 807, Ley sobre Facultades, Normas y Organización del Indecopi, y en las normas que lo complementen o sustituyan.</w:t>
      </w:r>
    </w:p>
    <w:p w14:paraId="0965BFF4" w14:textId="77777777" w:rsidR="00682D7A" w:rsidRPr="00682D7A" w:rsidRDefault="00682D7A" w:rsidP="00682D7A">
      <w:pPr>
        <w:pStyle w:val="Textonotapie"/>
        <w:tabs>
          <w:tab w:val="left" w:pos="284"/>
        </w:tabs>
        <w:spacing w:after="120"/>
        <w:ind w:left="284" w:hanging="284"/>
        <w:jc w:val="both"/>
        <w:rPr>
          <w:rFonts w:ascii="Times New Roman" w:hAnsi="Times New Roman" w:cs="Times New Roman"/>
          <w:sz w:val="18"/>
          <w:szCs w:val="18"/>
          <w:lang w:val="es-PE"/>
        </w:rPr>
      </w:pPr>
      <w:r w:rsidRPr="00682D7A">
        <w:rPr>
          <w:rFonts w:ascii="Times New Roman" w:hAnsi="Times New Roman" w:cs="Times New Roman"/>
          <w:sz w:val="18"/>
          <w:szCs w:val="18"/>
          <w:lang w:val="es-PE"/>
        </w:rPr>
        <w:tab/>
        <w:t>(…)</w:t>
      </w:r>
    </w:p>
  </w:footnote>
  <w:footnote w:id="11">
    <w:p w14:paraId="1F81A82B" w14:textId="77777777" w:rsidR="00682D7A" w:rsidRPr="00682D7A" w:rsidRDefault="00682D7A" w:rsidP="00682D7A">
      <w:pPr>
        <w:pStyle w:val="Textonotapie"/>
        <w:tabs>
          <w:tab w:val="left" w:pos="284"/>
        </w:tabs>
        <w:spacing w:after="120"/>
        <w:ind w:left="284" w:hanging="284"/>
        <w:jc w:val="both"/>
        <w:rPr>
          <w:rFonts w:ascii="Times New Roman" w:hAnsi="Times New Roman" w:cs="Times New Roman"/>
          <w:sz w:val="18"/>
          <w:szCs w:val="18"/>
          <w:lang w:val="es-PE"/>
        </w:rPr>
      </w:pPr>
      <w:r w:rsidRPr="00682D7A">
        <w:rPr>
          <w:rStyle w:val="Refdenotaalpie"/>
          <w:rFonts w:ascii="Times New Roman" w:hAnsi="Times New Roman" w:cs="Times New Roman"/>
          <w:sz w:val="18"/>
          <w:szCs w:val="18"/>
          <w:lang w:val="es-PE"/>
        </w:rPr>
        <w:footnoteRef/>
      </w:r>
      <w:r w:rsidRPr="00682D7A">
        <w:rPr>
          <w:rFonts w:ascii="Times New Roman" w:hAnsi="Times New Roman" w:cs="Times New Roman"/>
          <w:sz w:val="18"/>
          <w:szCs w:val="18"/>
          <w:lang w:val="es-PE"/>
        </w:rPr>
        <w:t xml:space="preserve"> </w:t>
      </w:r>
      <w:r w:rsidRPr="00682D7A">
        <w:rPr>
          <w:rFonts w:ascii="Times New Roman" w:hAnsi="Times New Roman" w:cs="Times New Roman"/>
          <w:sz w:val="18"/>
          <w:szCs w:val="18"/>
          <w:lang w:val="es-PE"/>
        </w:rPr>
        <w:tab/>
        <w:t xml:space="preserve">Resolución de Impugnación DEFASEG </w:t>
      </w:r>
      <w:proofErr w:type="spellStart"/>
      <w:r w:rsidRPr="00682D7A">
        <w:rPr>
          <w:rFonts w:ascii="Times New Roman" w:hAnsi="Times New Roman" w:cs="Times New Roman"/>
          <w:sz w:val="18"/>
          <w:szCs w:val="18"/>
          <w:lang w:val="es-PE"/>
        </w:rPr>
        <w:t>n.°</w:t>
      </w:r>
      <w:proofErr w:type="spellEnd"/>
      <w:r w:rsidRPr="00682D7A">
        <w:rPr>
          <w:rFonts w:ascii="Times New Roman" w:hAnsi="Times New Roman" w:cs="Times New Roman"/>
          <w:sz w:val="18"/>
          <w:szCs w:val="18"/>
          <w:lang w:val="es-PE"/>
        </w:rPr>
        <w:t xml:space="preserve"> 40/25 (</w:t>
      </w:r>
      <w:r w:rsidRPr="00682D7A">
        <w:rPr>
          <w:rFonts w:ascii="Times New Roman" w:hAnsi="Times New Roman" w:cs="Times New Roman"/>
          <w:i/>
          <w:iCs/>
          <w:sz w:val="18"/>
          <w:szCs w:val="18"/>
          <w:u w:val="single"/>
          <w:lang w:val="es-PE"/>
        </w:rPr>
        <w:t xml:space="preserve">Expediente </w:t>
      </w:r>
      <w:proofErr w:type="spellStart"/>
      <w:r w:rsidRPr="00682D7A">
        <w:rPr>
          <w:rFonts w:ascii="Times New Roman" w:hAnsi="Times New Roman" w:cs="Times New Roman"/>
          <w:i/>
          <w:iCs/>
          <w:sz w:val="18"/>
          <w:szCs w:val="18"/>
          <w:u w:val="single"/>
          <w:lang w:val="es-PE"/>
        </w:rPr>
        <w:t>n.°</w:t>
      </w:r>
      <w:proofErr w:type="spellEnd"/>
      <w:r w:rsidRPr="00682D7A">
        <w:rPr>
          <w:rFonts w:ascii="Times New Roman" w:hAnsi="Times New Roman" w:cs="Times New Roman"/>
          <w:i/>
          <w:iCs/>
          <w:sz w:val="18"/>
          <w:szCs w:val="18"/>
          <w:u w:val="single"/>
          <w:lang w:val="es-PE"/>
        </w:rPr>
        <w:t xml:space="preserve"> 6279, Caso Paredes Colorado v. Interseguro</w:t>
      </w:r>
      <w:r w:rsidRPr="00682D7A">
        <w:rPr>
          <w:rFonts w:ascii="Times New Roman" w:hAnsi="Times New Roman" w:cs="Times New Roman"/>
          <w:sz w:val="18"/>
          <w:szCs w:val="18"/>
          <w:lang w:val="es-PE"/>
        </w:rPr>
        <w:t>) del 4 de agosto de 2025.</w:t>
      </w:r>
    </w:p>
  </w:footnote>
  <w:footnote w:id="12">
    <w:p w14:paraId="4C1D39C2" w14:textId="77777777" w:rsidR="00682D7A" w:rsidRPr="00682D7A" w:rsidRDefault="00682D7A" w:rsidP="00682D7A">
      <w:pPr>
        <w:pStyle w:val="Textonotapie"/>
        <w:tabs>
          <w:tab w:val="left" w:pos="284"/>
        </w:tabs>
        <w:spacing w:after="120"/>
        <w:ind w:left="284" w:hanging="284"/>
        <w:jc w:val="both"/>
        <w:rPr>
          <w:rFonts w:ascii="Times New Roman" w:hAnsi="Times New Roman" w:cs="Times New Roman"/>
          <w:sz w:val="18"/>
          <w:szCs w:val="18"/>
          <w:lang w:val="es-PE"/>
        </w:rPr>
      </w:pPr>
      <w:r w:rsidRPr="00682D7A">
        <w:rPr>
          <w:rStyle w:val="Refdenotaalpie"/>
          <w:rFonts w:ascii="Times New Roman" w:hAnsi="Times New Roman" w:cs="Times New Roman"/>
          <w:sz w:val="18"/>
          <w:szCs w:val="18"/>
          <w:lang w:val="es-PE"/>
        </w:rPr>
        <w:footnoteRef/>
      </w:r>
      <w:r w:rsidRPr="00682D7A">
        <w:rPr>
          <w:rFonts w:ascii="Times New Roman" w:hAnsi="Times New Roman" w:cs="Times New Roman"/>
          <w:sz w:val="18"/>
          <w:szCs w:val="18"/>
          <w:lang w:val="es-PE"/>
        </w:rPr>
        <w:t xml:space="preserve"> </w:t>
      </w:r>
      <w:r w:rsidRPr="00682D7A">
        <w:rPr>
          <w:rFonts w:ascii="Times New Roman" w:hAnsi="Times New Roman" w:cs="Times New Roman"/>
          <w:sz w:val="18"/>
          <w:szCs w:val="18"/>
          <w:lang w:val="es-PE"/>
        </w:rPr>
        <w:tab/>
        <w:t xml:space="preserve">Dichas preguntas son: </w:t>
      </w:r>
    </w:p>
    <w:p w14:paraId="183DB3E7" w14:textId="77777777" w:rsidR="00682D7A" w:rsidRPr="00682D7A" w:rsidRDefault="00682D7A" w:rsidP="00682D7A">
      <w:pPr>
        <w:pStyle w:val="Textonotapie"/>
        <w:tabs>
          <w:tab w:val="left" w:pos="284"/>
          <w:tab w:val="left" w:pos="851"/>
        </w:tabs>
        <w:spacing w:after="120"/>
        <w:ind w:left="851" w:hanging="851"/>
        <w:jc w:val="both"/>
        <w:rPr>
          <w:rFonts w:ascii="Times New Roman" w:hAnsi="Times New Roman" w:cs="Times New Roman"/>
          <w:i/>
          <w:iCs/>
          <w:sz w:val="18"/>
          <w:szCs w:val="18"/>
          <w:lang w:val="es-PE"/>
        </w:rPr>
      </w:pPr>
      <w:r w:rsidRPr="00682D7A">
        <w:rPr>
          <w:rFonts w:ascii="Times New Roman" w:hAnsi="Times New Roman" w:cs="Times New Roman"/>
          <w:sz w:val="18"/>
          <w:szCs w:val="18"/>
          <w:lang w:val="es-PE"/>
        </w:rPr>
        <w:tab/>
        <w:t>«</w:t>
      </w:r>
      <w:r w:rsidRPr="00682D7A">
        <w:rPr>
          <w:rFonts w:ascii="Times New Roman" w:hAnsi="Times New Roman" w:cs="Times New Roman"/>
          <w:i/>
          <w:iCs/>
          <w:sz w:val="18"/>
          <w:szCs w:val="18"/>
          <w:lang w:val="es-PE"/>
        </w:rPr>
        <w:t xml:space="preserve">R3. </w:t>
      </w:r>
      <w:r w:rsidRPr="00682D7A">
        <w:rPr>
          <w:rFonts w:ascii="Times New Roman" w:hAnsi="Times New Roman" w:cs="Times New Roman"/>
          <w:i/>
          <w:iCs/>
          <w:sz w:val="18"/>
          <w:szCs w:val="18"/>
          <w:lang w:val="es-PE"/>
        </w:rPr>
        <w:tab/>
        <w:t xml:space="preserve">¿Ha denunciado usted consumos no relacionada (sic) con siniestro (sic) del 18 de AGOSTO DEL 2024?? (sic) </w:t>
      </w:r>
    </w:p>
    <w:p w14:paraId="122B5207" w14:textId="77777777" w:rsidR="00682D7A" w:rsidRPr="00682D7A" w:rsidRDefault="00682D7A" w:rsidP="00682D7A">
      <w:pPr>
        <w:pStyle w:val="Textonotapie"/>
        <w:tabs>
          <w:tab w:val="left" w:pos="284"/>
          <w:tab w:val="left" w:pos="851"/>
        </w:tabs>
        <w:spacing w:after="120"/>
        <w:ind w:left="851" w:hanging="851"/>
        <w:jc w:val="both"/>
        <w:rPr>
          <w:rFonts w:ascii="Times New Roman" w:hAnsi="Times New Roman" w:cs="Times New Roman"/>
          <w:i/>
          <w:iCs/>
          <w:sz w:val="18"/>
          <w:szCs w:val="18"/>
          <w:lang w:val="es-PE"/>
        </w:rPr>
      </w:pPr>
      <w:r w:rsidRPr="00682D7A">
        <w:rPr>
          <w:rFonts w:ascii="Times New Roman" w:hAnsi="Times New Roman" w:cs="Times New Roman"/>
          <w:i/>
          <w:iCs/>
          <w:sz w:val="18"/>
          <w:szCs w:val="18"/>
          <w:lang w:val="es-PE"/>
        </w:rPr>
        <w:tab/>
        <w:t xml:space="preserve">R4. </w:t>
      </w:r>
      <w:r w:rsidRPr="00682D7A">
        <w:rPr>
          <w:rFonts w:ascii="Times New Roman" w:hAnsi="Times New Roman" w:cs="Times New Roman"/>
          <w:i/>
          <w:iCs/>
          <w:sz w:val="18"/>
          <w:szCs w:val="18"/>
          <w:lang w:val="es-PE"/>
        </w:rPr>
        <w:tab/>
        <w:t xml:space="preserve">¿Transfirió usted dinero del siniestro declarado a cuentas de sus allegados?»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141"/>
    <w:rsid w:val="00005B96"/>
    <w:rsid w:val="00007954"/>
    <w:rsid w:val="00007C03"/>
    <w:rsid w:val="00010987"/>
    <w:rsid w:val="00011995"/>
    <w:rsid w:val="00013057"/>
    <w:rsid w:val="000159CC"/>
    <w:rsid w:val="00015C22"/>
    <w:rsid w:val="000167E0"/>
    <w:rsid w:val="00017572"/>
    <w:rsid w:val="000235E9"/>
    <w:rsid w:val="0002637D"/>
    <w:rsid w:val="0002733C"/>
    <w:rsid w:val="00027978"/>
    <w:rsid w:val="00027DA7"/>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84A75"/>
    <w:rsid w:val="00091C09"/>
    <w:rsid w:val="00092684"/>
    <w:rsid w:val="0009404A"/>
    <w:rsid w:val="00095105"/>
    <w:rsid w:val="000969D2"/>
    <w:rsid w:val="00096CCA"/>
    <w:rsid w:val="000A02E6"/>
    <w:rsid w:val="000A1DAF"/>
    <w:rsid w:val="000A4C6A"/>
    <w:rsid w:val="000A53CB"/>
    <w:rsid w:val="000A55BA"/>
    <w:rsid w:val="000A5666"/>
    <w:rsid w:val="000A5CAA"/>
    <w:rsid w:val="000B19A0"/>
    <w:rsid w:val="000B2CB1"/>
    <w:rsid w:val="000B58D8"/>
    <w:rsid w:val="000C0734"/>
    <w:rsid w:val="000C1AAB"/>
    <w:rsid w:val="000C321D"/>
    <w:rsid w:val="000D5F00"/>
    <w:rsid w:val="000E11BA"/>
    <w:rsid w:val="000E3730"/>
    <w:rsid w:val="000E79B7"/>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75A97"/>
    <w:rsid w:val="0018041E"/>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E0"/>
    <w:rsid w:val="001C052B"/>
    <w:rsid w:val="001C0A05"/>
    <w:rsid w:val="001C3A70"/>
    <w:rsid w:val="001C4A47"/>
    <w:rsid w:val="001D0EED"/>
    <w:rsid w:val="001D59D9"/>
    <w:rsid w:val="001D6136"/>
    <w:rsid w:val="001E119C"/>
    <w:rsid w:val="001E1C8C"/>
    <w:rsid w:val="001E6657"/>
    <w:rsid w:val="001F0F3A"/>
    <w:rsid w:val="001F11AB"/>
    <w:rsid w:val="001F32A4"/>
    <w:rsid w:val="00201C0D"/>
    <w:rsid w:val="00204407"/>
    <w:rsid w:val="00205C9E"/>
    <w:rsid w:val="00206718"/>
    <w:rsid w:val="0020749F"/>
    <w:rsid w:val="002108AD"/>
    <w:rsid w:val="00211482"/>
    <w:rsid w:val="00211977"/>
    <w:rsid w:val="002130B0"/>
    <w:rsid w:val="0021627D"/>
    <w:rsid w:val="00225288"/>
    <w:rsid w:val="002257A2"/>
    <w:rsid w:val="00227D02"/>
    <w:rsid w:val="00231C58"/>
    <w:rsid w:val="002331C3"/>
    <w:rsid w:val="00234777"/>
    <w:rsid w:val="00234A33"/>
    <w:rsid w:val="00236B66"/>
    <w:rsid w:val="002370A8"/>
    <w:rsid w:val="00241719"/>
    <w:rsid w:val="00242425"/>
    <w:rsid w:val="00243F6B"/>
    <w:rsid w:val="00245501"/>
    <w:rsid w:val="002528B8"/>
    <w:rsid w:val="00253F42"/>
    <w:rsid w:val="00255C05"/>
    <w:rsid w:val="0026162A"/>
    <w:rsid w:val="00264D9A"/>
    <w:rsid w:val="00271BA0"/>
    <w:rsid w:val="0027261F"/>
    <w:rsid w:val="00272F4F"/>
    <w:rsid w:val="0027301E"/>
    <w:rsid w:val="00274985"/>
    <w:rsid w:val="002756B9"/>
    <w:rsid w:val="002768C6"/>
    <w:rsid w:val="00276A92"/>
    <w:rsid w:val="00277667"/>
    <w:rsid w:val="002809AB"/>
    <w:rsid w:val="002830BC"/>
    <w:rsid w:val="00283E79"/>
    <w:rsid w:val="00286C15"/>
    <w:rsid w:val="002905EB"/>
    <w:rsid w:val="00290CA4"/>
    <w:rsid w:val="00294D98"/>
    <w:rsid w:val="00295828"/>
    <w:rsid w:val="0029673E"/>
    <w:rsid w:val="002A31D3"/>
    <w:rsid w:val="002A3798"/>
    <w:rsid w:val="002A3D36"/>
    <w:rsid w:val="002A4AE6"/>
    <w:rsid w:val="002A7E2E"/>
    <w:rsid w:val="002B1654"/>
    <w:rsid w:val="002B726E"/>
    <w:rsid w:val="002C2A0F"/>
    <w:rsid w:val="002C2CEC"/>
    <w:rsid w:val="002C6367"/>
    <w:rsid w:val="002C7B97"/>
    <w:rsid w:val="002D0DB0"/>
    <w:rsid w:val="002D3318"/>
    <w:rsid w:val="002D3B01"/>
    <w:rsid w:val="002D4134"/>
    <w:rsid w:val="002D4977"/>
    <w:rsid w:val="002E0275"/>
    <w:rsid w:val="002E1221"/>
    <w:rsid w:val="002E17CF"/>
    <w:rsid w:val="002E17F9"/>
    <w:rsid w:val="002F09CA"/>
    <w:rsid w:val="002F35F0"/>
    <w:rsid w:val="002F478E"/>
    <w:rsid w:val="00300DDA"/>
    <w:rsid w:val="003045E3"/>
    <w:rsid w:val="00314603"/>
    <w:rsid w:val="00317805"/>
    <w:rsid w:val="0032132E"/>
    <w:rsid w:val="00321EC9"/>
    <w:rsid w:val="00322046"/>
    <w:rsid w:val="00327AEB"/>
    <w:rsid w:val="00331FA8"/>
    <w:rsid w:val="00334BF1"/>
    <w:rsid w:val="00335E5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748C6"/>
    <w:rsid w:val="0038290F"/>
    <w:rsid w:val="00391D8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D7247"/>
    <w:rsid w:val="003E0091"/>
    <w:rsid w:val="003E0CC2"/>
    <w:rsid w:val="003E450C"/>
    <w:rsid w:val="003E6410"/>
    <w:rsid w:val="003F0C97"/>
    <w:rsid w:val="003F1149"/>
    <w:rsid w:val="003F1B5F"/>
    <w:rsid w:val="003F20C7"/>
    <w:rsid w:val="003F2DC2"/>
    <w:rsid w:val="003F4500"/>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551A3"/>
    <w:rsid w:val="00460C30"/>
    <w:rsid w:val="00465FB9"/>
    <w:rsid w:val="00466302"/>
    <w:rsid w:val="0046647B"/>
    <w:rsid w:val="0047370C"/>
    <w:rsid w:val="0047522D"/>
    <w:rsid w:val="00476BA1"/>
    <w:rsid w:val="00484281"/>
    <w:rsid w:val="00486C3B"/>
    <w:rsid w:val="00490898"/>
    <w:rsid w:val="00494F04"/>
    <w:rsid w:val="0049581F"/>
    <w:rsid w:val="0049582C"/>
    <w:rsid w:val="00495D9A"/>
    <w:rsid w:val="00496A1A"/>
    <w:rsid w:val="00497091"/>
    <w:rsid w:val="004A183E"/>
    <w:rsid w:val="004A3E25"/>
    <w:rsid w:val="004A41F6"/>
    <w:rsid w:val="004A718F"/>
    <w:rsid w:val="004B155C"/>
    <w:rsid w:val="004B27E2"/>
    <w:rsid w:val="004B358C"/>
    <w:rsid w:val="004B51ED"/>
    <w:rsid w:val="004C1C34"/>
    <w:rsid w:val="004C34ED"/>
    <w:rsid w:val="004C51EC"/>
    <w:rsid w:val="004C5A91"/>
    <w:rsid w:val="004C6A9B"/>
    <w:rsid w:val="004D05F2"/>
    <w:rsid w:val="004E0A1D"/>
    <w:rsid w:val="004E65DD"/>
    <w:rsid w:val="004F0319"/>
    <w:rsid w:val="004F1255"/>
    <w:rsid w:val="004F3501"/>
    <w:rsid w:val="004F549E"/>
    <w:rsid w:val="004F7CF6"/>
    <w:rsid w:val="00504C79"/>
    <w:rsid w:val="005112A3"/>
    <w:rsid w:val="00516293"/>
    <w:rsid w:val="00516C00"/>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394B"/>
    <w:rsid w:val="00544667"/>
    <w:rsid w:val="00544BFC"/>
    <w:rsid w:val="00547EE5"/>
    <w:rsid w:val="00547F11"/>
    <w:rsid w:val="00556526"/>
    <w:rsid w:val="0056773D"/>
    <w:rsid w:val="00567DEC"/>
    <w:rsid w:val="0057035B"/>
    <w:rsid w:val="00570ED6"/>
    <w:rsid w:val="005818E3"/>
    <w:rsid w:val="00582D26"/>
    <w:rsid w:val="0058358B"/>
    <w:rsid w:val="00583A87"/>
    <w:rsid w:val="00585D65"/>
    <w:rsid w:val="00586D82"/>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3D48"/>
    <w:rsid w:val="006043E9"/>
    <w:rsid w:val="00604974"/>
    <w:rsid w:val="00605902"/>
    <w:rsid w:val="00606105"/>
    <w:rsid w:val="00613A39"/>
    <w:rsid w:val="006229DD"/>
    <w:rsid w:val="00622ABC"/>
    <w:rsid w:val="00623204"/>
    <w:rsid w:val="00624034"/>
    <w:rsid w:val="00627505"/>
    <w:rsid w:val="00631C06"/>
    <w:rsid w:val="00631C1D"/>
    <w:rsid w:val="006338AF"/>
    <w:rsid w:val="0064374C"/>
    <w:rsid w:val="006442E0"/>
    <w:rsid w:val="0064607A"/>
    <w:rsid w:val="00647AEA"/>
    <w:rsid w:val="00652672"/>
    <w:rsid w:val="00654FC9"/>
    <w:rsid w:val="0065542B"/>
    <w:rsid w:val="00655834"/>
    <w:rsid w:val="0065594D"/>
    <w:rsid w:val="00655A90"/>
    <w:rsid w:val="00655BA3"/>
    <w:rsid w:val="00657814"/>
    <w:rsid w:val="006578A4"/>
    <w:rsid w:val="00657AD2"/>
    <w:rsid w:val="00660D6F"/>
    <w:rsid w:val="00660E60"/>
    <w:rsid w:val="00664F22"/>
    <w:rsid w:val="0066633A"/>
    <w:rsid w:val="006664AB"/>
    <w:rsid w:val="00667A13"/>
    <w:rsid w:val="00671DB5"/>
    <w:rsid w:val="006764A9"/>
    <w:rsid w:val="006768BB"/>
    <w:rsid w:val="0067765F"/>
    <w:rsid w:val="00680D8A"/>
    <w:rsid w:val="00682D7A"/>
    <w:rsid w:val="00686BB2"/>
    <w:rsid w:val="006878E1"/>
    <w:rsid w:val="0069304A"/>
    <w:rsid w:val="0069583E"/>
    <w:rsid w:val="00697D6C"/>
    <w:rsid w:val="006A2ADE"/>
    <w:rsid w:val="006A551F"/>
    <w:rsid w:val="006A5904"/>
    <w:rsid w:val="006A5E39"/>
    <w:rsid w:val="006A770A"/>
    <w:rsid w:val="006B5CAE"/>
    <w:rsid w:val="006B7A62"/>
    <w:rsid w:val="006C1704"/>
    <w:rsid w:val="006C1A65"/>
    <w:rsid w:val="006C29A7"/>
    <w:rsid w:val="006C2E60"/>
    <w:rsid w:val="006C6261"/>
    <w:rsid w:val="006C6A0B"/>
    <w:rsid w:val="006D2BA9"/>
    <w:rsid w:val="006D397E"/>
    <w:rsid w:val="006E2366"/>
    <w:rsid w:val="006E4547"/>
    <w:rsid w:val="006E5BE6"/>
    <w:rsid w:val="006F011C"/>
    <w:rsid w:val="006F300D"/>
    <w:rsid w:val="006F36EF"/>
    <w:rsid w:val="006F47A8"/>
    <w:rsid w:val="006F4986"/>
    <w:rsid w:val="006F646A"/>
    <w:rsid w:val="006F6CBD"/>
    <w:rsid w:val="0070030F"/>
    <w:rsid w:val="00701598"/>
    <w:rsid w:val="00701639"/>
    <w:rsid w:val="00701893"/>
    <w:rsid w:val="00703430"/>
    <w:rsid w:val="00704A95"/>
    <w:rsid w:val="00706392"/>
    <w:rsid w:val="00706A28"/>
    <w:rsid w:val="00706EB2"/>
    <w:rsid w:val="00707C99"/>
    <w:rsid w:val="00714C48"/>
    <w:rsid w:val="0072050F"/>
    <w:rsid w:val="00720DBC"/>
    <w:rsid w:val="0072240A"/>
    <w:rsid w:val="007261FD"/>
    <w:rsid w:val="00727198"/>
    <w:rsid w:val="007300C4"/>
    <w:rsid w:val="00731154"/>
    <w:rsid w:val="00734430"/>
    <w:rsid w:val="00737844"/>
    <w:rsid w:val="00741A01"/>
    <w:rsid w:val="00743BA7"/>
    <w:rsid w:val="00744136"/>
    <w:rsid w:val="00744447"/>
    <w:rsid w:val="00744789"/>
    <w:rsid w:val="007543CD"/>
    <w:rsid w:val="00761F1D"/>
    <w:rsid w:val="007703E9"/>
    <w:rsid w:val="007708AB"/>
    <w:rsid w:val="00771625"/>
    <w:rsid w:val="00772376"/>
    <w:rsid w:val="00774D05"/>
    <w:rsid w:val="00775711"/>
    <w:rsid w:val="0077599F"/>
    <w:rsid w:val="00781235"/>
    <w:rsid w:val="0078352E"/>
    <w:rsid w:val="00784355"/>
    <w:rsid w:val="00784708"/>
    <w:rsid w:val="00786117"/>
    <w:rsid w:val="007906AF"/>
    <w:rsid w:val="00794424"/>
    <w:rsid w:val="007950DD"/>
    <w:rsid w:val="007965C0"/>
    <w:rsid w:val="007965E2"/>
    <w:rsid w:val="00797191"/>
    <w:rsid w:val="007A09BB"/>
    <w:rsid w:val="007A4108"/>
    <w:rsid w:val="007A4EA9"/>
    <w:rsid w:val="007A7451"/>
    <w:rsid w:val="007A7790"/>
    <w:rsid w:val="007A7E93"/>
    <w:rsid w:val="007A7F95"/>
    <w:rsid w:val="007B1018"/>
    <w:rsid w:val="007B2721"/>
    <w:rsid w:val="007B3518"/>
    <w:rsid w:val="007B3958"/>
    <w:rsid w:val="007C14D0"/>
    <w:rsid w:val="007C213D"/>
    <w:rsid w:val="007C4D67"/>
    <w:rsid w:val="007C4E10"/>
    <w:rsid w:val="007C62D6"/>
    <w:rsid w:val="007C69FE"/>
    <w:rsid w:val="007D13E3"/>
    <w:rsid w:val="007D13F3"/>
    <w:rsid w:val="007D2A4B"/>
    <w:rsid w:val="007D39D3"/>
    <w:rsid w:val="007D5BB1"/>
    <w:rsid w:val="007D7213"/>
    <w:rsid w:val="007E47CA"/>
    <w:rsid w:val="007E4E23"/>
    <w:rsid w:val="007E5917"/>
    <w:rsid w:val="007E7310"/>
    <w:rsid w:val="007F2000"/>
    <w:rsid w:val="007F22B6"/>
    <w:rsid w:val="007F38DF"/>
    <w:rsid w:val="007F74F1"/>
    <w:rsid w:val="008010D0"/>
    <w:rsid w:val="008020A1"/>
    <w:rsid w:val="0080698B"/>
    <w:rsid w:val="00812473"/>
    <w:rsid w:val="00816B3F"/>
    <w:rsid w:val="0081754D"/>
    <w:rsid w:val="008177B9"/>
    <w:rsid w:val="00817F65"/>
    <w:rsid w:val="00821801"/>
    <w:rsid w:val="008246F7"/>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3570"/>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33FD4"/>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755C7"/>
    <w:rsid w:val="0098136F"/>
    <w:rsid w:val="009849E6"/>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09EF"/>
    <w:rsid w:val="009C0D47"/>
    <w:rsid w:val="009C1066"/>
    <w:rsid w:val="009C1372"/>
    <w:rsid w:val="009C29C6"/>
    <w:rsid w:val="009C4779"/>
    <w:rsid w:val="009C4791"/>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AFB"/>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D7BB3"/>
    <w:rsid w:val="00AE3EA8"/>
    <w:rsid w:val="00AE4125"/>
    <w:rsid w:val="00AE4D37"/>
    <w:rsid w:val="00AE58A1"/>
    <w:rsid w:val="00AE6444"/>
    <w:rsid w:val="00AE6BD5"/>
    <w:rsid w:val="00AE7E00"/>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6B01"/>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2A2F"/>
    <w:rsid w:val="00C43FD0"/>
    <w:rsid w:val="00C47619"/>
    <w:rsid w:val="00C4792C"/>
    <w:rsid w:val="00C51445"/>
    <w:rsid w:val="00C517B4"/>
    <w:rsid w:val="00C518C4"/>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4366"/>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31C5"/>
    <w:rsid w:val="00CF51E2"/>
    <w:rsid w:val="00CF55D6"/>
    <w:rsid w:val="00CF6484"/>
    <w:rsid w:val="00CF7839"/>
    <w:rsid w:val="00CF78D3"/>
    <w:rsid w:val="00CF7F8C"/>
    <w:rsid w:val="00D07E5C"/>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286C"/>
    <w:rsid w:val="00D43EB8"/>
    <w:rsid w:val="00D451C9"/>
    <w:rsid w:val="00D50B42"/>
    <w:rsid w:val="00D50BAF"/>
    <w:rsid w:val="00D57228"/>
    <w:rsid w:val="00D61C6D"/>
    <w:rsid w:val="00D6267A"/>
    <w:rsid w:val="00D64034"/>
    <w:rsid w:val="00D6797E"/>
    <w:rsid w:val="00D73109"/>
    <w:rsid w:val="00D76185"/>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DF719C"/>
    <w:rsid w:val="00E00733"/>
    <w:rsid w:val="00E02D42"/>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3E47"/>
    <w:rsid w:val="00E556C7"/>
    <w:rsid w:val="00E57768"/>
    <w:rsid w:val="00E57869"/>
    <w:rsid w:val="00E61DBC"/>
    <w:rsid w:val="00E63817"/>
    <w:rsid w:val="00E64057"/>
    <w:rsid w:val="00E66AFF"/>
    <w:rsid w:val="00E6771C"/>
    <w:rsid w:val="00E70381"/>
    <w:rsid w:val="00E70F8F"/>
    <w:rsid w:val="00E73DEF"/>
    <w:rsid w:val="00E7512C"/>
    <w:rsid w:val="00E80D65"/>
    <w:rsid w:val="00E91723"/>
    <w:rsid w:val="00E93A0B"/>
    <w:rsid w:val="00EA21E9"/>
    <w:rsid w:val="00EA2DDA"/>
    <w:rsid w:val="00EA4C4B"/>
    <w:rsid w:val="00EA77BE"/>
    <w:rsid w:val="00EB1C7E"/>
    <w:rsid w:val="00EB3A2B"/>
    <w:rsid w:val="00EC19C1"/>
    <w:rsid w:val="00EC283A"/>
    <w:rsid w:val="00EC3551"/>
    <w:rsid w:val="00EC60F5"/>
    <w:rsid w:val="00EC7271"/>
    <w:rsid w:val="00ED2086"/>
    <w:rsid w:val="00ED38AF"/>
    <w:rsid w:val="00ED4124"/>
    <w:rsid w:val="00ED60A1"/>
    <w:rsid w:val="00ED6123"/>
    <w:rsid w:val="00EE1C4A"/>
    <w:rsid w:val="00EE2E2E"/>
    <w:rsid w:val="00EE2F04"/>
    <w:rsid w:val="00EE3E0F"/>
    <w:rsid w:val="00EE4B4D"/>
    <w:rsid w:val="00EE556A"/>
    <w:rsid w:val="00EE6211"/>
    <w:rsid w:val="00EE6D21"/>
    <w:rsid w:val="00EF011B"/>
    <w:rsid w:val="00EF1116"/>
    <w:rsid w:val="00F0089C"/>
    <w:rsid w:val="00F01B55"/>
    <w:rsid w:val="00F0237B"/>
    <w:rsid w:val="00F04C50"/>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3F34"/>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293"/>
    <w:rsid w:val="00F87C6C"/>
    <w:rsid w:val="00F87E38"/>
    <w:rsid w:val="00F91A73"/>
    <w:rsid w:val="00F97EA2"/>
    <w:rsid w:val="00FA1290"/>
    <w:rsid w:val="00FA155E"/>
    <w:rsid w:val="00FA2322"/>
    <w:rsid w:val="00FA31B9"/>
    <w:rsid w:val="00FA5102"/>
    <w:rsid w:val="00FA6756"/>
    <w:rsid w:val="00FB297F"/>
    <w:rsid w:val="00FB4B0C"/>
    <w:rsid w:val="00FC049B"/>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uiPriority w:val="99"/>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5534">
      <w:bodyDiv w:val="1"/>
      <w:marLeft w:val="0"/>
      <w:marRight w:val="0"/>
      <w:marTop w:val="0"/>
      <w:marBottom w:val="0"/>
      <w:divBdr>
        <w:top w:val="none" w:sz="0" w:space="0" w:color="auto"/>
        <w:left w:val="none" w:sz="0" w:space="0" w:color="auto"/>
        <w:bottom w:val="none" w:sz="0" w:space="0" w:color="auto"/>
        <w:right w:val="none" w:sz="0" w:space="0" w:color="auto"/>
      </w:divBdr>
    </w:div>
    <w:div w:id="19740497">
      <w:bodyDiv w:val="1"/>
      <w:marLeft w:val="0"/>
      <w:marRight w:val="0"/>
      <w:marTop w:val="0"/>
      <w:marBottom w:val="0"/>
      <w:divBdr>
        <w:top w:val="none" w:sz="0" w:space="0" w:color="auto"/>
        <w:left w:val="none" w:sz="0" w:space="0" w:color="auto"/>
        <w:bottom w:val="none" w:sz="0" w:space="0" w:color="auto"/>
        <w:right w:val="none" w:sz="0" w:space="0" w:color="auto"/>
      </w:divBdr>
    </w:div>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21046241">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379397887">
      <w:bodyDiv w:val="1"/>
      <w:marLeft w:val="0"/>
      <w:marRight w:val="0"/>
      <w:marTop w:val="0"/>
      <w:marBottom w:val="0"/>
      <w:divBdr>
        <w:top w:val="none" w:sz="0" w:space="0" w:color="auto"/>
        <w:left w:val="none" w:sz="0" w:space="0" w:color="auto"/>
        <w:bottom w:val="none" w:sz="0" w:space="0" w:color="auto"/>
        <w:right w:val="none" w:sz="0" w:space="0" w:color="auto"/>
      </w:divBdr>
    </w:div>
    <w:div w:id="394163024">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23843484">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8915126">
      <w:bodyDiv w:val="1"/>
      <w:marLeft w:val="0"/>
      <w:marRight w:val="0"/>
      <w:marTop w:val="0"/>
      <w:marBottom w:val="0"/>
      <w:divBdr>
        <w:top w:val="none" w:sz="0" w:space="0" w:color="auto"/>
        <w:left w:val="none" w:sz="0" w:space="0" w:color="auto"/>
        <w:bottom w:val="none" w:sz="0" w:space="0" w:color="auto"/>
        <w:right w:val="none" w:sz="0" w:space="0" w:color="auto"/>
      </w:divBdr>
    </w:div>
    <w:div w:id="462969213">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02860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28051884">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56375549">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4231415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8065478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3809617">
      <w:bodyDiv w:val="1"/>
      <w:marLeft w:val="0"/>
      <w:marRight w:val="0"/>
      <w:marTop w:val="0"/>
      <w:marBottom w:val="0"/>
      <w:divBdr>
        <w:top w:val="none" w:sz="0" w:space="0" w:color="auto"/>
        <w:left w:val="none" w:sz="0" w:space="0" w:color="auto"/>
        <w:bottom w:val="none" w:sz="0" w:space="0" w:color="auto"/>
        <w:right w:val="none" w:sz="0" w:space="0" w:color="auto"/>
      </w:divBdr>
    </w:div>
    <w:div w:id="1195729959">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00125400">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53126492">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3480156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592053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53390528">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4AF44FE3-563E-475F-8AE4-D1FB26C36804}"/>
</file>

<file path=customXml/itemProps3.xml><?xml version="1.0" encoding="utf-8"?>
<ds:datastoreItem xmlns:ds="http://schemas.openxmlformats.org/officeDocument/2006/customXml" ds:itemID="{6CABF902-1C46-4580-A968-F13CE7011B02}"/>
</file>

<file path=customXml/itemProps4.xml><?xml version="1.0" encoding="utf-8"?>
<ds:datastoreItem xmlns:ds="http://schemas.openxmlformats.org/officeDocument/2006/customXml" ds:itemID="{5345AD93-B76F-4D2D-844B-44441FA2F75B}"/>
</file>

<file path=docProps/app.xml><?xml version="1.0" encoding="utf-8"?>
<Properties xmlns="http://schemas.openxmlformats.org/officeDocument/2006/extended-properties" xmlns:vt="http://schemas.openxmlformats.org/officeDocument/2006/docPropsVTypes">
  <Template>Normal</Template>
  <TotalTime>391</TotalTime>
  <Pages>7</Pages>
  <Words>2842</Words>
  <Characters>15632</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435</cp:revision>
  <cp:lastPrinted>2025-09-08T19:47:00Z</cp:lastPrinted>
  <dcterms:created xsi:type="dcterms:W3CDTF">2023-02-14T22:37:00Z</dcterms:created>
  <dcterms:modified xsi:type="dcterms:W3CDTF">2025-09-08T19:47:00Z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