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D95D4" w14:textId="01501F9E" w:rsidR="001F32A4" w:rsidRPr="000077B9" w:rsidRDefault="00201C0D" w:rsidP="000077B9">
      <w:pPr>
        <w:spacing w:after="0" w:line="240" w:lineRule="auto"/>
        <w:jc w:val="center"/>
        <w:rPr>
          <w:rFonts w:ascii="Times New Roman" w:hAnsi="Times New Roman" w:cs="Times New Roman"/>
          <w:b/>
          <w:sz w:val="24"/>
          <w:szCs w:val="24"/>
          <w:lang w:val="es-PE" w:eastAsia="ar-SA"/>
        </w:rPr>
      </w:pPr>
      <w:r w:rsidRPr="000077B9">
        <w:rPr>
          <w:rFonts w:ascii="Times New Roman" w:hAnsi="Times New Roman" w:cs="Times New Roman"/>
          <w:b/>
          <w:sz w:val="24"/>
          <w:szCs w:val="24"/>
          <w:lang w:val="es-PE" w:eastAsia="ar-SA"/>
        </w:rPr>
        <w:t xml:space="preserve">RESOLUCIÓN DE RECURSO IMPUGNATIVO </w:t>
      </w:r>
      <w:r w:rsidR="00707C99" w:rsidRPr="000077B9">
        <w:rPr>
          <w:rFonts w:ascii="Times New Roman" w:hAnsi="Times New Roman" w:cs="Times New Roman"/>
          <w:b/>
          <w:sz w:val="24"/>
          <w:szCs w:val="24"/>
          <w:lang w:val="es-PE" w:eastAsia="ar-SA"/>
        </w:rPr>
        <w:t xml:space="preserve">N° </w:t>
      </w:r>
      <w:r w:rsidR="00EE4B4D" w:rsidRPr="000077B9">
        <w:rPr>
          <w:rFonts w:ascii="Times New Roman" w:hAnsi="Times New Roman" w:cs="Times New Roman"/>
          <w:b/>
          <w:sz w:val="24"/>
          <w:szCs w:val="24"/>
          <w:lang w:val="es-PE" w:eastAsia="ar-SA"/>
        </w:rPr>
        <w:t>4</w:t>
      </w:r>
      <w:r w:rsidR="00956309" w:rsidRPr="000077B9">
        <w:rPr>
          <w:rFonts w:ascii="Times New Roman" w:hAnsi="Times New Roman" w:cs="Times New Roman"/>
          <w:b/>
          <w:sz w:val="24"/>
          <w:szCs w:val="24"/>
          <w:lang w:val="es-PE" w:eastAsia="ar-SA"/>
        </w:rPr>
        <w:t>3</w:t>
      </w:r>
      <w:r w:rsidR="00C671F5" w:rsidRPr="000077B9">
        <w:rPr>
          <w:rFonts w:ascii="Times New Roman" w:hAnsi="Times New Roman" w:cs="Times New Roman"/>
          <w:b/>
          <w:sz w:val="24"/>
          <w:szCs w:val="24"/>
          <w:lang w:val="es-PE" w:eastAsia="ar-SA"/>
        </w:rPr>
        <w:t>/2</w:t>
      </w:r>
      <w:r w:rsidR="00A74F96" w:rsidRPr="000077B9">
        <w:rPr>
          <w:rFonts w:ascii="Times New Roman" w:hAnsi="Times New Roman" w:cs="Times New Roman"/>
          <w:b/>
          <w:sz w:val="24"/>
          <w:szCs w:val="24"/>
          <w:lang w:val="es-PE" w:eastAsia="ar-SA"/>
        </w:rPr>
        <w:t>5</w:t>
      </w:r>
    </w:p>
    <w:p w14:paraId="59AE2E0B" w14:textId="77777777" w:rsidR="000077B9" w:rsidRPr="000077B9" w:rsidRDefault="000077B9" w:rsidP="000077B9">
      <w:pPr>
        <w:spacing w:line="240" w:lineRule="auto"/>
        <w:jc w:val="both"/>
        <w:rPr>
          <w:rFonts w:ascii="Times New Roman" w:eastAsia="Arial Unicode MS" w:hAnsi="Times New Roman" w:cs="Times New Roman"/>
          <w:b/>
          <w:bCs/>
          <w:sz w:val="24"/>
          <w:szCs w:val="24"/>
          <w:lang w:val="es-MX" w:eastAsia="ar-SA"/>
        </w:rPr>
      </w:pPr>
    </w:p>
    <w:p w14:paraId="0A293D42" w14:textId="77777777" w:rsidR="000077B9" w:rsidRPr="000077B9" w:rsidRDefault="000077B9" w:rsidP="000077B9">
      <w:pPr>
        <w:spacing w:line="240" w:lineRule="auto"/>
        <w:jc w:val="both"/>
        <w:rPr>
          <w:rFonts w:ascii="Times New Roman" w:eastAsia="Arial Unicode MS" w:hAnsi="Times New Roman" w:cs="Times New Roman"/>
          <w:b/>
          <w:bCs/>
          <w:sz w:val="24"/>
          <w:szCs w:val="24"/>
          <w:lang w:val="es-MX" w:eastAsia="ar-SA"/>
        </w:rPr>
      </w:pPr>
      <w:r w:rsidRPr="000077B9">
        <w:rPr>
          <w:rFonts w:ascii="Times New Roman" w:eastAsia="Arial Unicode MS" w:hAnsi="Times New Roman" w:cs="Times New Roman"/>
          <w:b/>
          <w:bCs/>
          <w:sz w:val="24"/>
          <w:szCs w:val="24"/>
          <w:lang w:val="es-MX" w:eastAsia="ar-SA"/>
        </w:rPr>
        <w:t>VISTOS:</w:t>
      </w:r>
    </w:p>
    <w:p w14:paraId="6B1FB79C"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con fecha 9 de julio de 2025, el señor ………………… (el señor “…………………”) interpuso Recurso de Impugnación ante la Defensoría del Asegurado (“…………………”) contra la Resolución n.° 073/25 (la “Resolución Impugnada”) de fecha 26 de mayo de 2025 expedida por la Sala Colegiada a través de la cual se declara INFUNDADA la reclamación presentada contra ………………… (“…………………”) respecto del Seguro Vehicular conforme a la póliza N° ………………… (“Póliza”).</w:t>
      </w:r>
    </w:p>
    <w:p w14:paraId="3AD3C313"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el señor ………………… solicita que se revoque la Resolución Impugnada sobre la base de los siguientes argumentos: a) que, el asegurado reconoce que el contrato establece expresamente la obligación de presentar la denuncia policial, sin embargo, dicha disposición debe ser interpretada conforme a los principios generales del derecho contractual, en particular el de buena fe objetiva (artículo 1362 del Código Civil) y el principio de equidad en la ejecución del contrato, más aún cuando la omisión no ha generado perjuicio alguno a la aseguradora, ni compromete su capacidad de evaluación del riesgo asegurado; b) que, existe un precedente directo en el marco de la misma relación contractual, donde en un siniestro anterior, la empresa ………………… otorgar la cobertura; c) que, este comportamiento previo, configura una expectativa legítima por parte del asegurado de que, en circunstancias similares, el criterio sería aplicado con la misma flexibilidad, la alteración arbitraria de ese criterio sin justificación puede interpretarse como un trato desigual, contrario al principio de predictibilidad y estabilidad de las relaciones contractuales; d) que, durante el siniestro, se contó con la presencia de la Policía Nacional del Perú y del procurador de la compañía aseguradora, quienes no identificaron conducta alguna que diera indicios de intoxicación u otra circunstancia similar; e) que, no se levantó acta ni se efectuó detención o medida alguna por parte de las autoridades, por lo que no es jurídicamente admisible presumir que la omisión de la denuncia responde a un intento de ocultamiento o a una conducta reprochable por parte del asegurado; y, f) que, el contrato de seguro no puede entenderse únicamente como un acuerdo económico, sino como una herramienta de protección y resguardo frente a contingencias que afectan la vida, el patrimonio y la tranquilidad de los asegurados.</w:t>
      </w:r>
    </w:p>
    <w:p w14:paraId="68EF7CDA"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 no absolvió el recurso impugnativo presentado por el señor ………………… por lo que, habiendo vencido el plazo otorgado para dicho efecto en el Reglamento de DEFASEG (el “Reglamento”), corresponde que este Colegiado se pronuncie sobre la base de los documentos que obran en el expediente.</w:t>
      </w:r>
    </w:p>
    <w:p w14:paraId="4695A5F0" w14:textId="77777777" w:rsidR="000077B9" w:rsidRPr="000077B9" w:rsidRDefault="000077B9" w:rsidP="000077B9">
      <w:pPr>
        <w:spacing w:line="240" w:lineRule="auto"/>
        <w:jc w:val="both"/>
        <w:rPr>
          <w:rFonts w:ascii="Times New Roman" w:eastAsia="Arial Unicode MS" w:hAnsi="Times New Roman" w:cs="Times New Roman"/>
          <w:b/>
          <w:bCs/>
          <w:sz w:val="24"/>
          <w:szCs w:val="24"/>
          <w:lang w:val="es-MX" w:eastAsia="ar-SA"/>
        </w:rPr>
      </w:pPr>
      <w:r w:rsidRPr="000077B9">
        <w:rPr>
          <w:rFonts w:ascii="Times New Roman" w:eastAsia="Arial Unicode MS" w:hAnsi="Times New Roman" w:cs="Times New Roman"/>
          <w:b/>
          <w:bCs/>
          <w:sz w:val="24"/>
          <w:szCs w:val="24"/>
          <w:lang w:val="es-MX" w:eastAsia="ar-SA"/>
        </w:rPr>
        <w:t>CONSIDERANDO:</w:t>
      </w:r>
    </w:p>
    <w:p w14:paraId="760BD3DB"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del Reglamento establece que cualquiera de las partes que no se encuentre de acuerdo con la decisión adoptada por la Sala Colegiada sobre la materia reclamada, podrá cuestionarla, interponiendo el correspondiente Recurso de Impugnación.  </w:t>
      </w:r>
    </w:p>
    <w:p w14:paraId="3ECB7970"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el asegurado ha ejercido formalmente su derecho a contradecir lo resuelto por la Sala Colegiada de esta Defensoría.</w:t>
      </w:r>
    </w:p>
    <w:p w14:paraId="1EFE815A"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SEGUNDO: Que, a través del recurso impugnativo, el asegurado discrepa con lo resuelto por la Sala Colegiada, pues considera que la Resolución Impugnada no tomó en cuenta los siguiente: (i) que, la obligación de presentar la denuncia policial debe ser interpretada conforme a los principios de buena fe objetiva y equidad, más aún cuando la omisión no ha generado perjuicio alguno a la aseguradora ni compromete su capacidad de evaluación del riesgo asegurado; (ii) que, en un siniestro anterior en el con los mismos intervinientes, la empresa ………………… una expectativa que el mismo criterio sería aplicado; (iii) que, las autoridades y el procurador de la compañía aseguradora no identificaron conducta alguna que diera indicios de intoxicación u otra circunstancia similar. </w:t>
      </w:r>
    </w:p>
    <w:p w14:paraId="24B50DFF"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TERCERO: Que tal como se señala en la Resolución Impugnada, el asegurado perdió sus derechos indemnizatorios en la medida que incumplió con realizar las diligencias policiales establecidas en la Póliza, además, tampoco se sometió a los exámenes de alcoholemia y/o toxicológicos correspondientes.</w:t>
      </w:r>
    </w:p>
    <w:p w14:paraId="50E6C13C"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Como se señaló en la Resolución Impugnada, de acuerdo con el artículo 59 de la Ley del Contrato de Seguro, la sola inobservancia dolosa o negligente grave de la carga de no realizar las correspondientes actuaciones policiales o de someterse al examen de alcoholemia no libera automáticamente de responsabilidad a la empresa aseguradora, sino que se requiere que este actuar le perjudique, influyendo en la extensión de lo que tendría que indemnizarse. </w:t>
      </w:r>
    </w:p>
    <w:p w14:paraId="3F8FED38"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En el caso siniestros por accidentes de tránsito en el que participan más de una unidad en circulación, las actuaciones policiales contempladas en la Póliza y el sometimiento del conductor a un examen de alcoholemia, es un aspecto esencial de la investigación por parte de la empresa ………………… oportunidades, pues además de constituir una obligación contemplada en el Reglamento Nacional de Tránsito (Texto único Ordenado aprobado por el Decreto Supremo n.° 6-2009-MTC, 21 de abril de 2009), impide que la aseguradora pueda conocer por parte de las autoridades competentes cómo es que ocurrieron los hechos que derivaron en el accidente, así como tampoco se le permite percatarse respecto del real estado de ecuanimidad y plena consciencia del conductor al momento del siniestro.  </w:t>
      </w:r>
    </w:p>
    <w:p w14:paraId="0F8C4FB1"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Como se señala en la Resolución Impugnada, la Póliza (acápite 18, Procedimiento para dar aviso y solicitar la cobertura en caso de siniestro), estipula que para solicitar la cobertura, el asegurado deberá remitir a la aseguradora, dentro de las cuarenta y ocho (48) horas siguientes de la fecha de la denuncia a la autoridad policial, los siguientes documentos: (a) denuncia policial; (b) dosaje etílico; y, (c) copia certificada del informe del atestado policial. </w:t>
      </w:r>
    </w:p>
    <w:p w14:paraId="14DA04AE"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sidRPr="000077B9">
        <w:rPr>
          <w:rFonts w:ascii="Times New Roman" w:eastAsia="Arial Unicode MS" w:hAnsi="Times New Roman" w:cs="Times New Roman"/>
          <w:sz w:val="24"/>
          <w:szCs w:val="24"/>
          <w:lang w:val="es-PE" w:eastAsia="ar-SA"/>
        </w:rPr>
        <w:t>Como se desprende de lo señalado en la Póliza, la regla general, consistente en la obligación del asegurado de sentar la denuncia policial y someterse al examen de alcoholemia. Excepcionalmente, el asegurado puede ser objeto de exoneración de estas obligaciones, si el procurador a cargo de la intervención lo autoriza expresamente, si en el siniestro no intervienen terceros (robos parciales, rotura de lunas y choques donde el vehículo se encuentre estacionado), que se reporte el siniestro dentro de una hora de ocurrido el mismo y siempre que no se haya trasladado el vehículo del lugar del accidente.</w:t>
      </w:r>
    </w:p>
    <w:p w14:paraId="0AF256B7"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En dicho sentido, es claro que en este caso el asegurado al omitir realizar aquellas diligencias exigidas en la Póliza dejó de presentar a la empresa ………………… evaluación del siniestro, afectando de esta forma el análisis cabal del accidente de forma irremediable. </w:t>
      </w:r>
    </w:p>
    <w:p w14:paraId="0DF5533F"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 relación a la exoneración de estas diligencias en anterior accidente, este Colegiado ya ha señalado en la Resolución Impugnada que dicho acontecimiento no forma parte del presente caso, y, por lo tanto, no puede tomarse en cuenta para su evaluación. No obstante, según lo señalado por ………………… en su escrito de absolución de reclamación, en dicha anterior oportunidad, fue el procurador de la empresa ………………… las diligencias a las que estaba obligado, lo cual no ha ocurrido en el presente caso. Por el contrario, de la grabación entre el asegurado y el procurador a cargo de la intervención del accidente, se desprende que este último requirió al asegurado para que presentara la denuncia policial correspondiente, sin embargo, fue el propio asegurado quien decidió no realizar las diligencias a las que estaba obligado. En la medida que las circunstancias del presente caso no son las mismas que las del accidente invocado por el asegurado, no puede señalarse válidamente que se habría vulnerado una expectativa legítima generada en favor del asegurado o se haya realizado algún tipo de discriminación. </w:t>
      </w:r>
    </w:p>
    <w:p w14:paraId="1787442C"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sidRPr="000077B9">
        <w:rPr>
          <w:rFonts w:ascii="Times New Roman" w:eastAsia="Arial Unicode MS" w:hAnsi="Times New Roman" w:cs="Times New Roman"/>
          <w:sz w:val="24"/>
          <w:szCs w:val="24"/>
          <w:lang w:val="es-PE" w:eastAsia="ar-SA"/>
        </w:rPr>
        <w:lastRenderedPageBreak/>
        <w:t xml:space="preserve">Finamente, señala el asegurado que ni las autoridades que intervinieron en el accidente, ni el procurador a cargo del siniestro identificaron conducta alguna que diera indicios de intoxicación o de haber consumido otra sustancia similar. Sin embargo, este dicho no puede ser constatado por la propia inacción del asegurado. Efectivamente, debido a que el asegurado no realizó las diligencias policiales a las que se encontraba obligado, tanto por la Póliza como por el Reglamento Nacional de Tránsito, no existe evidencia del real estado de ecuanimidad o plena consciencia del asegurado al momento del accidente, en dicho sentido, el sólo dicho del asegurado no puede ser tomado válidamente en cuenta, en la medida que debió cumplir una exigencia superior para constatar precisamente si se encontraba en el estado de ecuanimidad que invoca.  </w:t>
      </w:r>
    </w:p>
    <w:p w14:paraId="3B4F0CDF"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sidRPr="000077B9">
        <w:rPr>
          <w:rFonts w:ascii="Times New Roman" w:eastAsia="Arial Unicode MS" w:hAnsi="Times New Roman" w:cs="Times New Roman"/>
          <w:sz w:val="24"/>
          <w:szCs w:val="24"/>
          <w:lang w:val="es-PE" w:eastAsia="ar-SA"/>
        </w:rPr>
        <w:t>Que, en consecuencia, esta Defensoría del Asegurado concluye su apreciación razonada y conjunta al amparo de lo establecido en su Reglamento, por lo que:</w:t>
      </w:r>
    </w:p>
    <w:p w14:paraId="62ADAC63" w14:textId="77777777" w:rsidR="000077B9" w:rsidRPr="000077B9" w:rsidRDefault="000077B9" w:rsidP="000077B9">
      <w:pPr>
        <w:spacing w:line="240" w:lineRule="auto"/>
        <w:jc w:val="both"/>
        <w:rPr>
          <w:rFonts w:ascii="Times New Roman" w:eastAsia="Arial Unicode MS" w:hAnsi="Times New Roman" w:cs="Times New Roman"/>
          <w:b/>
          <w:bCs/>
          <w:sz w:val="24"/>
          <w:szCs w:val="24"/>
          <w:u w:val="single"/>
          <w:lang w:val="es-PE" w:eastAsia="ar-SA"/>
        </w:rPr>
      </w:pPr>
      <w:r w:rsidRPr="000077B9">
        <w:rPr>
          <w:rFonts w:ascii="Times New Roman" w:eastAsia="Arial Unicode MS" w:hAnsi="Times New Roman" w:cs="Times New Roman"/>
          <w:b/>
          <w:bCs/>
          <w:sz w:val="24"/>
          <w:szCs w:val="24"/>
          <w:lang w:val="es-PE" w:eastAsia="ar-SA"/>
        </w:rPr>
        <w:t>RESUELVE:</w:t>
      </w:r>
    </w:p>
    <w:p w14:paraId="3BBB48F4" w14:textId="77777777" w:rsidR="000077B9" w:rsidRPr="000077B9" w:rsidRDefault="000077B9" w:rsidP="000077B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Declarar INFUNDADA la impugnación presentada por el señor ………………… contra la Resolución n.° 073/25 de fecha 26 de mayo de 2025.</w:t>
      </w:r>
    </w:p>
    <w:p w14:paraId="51EDAB4B" w14:textId="2CB002B7" w:rsidR="00B32E8A" w:rsidRPr="00682D7A" w:rsidRDefault="0091528B" w:rsidP="006F011C">
      <w:pPr>
        <w:spacing w:line="240" w:lineRule="auto"/>
        <w:jc w:val="right"/>
        <w:rPr>
          <w:rFonts w:ascii="Times New Roman" w:hAnsi="Times New Roman" w:cs="Times New Roman"/>
          <w:sz w:val="24"/>
          <w:szCs w:val="24"/>
          <w:lang w:val="es-PE"/>
        </w:rPr>
      </w:pPr>
      <w:r w:rsidRPr="00682D7A">
        <w:rPr>
          <w:rFonts w:ascii="Times New Roman" w:eastAsia="Arial Unicode MS" w:hAnsi="Times New Roman" w:cs="Times New Roman"/>
          <w:sz w:val="24"/>
          <w:szCs w:val="24"/>
          <w:lang w:val="es-PE" w:eastAsia="ar-SA"/>
        </w:rPr>
        <w:t>Lima,</w:t>
      </w:r>
      <w:r w:rsidR="00774D05" w:rsidRPr="00682D7A">
        <w:rPr>
          <w:rFonts w:ascii="Times New Roman" w:eastAsia="Arial Unicode MS" w:hAnsi="Times New Roman" w:cs="Times New Roman"/>
          <w:sz w:val="24"/>
          <w:szCs w:val="24"/>
          <w:lang w:val="es-PE" w:eastAsia="ar-SA"/>
        </w:rPr>
        <w:t xml:space="preserve"> </w:t>
      </w:r>
      <w:r w:rsidR="00682D7A" w:rsidRPr="00682D7A">
        <w:rPr>
          <w:rFonts w:ascii="Times New Roman" w:eastAsia="Arial Unicode MS" w:hAnsi="Times New Roman" w:cs="Times New Roman"/>
          <w:sz w:val="24"/>
          <w:szCs w:val="24"/>
          <w:lang w:val="es-PE" w:eastAsia="ar-SA"/>
        </w:rPr>
        <w:t>2</w:t>
      </w:r>
      <w:r w:rsidR="00956309">
        <w:rPr>
          <w:rFonts w:ascii="Times New Roman" w:eastAsia="Arial Unicode MS" w:hAnsi="Times New Roman" w:cs="Times New Roman"/>
          <w:sz w:val="24"/>
          <w:szCs w:val="24"/>
          <w:lang w:val="es-PE" w:eastAsia="ar-SA"/>
        </w:rPr>
        <w:t>5</w:t>
      </w:r>
      <w:r w:rsidR="00B8209E" w:rsidRPr="00682D7A">
        <w:rPr>
          <w:rFonts w:ascii="Times New Roman" w:eastAsia="Arial Unicode MS" w:hAnsi="Times New Roman" w:cs="Times New Roman"/>
          <w:sz w:val="24"/>
          <w:szCs w:val="24"/>
          <w:lang w:val="es-PE" w:eastAsia="ar-SA"/>
        </w:rPr>
        <w:t xml:space="preserve"> </w:t>
      </w:r>
      <w:r w:rsidR="00707C99" w:rsidRPr="00682D7A">
        <w:rPr>
          <w:rFonts w:ascii="Times New Roman" w:eastAsia="Arial Unicode MS" w:hAnsi="Times New Roman" w:cs="Times New Roman"/>
          <w:sz w:val="24"/>
          <w:szCs w:val="24"/>
          <w:lang w:val="es-PE" w:eastAsia="ar-SA"/>
        </w:rPr>
        <w:t xml:space="preserve">de </w:t>
      </w:r>
      <w:r w:rsidR="002756B9" w:rsidRPr="00682D7A">
        <w:rPr>
          <w:rFonts w:ascii="Times New Roman" w:eastAsia="Arial Unicode MS" w:hAnsi="Times New Roman" w:cs="Times New Roman"/>
          <w:sz w:val="24"/>
          <w:szCs w:val="24"/>
          <w:lang w:val="es-PE" w:eastAsia="ar-SA"/>
        </w:rPr>
        <w:t xml:space="preserve">agosto </w:t>
      </w:r>
      <w:r w:rsidR="00F06498" w:rsidRPr="00682D7A">
        <w:rPr>
          <w:rFonts w:ascii="Times New Roman" w:eastAsia="Arial Unicode MS" w:hAnsi="Times New Roman" w:cs="Times New Roman"/>
          <w:sz w:val="24"/>
          <w:szCs w:val="24"/>
          <w:lang w:val="es-PE" w:eastAsia="ar-SA"/>
        </w:rPr>
        <w:t>de 202</w:t>
      </w:r>
      <w:r w:rsidR="00AE4D37" w:rsidRPr="00682D7A">
        <w:rPr>
          <w:rFonts w:ascii="Times New Roman" w:eastAsia="Arial Unicode MS" w:hAnsi="Times New Roman" w:cs="Times New Roman"/>
          <w:sz w:val="24"/>
          <w:szCs w:val="24"/>
          <w:lang w:val="es-PE" w:eastAsia="ar-SA"/>
        </w:rPr>
        <w:t>5</w:t>
      </w:r>
      <w:r w:rsidR="00707C99" w:rsidRPr="00682D7A">
        <w:rPr>
          <w:rFonts w:ascii="Times New Roman" w:eastAsia="Times New Roman" w:hAnsi="Times New Roman" w:cs="Times New Roman"/>
          <w:sz w:val="24"/>
          <w:szCs w:val="24"/>
          <w:lang w:val="es-PE" w:eastAsia="ar-SA"/>
        </w:rPr>
        <w:t xml:space="preserve"> </w:t>
      </w:r>
    </w:p>
    <w:p w14:paraId="1B6988F6" w14:textId="77777777" w:rsidR="00A323F4" w:rsidRPr="00682D7A" w:rsidRDefault="00A323F4" w:rsidP="00657814">
      <w:pPr>
        <w:spacing w:after="0" w:line="240" w:lineRule="auto"/>
        <w:jc w:val="both"/>
        <w:rPr>
          <w:rFonts w:ascii="Times New Roman" w:hAnsi="Times New Roman" w:cs="Times New Roman"/>
          <w:b/>
          <w:bCs/>
          <w:i/>
          <w:iCs/>
          <w:sz w:val="24"/>
          <w:szCs w:val="24"/>
          <w:lang w:val="es-PE"/>
        </w:rPr>
      </w:pPr>
      <w:r w:rsidRPr="00682D7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682D7A" w:rsidRDefault="008D26BA" w:rsidP="00657814">
      <w:pPr>
        <w:spacing w:after="0" w:line="360" w:lineRule="auto"/>
        <w:jc w:val="both"/>
        <w:rPr>
          <w:rFonts w:ascii="Times New Roman" w:hAnsi="Times New Roman" w:cs="Times New Roman"/>
          <w:b/>
          <w:bCs/>
          <w:i/>
          <w:iCs/>
          <w:sz w:val="24"/>
          <w:szCs w:val="24"/>
          <w:lang w:val="es-PE"/>
        </w:rPr>
      </w:pPr>
    </w:p>
    <w:p w14:paraId="5B39FA6C" w14:textId="77777777" w:rsidR="0066633A" w:rsidRPr="00682D7A" w:rsidRDefault="0066633A" w:rsidP="0066633A">
      <w:pPr>
        <w:spacing w:after="0" w:line="360" w:lineRule="auto"/>
        <w:jc w:val="center"/>
        <w:rPr>
          <w:rFonts w:ascii="Times New Roman" w:hAnsi="Times New Roman" w:cs="Times New Roman"/>
          <w:b/>
          <w:bCs/>
          <w:sz w:val="24"/>
          <w:szCs w:val="24"/>
          <w:lang w:val="es-PE"/>
        </w:rPr>
      </w:pPr>
      <w:r w:rsidRPr="00682D7A">
        <w:rPr>
          <w:rFonts w:ascii="Times New Roman" w:hAnsi="Times New Roman" w:cs="Times New Roman"/>
          <w:b/>
          <w:bCs/>
          <w:sz w:val="24"/>
          <w:szCs w:val="24"/>
          <w:lang w:val="es-PE"/>
        </w:rPr>
        <w:t xml:space="preserve">Rolando Eyzaguirre </w:t>
      </w:r>
      <w:proofErr w:type="spellStart"/>
      <w:r w:rsidRPr="00682D7A">
        <w:rPr>
          <w:rFonts w:ascii="Times New Roman" w:hAnsi="Times New Roman" w:cs="Times New Roman"/>
          <w:b/>
          <w:bCs/>
          <w:sz w:val="24"/>
          <w:szCs w:val="24"/>
          <w:lang w:val="es-PE"/>
        </w:rPr>
        <w:t>Maccan</w:t>
      </w:r>
      <w:proofErr w:type="spellEnd"/>
      <w:r w:rsidRPr="00682D7A">
        <w:rPr>
          <w:rFonts w:ascii="Times New Roman" w:hAnsi="Times New Roman" w:cs="Times New Roman"/>
          <w:b/>
          <w:bCs/>
          <w:sz w:val="24"/>
          <w:szCs w:val="24"/>
          <w:lang w:val="es-PE"/>
        </w:rPr>
        <w:t xml:space="preserve"> – </w:t>
      </w:r>
      <w:proofErr w:type="gramStart"/>
      <w:r w:rsidRPr="00682D7A">
        <w:rPr>
          <w:rFonts w:ascii="Times New Roman" w:hAnsi="Times New Roman" w:cs="Times New Roman"/>
          <w:b/>
          <w:bCs/>
          <w:sz w:val="24"/>
          <w:szCs w:val="24"/>
          <w:lang w:val="es-PE"/>
        </w:rPr>
        <w:t>Presidente</w:t>
      </w:r>
      <w:proofErr w:type="gramEnd"/>
    </w:p>
    <w:p w14:paraId="5A48D78D" w14:textId="77777777" w:rsidR="0066633A" w:rsidRPr="00682D7A" w:rsidRDefault="0066633A" w:rsidP="0066633A">
      <w:pPr>
        <w:spacing w:after="0" w:line="360" w:lineRule="auto"/>
        <w:jc w:val="center"/>
        <w:rPr>
          <w:rFonts w:ascii="Times New Roman" w:hAnsi="Times New Roman" w:cs="Times New Roman"/>
          <w:b/>
          <w:bCs/>
          <w:sz w:val="24"/>
          <w:szCs w:val="24"/>
          <w:lang w:val="es-PE"/>
        </w:rPr>
      </w:pPr>
      <w:r w:rsidRPr="00682D7A">
        <w:rPr>
          <w:rFonts w:ascii="Times New Roman" w:hAnsi="Times New Roman" w:cs="Times New Roman"/>
          <w:b/>
          <w:bCs/>
          <w:sz w:val="24"/>
          <w:szCs w:val="24"/>
          <w:lang w:val="es-PE"/>
        </w:rPr>
        <w:t>María Eugenia Valdez Fernández Baca – Vocal</w:t>
      </w:r>
    </w:p>
    <w:p w14:paraId="37821FA7" w14:textId="77777777" w:rsidR="0066633A" w:rsidRPr="00682D7A" w:rsidRDefault="0066633A" w:rsidP="0066633A">
      <w:pPr>
        <w:spacing w:after="0" w:line="360" w:lineRule="auto"/>
        <w:jc w:val="center"/>
        <w:rPr>
          <w:rFonts w:ascii="Times New Roman" w:hAnsi="Times New Roman" w:cs="Times New Roman"/>
          <w:sz w:val="24"/>
          <w:szCs w:val="24"/>
          <w:lang w:val="es-PE"/>
        </w:rPr>
      </w:pPr>
      <w:r w:rsidRPr="00682D7A">
        <w:rPr>
          <w:rFonts w:ascii="Times New Roman" w:hAnsi="Times New Roman" w:cs="Times New Roman"/>
          <w:b/>
          <w:bCs/>
          <w:sz w:val="24"/>
          <w:szCs w:val="24"/>
        </w:rPr>
        <w:t>Antonio José Rodríguez Lobatón</w:t>
      </w:r>
      <w:r w:rsidRPr="00682D7A">
        <w:rPr>
          <w:rFonts w:ascii="Times New Roman" w:hAnsi="Times New Roman" w:cs="Times New Roman"/>
          <w:b/>
          <w:bCs/>
          <w:sz w:val="24"/>
          <w:szCs w:val="24"/>
          <w:lang w:val="es-PE"/>
        </w:rPr>
        <w:t xml:space="preserve"> – Vocal</w:t>
      </w:r>
    </w:p>
    <w:p w14:paraId="412CCBAA" w14:textId="77777777" w:rsidR="00986F0C" w:rsidRPr="009C0D47"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C0D47"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C0D47" w:rsidRDefault="00556526" w:rsidP="00B17E56">
      <w:pPr>
        <w:spacing w:line="240" w:lineRule="auto"/>
        <w:jc w:val="both"/>
        <w:rPr>
          <w:rFonts w:ascii="Times New Roman" w:hAnsi="Times New Roman" w:cs="Times New Roman"/>
          <w:b/>
          <w:bCs/>
          <w:i/>
          <w:iCs/>
          <w:sz w:val="24"/>
          <w:szCs w:val="24"/>
          <w:lang w:val="es-PE"/>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5F0AD" w14:textId="77777777" w:rsidR="004B358C" w:rsidRDefault="004B358C" w:rsidP="00784355">
      <w:pPr>
        <w:spacing w:after="0" w:line="240" w:lineRule="auto"/>
      </w:pPr>
      <w:r>
        <w:separator/>
      </w:r>
    </w:p>
  </w:endnote>
  <w:endnote w:type="continuationSeparator" w:id="0">
    <w:p w14:paraId="498EF0EB" w14:textId="77777777" w:rsidR="004B358C" w:rsidRDefault="004B358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BE478" w14:textId="77777777" w:rsidR="004B358C" w:rsidRDefault="004B358C" w:rsidP="00784355">
      <w:pPr>
        <w:spacing w:after="0" w:line="240" w:lineRule="auto"/>
      </w:pPr>
      <w:r>
        <w:separator/>
      </w:r>
    </w:p>
  </w:footnote>
  <w:footnote w:type="continuationSeparator" w:id="0">
    <w:p w14:paraId="7B7BDE5F" w14:textId="77777777" w:rsidR="004B358C" w:rsidRDefault="004B358C" w:rsidP="00784355">
      <w:pPr>
        <w:spacing w:after="0" w:line="240" w:lineRule="auto"/>
      </w:pPr>
      <w:r>
        <w:continuationSeparator/>
      </w:r>
    </w:p>
  </w:footnote>
  <w:footnote w:id="1">
    <w:p w14:paraId="1AEA7D34" w14:textId="77777777" w:rsidR="000077B9" w:rsidRPr="000077B9" w:rsidRDefault="000077B9" w:rsidP="000077B9">
      <w:pPr>
        <w:pStyle w:val="Textonotapie"/>
        <w:tabs>
          <w:tab w:val="left" w:pos="284"/>
        </w:tabs>
        <w:spacing w:after="120"/>
        <w:ind w:left="284" w:hanging="284"/>
        <w:jc w:val="both"/>
        <w:rPr>
          <w:rFonts w:ascii="Times New Roman" w:hAnsi="Times New Roman" w:cs="Times New Roman"/>
          <w:sz w:val="18"/>
          <w:szCs w:val="18"/>
          <w:lang w:val="es-MX"/>
        </w:rPr>
      </w:pPr>
      <w:r>
        <w:rPr>
          <w:rStyle w:val="Refdenotaalpie"/>
          <w:rFonts w:ascii="Georgia" w:hAnsi="Georgia"/>
        </w:rPr>
        <w:footnoteRef/>
      </w:r>
      <w:r>
        <w:rPr>
          <w:rFonts w:ascii="Georgia" w:hAnsi="Georgia"/>
        </w:rPr>
        <w:t xml:space="preserve"> </w:t>
      </w:r>
      <w:r>
        <w:rPr>
          <w:rFonts w:ascii="Georgia" w:hAnsi="Georgia"/>
        </w:rPr>
        <w:tab/>
      </w:r>
      <w:hyperlink r:id="rId1" w:history="1">
        <w:r w:rsidRPr="000077B9">
          <w:rPr>
            <w:rStyle w:val="Hipervnculo"/>
            <w:rFonts w:ascii="Times New Roman" w:eastAsia="Arial Unicode MS" w:hAnsi="Times New Roman" w:cs="Times New Roman"/>
            <w:sz w:val="18"/>
            <w:szCs w:val="18"/>
            <w:lang w:val="es-PE"/>
          </w:rPr>
          <w:t>http://www.defaseg.com.pe/reglamento</w:t>
        </w:r>
      </w:hyperlink>
      <w:r w:rsidRPr="000077B9">
        <w:rPr>
          <w:rFonts w:ascii="Times New Roman" w:eastAsia="Arial Unicode MS" w:hAnsi="Times New Roman" w:cs="Times New Roman"/>
          <w:sz w:val="18"/>
          <w:szCs w:val="18"/>
          <w:lang w:val="es-PE"/>
        </w:rPr>
        <w:t xml:space="preserve"> </w:t>
      </w:r>
    </w:p>
  </w:footnote>
  <w:footnote w:id="2">
    <w:p w14:paraId="30D1EF16" w14:textId="77777777" w:rsidR="000077B9" w:rsidRPr="000077B9" w:rsidRDefault="000077B9" w:rsidP="000077B9">
      <w:pPr>
        <w:pStyle w:val="Textonotapie"/>
        <w:tabs>
          <w:tab w:val="left" w:pos="284"/>
        </w:tabs>
        <w:spacing w:after="60"/>
        <w:ind w:left="284" w:hanging="284"/>
        <w:jc w:val="both"/>
        <w:rPr>
          <w:rFonts w:ascii="Times New Roman" w:hAnsi="Times New Roman" w:cs="Times New Roman"/>
          <w:b/>
          <w:bCs/>
          <w:sz w:val="18"/>
          <w:szCs w:val="18"/>
        </w:rPr>
      </w:pPr>
      <w:r w:rsidRPr="000077B9">
        <w:rPr>
          <w:rStyle w:val="Refdenotaalpie"/>
          <w:rFonts w:ascii="Times New Roman" w:hAnsi="Times New Roman" w:cs="Times New Roman"/>
          <w:sz w:val="18"/>
          <w:szCs w:val="18"/>
        </w:rPr>
        <w:footnoteRef/>
      </w:r>
      <w:r w:rsidRPr="000077B9">
        <w:rPr>
          <w:rFonts w:ascii="Times New Roman" w:hAnsi="Times New Roman" w:cs="Times New Roman"/>
          <w:sz w:val="18"/>
          <w:szCs w:val="18"/>
        </w:rPr>
        <w:t xml:space="preserve"> </w:t>
      </w:r>
      <w:r w:rsidRPr="000077B9">
        <w:rPr>
          <w:rFonts w:ascii="Times New Roman" w:hAnsi="Times New Roman" w:cs="Times New Roman"/>
          <w:sz w:val="18"/>
          <w:szCs w:val="18"/>
        </w:rPr>
        <w:tab/>
      </w:r>
      <w:proofErr w:type="spellStart"/>
      <w:r w:rsidRPr="000077B9">
        <w:rPr>
          <w:rFonts w:ascii="Times New Roman" w:hAnsi="Times New Roman" w:cs="Times New Roman"/>
          <w:b/>
          <w:bCs/>
          <w:sz w:val="18"/>
          <w:szCs w:val="18"/>
        </w:rPr>
        <w:t>Reglamento</w:t>
      </w:r>
      <w:proofErr w:type="spellEnd"/>
      <w:r w:rsidRPr="000077B9">
        <w:rPr>
          <w:rFonts w:ascii="Times New Roman" w:hAnsi="Times New Roman" w:cs="Times New Roman"/>
          <w:b/>
          <w:bCs/>
          <w:sz w:val="18"/>
          <w:szCs w:val="18"/>
        </w:rPr>
        <w:t xml:space="preserve"> de DEFASEG</w:t>
      </w:r>
    </w:p>
    <w:p w14:paraId="00CDE581" w14:textId="77777777" w:rsidR="000077B9" w:rsidRPr="000077B9" w:rsidRDefault="000077B9" w:rsidP="000077B9">
      <w:pPr>
        <w:pStyle w:val="Textonotapie"/>
        <w:tabs>
          <w:tab w:val="left" w:pos="284"/>
        </w:tabs>
        <w:spacing w:after="60"/>
        <w:ind w:left="284" w:hanging="284"/>
        <w:jc w:val="both"/>
        <w:rPr>
          <w:rFonts w:ascii="Times New Roman" w:hAnsi="Times New Roman" w:cs="Times New Roman"/>
          <w:b/>
          <w:bCs/>
          <w:sz w:val="18"/>
          <w:szCs w:val="18"/>
        </w:rPr>
      </w:pPr>
      <w:r w:rsidRPr="000077B9">
        <w:rPr>
          <w:rFonts w:ascii="Times New Roman" w:hAnsi="Times New Roman" w:cs="Times New Roman"/>
          <w:sz w:val="18"/>
          <w:szCs w:val="18"/>
        </w:rPr>
        <w:tab/>
      </w:r>
      <w:r w:rsidRPr="000077B9">
        <w:rPr>
          <w:rFonts w:ascii="Times New Roman" w:hAnsi="Times New Roman" w:cs="Times New Roman"/>
          <w:b/>
          <w:bCs/>
          <w:sz w:val="18"/>
          <w:szCs w:val="18"/>
        </w:rPr>
        <w:t xml:space="preserve">10. </w:t>
      </w:r>
      <w:proofErr w:type="spellStart"/>
      <w:r w:rsidRPr="000077B9">
        <w:rPr>
          <w:rFonts w:ascii="Times New Roman" w:hAnsi="Times New Roman" w:cs="Times New Roman"/>
          <w:b/>
          <w:bCs/>
          <w:sz w:val="18"/>
          <w:szCs w:val="18"/>
        </w:rPr>
        <w:t>Procedimiento</w:t>
      </w:r>
      <w:proofErr w:type="spellEnd"/>
    </w:p>
    <w:p w14:paraId="75EA366A" w14:textId="77777777" w:rsidR="000077B9" w:rsidRPr="000077B9" w:rsidRDefault="000077B9" w:rsidP="000077B9">
      <w:pPr>
        <w:pStyle w:val="Textonotapie"/>
        <w:tabs>
          <w:tab w:val="left" w:pos="284"/>
        </w:tabs>
        <w:spacing w:after="60"/>
        <w:ind w:left="284" w:hanging="284"/>
        <w:jc w:val="both"/>
        <w:rPr>
          <w:rFonts w:ascii="Times New Roman" w:hAnsi="Times New Roman" w:cs="Times New Roman"/>
          <w:sz w:val="18"/>
          <w:szCs w:val="18"/>
        </w:rPr>
      </w:pPr>
      <w:r w:rsidRPr="000077B9">
        <w:rPr>
          <w:rFonts w:ascii="Times New Roman" w:hAnsi="Times New Roman" w:cs="Times New Roman"/>
          <w:sz w:val="18"/>
          <w:szCs w:val="18"/>
        </w:rPr>
        <w:tab/>
        <w:t>(…)</w:t>
      </w:r>
    </w:p>
    <w:p w14:paraId="35367553" w14:textId="77777777" w:rsidR="000077B9" w:rsidRPr="000077B9" w:rsidRDefault="000077B9" w:rsidP="000077B9">
      <w:pPr>
        <w:pStyle w:val="Textonotapie"/>
        <w:tabs>
          <w:tab w:val="left" w:pos="284"/>
        </w:tabs>
        <w:spacing w:after="60"/>
        <w:ind w:left="284" w:hanging="284"/>
        <w:jc w:val="both"/>
        <w:rPr>
          <w:rFonts w:ascii="Times New Roman" w:hAnsi="Times New Roman" w:cs="Times New Roman"/>
          <w:sz w:val="18"/>
          <w:szCs w:val="18"/>
        </w:rPr>
      </w:pPr>
      <w:r w:rsidRPr="000077B9">
        <w:rPr>
          <w:rFonts w:ascii="Times New Roman" w:hAnsi="Times New Roman" w:cs="Times New Roman"/>
          <w:sz w:val="18"/>
          <w:szCs w:val="18"/>
        </w:rPr>
        <w:tab/>
        <w:t xml:space="preserve">En </w:t>
      </w:r>
      <w:proofErr w:type="spellStart"/>
      <w:r w:rsidRPr="000077B9">
        <w:rPr>
          <w:rFonts w:ascii="Times New Roman" w:hAnsi="Times New Roman" w:cs="Times New Roman"/>
          <w:sz w:val="18"/>
          <w:szCs w:val="18"/>
        </w:rPr>
        <w:t>caso</w:t>
      </w:r>
      <w:proofErr w:type="spellEnd"/>
      <w:r w:rsidRPr="000077B9">
        <w:rPr>
          <w:rFonts w:ascii="Times New Roman" w:hAnsi="Times New Roman" w:cs="Times New Roman"/>
          <w:sz w:val="18"/>
          <w:szCs w:val="18"/>
        </w:rPr>
        <w:t xml:space="preserve"> </w:t>
      </w:r>
      <w:proofErr w:type="spellStart"/>
      <w:r w:rsidRPr="000077B9">
        <w:rPr>
          <w:rFonts w:ascii="Times New Roman" w:hAnsi="Times New Roman" w:cs="Times New Roman"/>
          <w:sz w:val="18"/>
          <w:szCs w:val="18"/>
        </w:rPr>
        <w:t>cualquiera</w:t>
      </w:r>
      <w:proofErr w:type="spellEnd"/>
      <w:r w:rsidRPr="000077B9">
        <w:rPr>
          <w:rFonts w:ascii="Times New Roman" w:hAnsi="Times New Roman" w:cs="Times New Roman"/>
          <w:sz w:val="18"/>
          <w:szCs w:val="18"/>
        </w:rPr>
        <w:t xml:space="preserve"> de las partes no se </w:t>
      </w:r>
      <w:proofErr w:type="spellStart"/>
      <w:r w:rsidRPr="000077B9">
        <w:rPr>
          <w:rFonts w:ascii="Times New Roman" w:hAnsi="Times New Roman" w:cs="Times New Roman"/>
          <w:sz w:val="18"/>
          <w:szCs w:val="18"/>
        </w:rPr>
        <w:t>encuentre</w:t>
      </w:r>
      <w:proofErr w:type="spellEnd"/>
      <w:r w:rsidRPr="000077B9">
        <w:rPr>
          <w:rFonts w:ascii="Times New Roman" w:hAnsi="Times New Roman" w:cs="Times New Roman"/>
          <w:sz w:val="18"/>
          <w:szCs w:val="18"/>
        </w:rPr>
        <w:t xml:space="preserve"> </w:t>
      </w:r>
      <w:proofErr w:type="spellStart"/>
      <w:r w:rsidRPr="000077B9">
        <w:rPr>
          <w:rFonts w:ascii="Times New Roman" w:hAnsi="Times New Roman" w:cs="Times New Roman"/>
          <w:sz w:val="18"/>
          <w:szCs w:val="18"/>
        </w:rPr>
        <w:t>conforme</w:t>
      </w:r>
      <w:proofErr w:type="spellEnd"/>
      <w:r w:rsidRPr="000077B9">
        <w:rPr>
          <w:rFonts w:ascii="Times New Roman" w:hAnsi="Times New Roman" w:cs="Times New Roman"/>
          <w:sz w:val="18"/>
          <w:szCs w:val="18"/>
        </w:rPr>
        <w:t xml:space="preserve"> con la </w:t>
      </w:r>
      <w:proofErr w:type="spellStart"/>
      <w:r w:rsidRPr="000077B9">
        <w:rPr>
          <w:rFonts w:ascii="Times New Roman" w:hAnsi="Times New Roman" w:cs="Times New Roman"/>
          <w:sz w:val="18"/>
          <w:szCs w:val="18"/>
        </w:rPr>
        <w:t>decisión</w:t>
      </w:r>
      <w:proofErr w:type="spellEnd"/>
      <w:r w:rsidRPr="000077B9">
        <w:rPr>
          <w:rFonts w:ascii="Times New Roman" w:hAnsi="Times New Roman" w:cs="Times New Roman"/>
          <w:sz w:val="18"/>
          <w:szCs w:val="18"/>
        </w:rPr>
        <w:t xml:space="preserve"> </w:t>
      </w:r>
      <w:proofErr w:type="spellStart"/>
      <w:r w:rsidRPr="000077B9">
        <w:rPr>
          <w:rFonts w:ascii="Times New Roman" w:hAnsi="Times New Roman" w:cs="Times New Roman"/>
          <w:sz w:val="18"/>
          <w:szCs w:val="18"/>
        </w:rPr>
        <w:t>adoptada</w:t>
      </w:r>
      <w:proofErr w:type="spellEnd"/>
      <w:r w:rsidRPr="000077B9">
        <w:rPr>
          <w:rFonts w:ascii="Times New Roman" w:hAnsi="Times New Roman" w:cs="Times New Roman"/>
          <w:sz w:val="18"/>
          <w:szCs w:val="18"/>
        </w:rPr>
        <w:t xml:space="preserve">, </w:t>
      </w:r>
      <w:proofErr w:type="spellStart"/>
      <w:r w:rsidRPr="000077B9">
        <w:rPr>
          <w:rFonts w:ascii="Times New Roman" w:hAnsi="Times New Roman" w:cs="Times New Roman"/>
          <w:sz w:val="18"/>
          <w:szCs w:val="18"/>
        </w:rPr>
        <w:t>podrá</w:t>
      </w:r>
      <w:proofErr w:type="spellEnd"/>
      <w:r w:rsidRPr="000077B9">
        <w:rPr>
          <w:rFonts w:ascii="Times New Roman" w:hAnsi="Times New Roman" w:cs="Times New Roman"/>
          <w:sz w:val="18"/>
          <w:szCs w:val="18"/>
        </w:rPr>
        <w:t xml:space="preserve"> </w:t>
      </w:r>
      <w:proofErr w:type="spellStart"/>
      <w:r w:rsidRPr="000077B9">
        <w:rPr>
          <w:rFonts w:ascii="Times New Roman" w:hAnsi="Times New Roman" w:cs="Times New Roman"/>
          <w:sz w:val="18"/>
          <w:szCs w:val="18"/>
        </w:rPr>
        <w:t>impugnarla</w:t>
      </w:r>
      <w:proofErr w:type="spellEnd"/>
      <w:r w:rsidRPr="000077B9">
        <w:rPr>
          <w:rFonts w:ascii="Times New Roman" w:hAnsi="Times New Roman" w:cs="Times New Roman"/>
          <w:sz w:val="18"/>
          <w:szCs w:val="18"/>
        </w:rPr>
        <w:t xml:space="preserve">, </w:t>
      </w:r>
      <w:proofErr w:type="spellStart"/>
      <w:r w:rsidRPr="000077B9">
        <w:rPr>
          <w:rFonts w:ascii="Times New Roman" w:hAnsi="Times New Roman" w:cs="Times New Roman"/>
          <w:sz w:val="18"/>
          <w:szCs w:val="18"/>
        </w:rPr>
        <w:t>en</w:t>
      </w:r>
      <w:proofErr w:type="spellEnd"/>
      <w:r w:rsidRPr="000077B9">
        <w:rPr>
          <w:rFonts w:ascii="Times New Roman" w:hAnsi="Times New Roman" w:cs="Times New Roman"/>
          <w:sz w:val="18"/>
          <w:szCs w:val="18"/>
        </w:rPr>
        <w:t xml:space="preserve"> el </w:t>
      </w:r>
      <w:proofErr w:type="spellStart"/>
      <w:r w:rsidRPr="000077B9">
        <w:rPr>
          <w:rFonts w:ascii="Times New Roman" w:hAnsi="Times New Roman" w:cs="Times New Roman"/>
          <w:sz w:val="18"/>
          <w:szCs w:val="18"/>
        </w:rPr>
        <w:t>plazo</w:t>
      </w:r>
      <w:proofErr w:type="spellEnd"/>
      <w:r w:rsidRPr="000077B9">
        <w:rPr>
          <w:rFonts w:ascii="Times New Roman" w:hAnsi="Times New Roman" w:cs="Times New Roman"/>
          <w:sz w:val="18"/>
          <w:szCs w:val="18"/>
        </w:rPr>
        <w:t xml:space="preserve"> de </w:t>
      </w:r>
      <w:proofErr w:type="spellStart"/>
      <w:r w:rsidRPr="000077B9">
        <w:rPr>
          <w:rFonts w:ascii="Times New Roman" w:hAnsi="Times New Roman" w:cs="Times New Roman"/>
          <w:sz w:val="18"/>
          <w:szCs w:val="18"/>
        </w:rPr>
        <w:t>cinco</w:t>
      </w:r>
      <w:proofErr w:type="spellEnd"/>
      <w:r w:rsidRPr="000077B9">
        <w:rPr>
          <w:rFonts w:ascii="Times New Roman" w:hAnsi="Times New Roman" w:cs="Times New Roman"/>
          <w:sz w:val="18"/>
          <w:szCs w:val="18"/>
        </w:rPr>
        <w:t xml:space="preserve"> (5) días </w:t>
      </w:r>
      <w:proofErr w:type="spellStart"/>
      <w:r w:rsidRPr="000077B9">
        <w:rPr>
          <w:rFonts w:ascii="Times New Roman" w:hAnsi="Times New Roman" w:cs="Times New Roman"/>
          <w:sz w:val="18"/>
          <w:szCs w:val="18"/>
        </w:rPr>
        <w:t>hábiles</w:t>
      </w:r>
      <w:proofErr w:type="spellEnd"/>
      <w:r w:rsidRPr="000077B9">
        <w:rPr>
          <w:rFonts w:ascii="Times New Roman" w:hAnsi="Times New Roman" w:cs="Times New Roman"/>
          <w:sz w:val="18"/>
          <w:szCs w:val="18"/>
        </w:rPr>
        <w:t xml:space="preserve"> de </w:t>
      </w:r>
      <w:proofErr w:type="spellStart"/>
      <w:r w:rsidRPr="000077B9">
        <w:rPr>
          <w:rFonts w:ascii="Times New Roman" w:hAnsi="Times New Roman" w:cs="Times New Roman"/>
          <w:sz w:val="18"/>
          <w:szCs w:val="18"/>
        </w:rPr>
        <w:t>notificada</w:t>
      </w:r>
      <w:proofErr w:type="spellEnd"/>
      <w:r w:rsidRPr="000077B9">
        <w:rPr>
          <w:rFonts w:ascii="Times New Roman" w:hAnsi="Times New Roman" w:cs="Times New Roman"/>
          <w:sz w:val="18"/>
          <w:szCs w:val="18"/>
        </w:rPr>
        <w:t xml:space="preserve">. </w:t>
      </w:r>
    </w:p>
    <w:p w14:paraId="053FB710" w14:textId="77777777" w:rsidR="000077B9" w:rsidRPr="000077B9" w:rsidRDefault="000077B9" w:rsidP="000077B9">
      <w:pPr>
        <w:pStyle w:val="Textonotapie"/>
        <w:tabs>
          <w:tab w:val="left" w:pos="284"/>
        </w:tabs>
        <w:spacing w:after="60"/>
        <w:ind w:left="284" w:hanging="284"/>
        <w:jc w:val="both"/>
        <w:rPr>
          <w:rFonts w:ascii="Times New Roman" w:hAnsi="Times New Roman" w:cs="Times New Roman"/>
          <w:sz w:val="18"/>
          <w:szCs w:val="18"/>
        </w:rPr>
      </w:pPr>
      <w:r w:rsidRPr="000077B9">
        <w:rPr>
          <w:rFonts w:ascii="Times New Roman" w:hAnsi="Times New Roman" w:cs="Times New Roman"/>
          <w:sz w:val="18"/>
          <w:szCs w:val="18"/>
        </w:rPr>
        <w:tab/>
      </w:r>
      <w:proofErr w:type="spellStart"/>
      <w:r w:rsidRPr="000077B9">
        <w:rPr>
          <w:rFonts w:ascii="Times New Roman" w:hAnsi="Times New Roman" w:cs="Times New Roman"/>
          <w:sz w:val="18"/>
          <w:szCs w:val="18"/>
        </w:rPr>
        <w:t>Recibido</w:t>
      </w:r>
      <w:proofErr w:type="spellEnd"/>
      <w:r w:rsidRPr="000077B9">
        <w:rPr>
          <w:rFonts w:ascii="Times New Roman" w:hAnsi="Times New Roman" w:cs="Times New Roman"/>
          <w:sz w:val="18"/>
          <w:szCs w:val="18"/>
        </w:rPr>
        <w:t xml:space="preserve"> el </w:t>
      </w:r>
      <w:proofErr w:type="spellStart"/>
      <w:r w:rsidRPr="000077B9">
        <w:rPr>
          <w:rFonts w:ascii="Times New Roman" w:hAnsi="Times New Roman" w:cs="Times New Roman"/>
          <w:sz w:val="18"/>
          <w:szCs w:val="18"/>
        </w:rPr>
        <w:t>recurso</w:t>
      </w:r>
      <w:proofErr w:type="spellEnd"/>
      <w:r w:rsidRPr="000077B9">
        <w:rPr>
          <w:rFonts w:ascii="Times New Roman" w:hAnsi="Times New Roman" w:cs="Times New Roman"/>
          <w:sz w:val="18"/>
          <w:szCs w:val="18"/>
        </w:rPr>
        <w:t xml:space="preserve">, la </w:t>
      </w:r>
      <w:proofErr w:type="spellStart"/>
      <w:r w:rsidRPr="000077B9">
        <w:rPr>
          <w:rFonts w:ascii="Times New Roman" w:hAnsi="Times New Roman" w:cs="Times New Roman"/>
          <w:sz w:val="18"/>
          <w:szCs w:val="18"/>
        </w:rPr>
        <w:t>Defensoría</w:t>
      </w:r>
      <w:proofErr w:type="spellEnd"/>
      <w:r w:rsidRPr="000077B9">
        <w:rPr>
          <w:rFonts w:ascii="Times New Roman" w:hAnsi="Times New Roman" w:cs="Times New Roman"/>
          <w:sz w:val="18"/>
          <w:szCs w:val="18"/>
        </w:rPr>
        <w:t xml:space="preserve"> </w:t>
      </w:r>
      <w:proofErr w:type="spellStart"/>
      <w:r w:rsidRPr="000077B9">
        <w:rPr>
          <w:rFonts w:ascii="Times New Roman" w:hAnsi="Times New Roman" w:cs="Times New Roman"/>
          <w:sz w:val="18"/>
          <w:szCs w:val="18"/>
        </w:rPr>
        <w:t>correrá</w:t>
      </w:r>
      <w:proofErr w:type="spellEnd"/>
      <w:r w:rsidRPr="000077B9">
        <w:rPr>
          <w:rFonts w:ascii="Times New Roman" w:hAnsi="Times New Roman" w:cs="Times New Roman"/>
          <w:sz w:val="18"/>
          <w:szCs w:val="18"/>
        </w:rPr>
        <w:t xml:space="preserve"> </w:t>
      </w:r>
      <w:proofErr w:type="spellStart"/>
      <w:r w:rsidRPr="000077B9">
        <w:rPr>
          <w:rFonts w:ascii="Times New Roman" w:hAnsi="Times New Roman" w:cs="Times New Roman"/>
          <w:sz w:val="18"/>
          <w:szCs w:val="18"/>
        </w:rPr>
        <w:t>traslado</w:t>
      </w:r>
      <w:proofErr w:type="spellEnd"/>
      <w:r w:rsidRPr="000077B9">
        <w:rPr>
          <w:rFonts w:ascii="Times New Roman" w:hAnsi="Times New Roman" w:cs="Times New Roman"/>
          <w:sz w:val="18"/>
          <w:szCs w:val="18"/>
        </w:rPr>
        <w:t xml:space="preserve"> a la </w:t>
      </w:r>
      <w:proofErr w:type="spellStart"/>
      <w:r w:rsidRPr="000077B9">
        <w:rPr>
          <w:rFonts w:ascii="Times New Roman" w:hAnsi="Times New Roman" w:cs="Times New Roman"/>
          <w:sz w:val="18"/>
          <w:szCs w:val="18"/>
        </w:rPr>
        <w:t>otra</w:t>
      </w:r>
      <w:proofErr w:type="spellEnd"/>
      <w:r w:rsidRPr="000077B9">
        <w:rPr>
          <w:rFonts w:ascii="Times New Roman" w:hAnsi="Times New Roman" w:cs="Times New Roman"/>
          <w:sz w:val="18"/>
          <w:szCs w:val="18"/>
        </w:rPr>
        <w:t xml:space="preserve"> </w:t>
      </w:r>
      <w:proofErr w:type="spellStart"/>
      <w:r w:rsidRPr="000077B9">
        <w:rPr>
          <w:rFonts w:ascii="Times New Roman" w:hAnsi="Times New Roman" w:cs="Times New Roman"/>
          <w:sz w:val="18"/>
          <w:szCs w:val="18"/>
        </w:rPr>
        <w:t>parte</w:t>
      </w:r>
      <w:proofErr w:type="spellEnd"/>
      <w:r w:rsidRPr="000077B9">
        <w:rPr>
          <w:rFonts w:ascii="Times New Roman" w:hAnsi="Times New Roman" w:cs="Times New Roman"/>
          <w:sz w:val="18"/>
          <w:szCs w:val="18"/>
        </w:rPr>
        <w:t xml:space="preserve"> por el </w:t>
      </w:r>
      <w:proofErr w:type="spellStart"/>
      <w:r w:rsidRPr="000077B9">
        <w:rPr>
          <w:rFonts w:ascii="Times New Roman" w:hAnsi="Times New Roman" w:cs="Times New Roman"/>
          <w:sz w:val="18"/>
          <w:szCs w:val="18"/>
        </w:rPr>
        <w:t>plazo</w:t>
      </w:r>
      <w:proofErr w:type="spellEnd"/>
      <w:r w:rsidRPr="000077B9">
        <w:rPr>
          <w:rFonts w:ascii="Times New Roman" w:hAnsi="Times New Roman" w:cs="Times New Roman"/>
          <w:sz w:val="18"/>
          <w:szCs w:val="18"/>
        </w:rPr>
        <w:t xml:space="preserve"> de </w:t>
      </w:r>
      <w:proofErr w:type="spellStart"/>
      <w:r w:rsidRPr="000077B9">
        <w:rPr>
          <w:rFonts w:ascii="Times New Roman" w:hAnsi="Times New Roman" w:cs="Times New Roman"/>
          <w:sz w:val="18"/>
          <w:szCs w:val="18"/>
        </w:rPr>
        <w:t>cinco</w:t>
      </w:r>
      <w:proofErr w:type="spellEnd"/>
      <w:r w:rsidRPr="000077B9">
        <w:rPr>
          <w:rFonts w:ascii="Times New Roman" w:hAnsi="Times New Roman" w:cs="Times New Roman"/>
          <w:sz w:val="18"/>
          <w:szCs w:val="18"/>
        </w:rPr>
        <w:t xml:space="preserve"> (5) días </w:t>
      </w:r>
      <w:proofErr w:type="spellStart"/>
      <w:r w:rsidRPr="000077B9">
        <w:rPr>
          <w:rFonts w:ascii="Times New Roman" w:hAnsi="Times New Roman" w:cs="Times New Roman"/>
          <w:sz w:val="18"/>
          <w:szCs w:val="18"/>
        </w:rPr>
        <w:t>hábiles</w:t>
      </w:r>
      <w:proofErr w:type="spellEnd"/>
      <w:r w:rsidRPr="000077B9">
        <w:rPr>
          <w:rFonts w:ascii="Times New Roman" w:hAnsi="Times New Roman" w:cs="Times New Roman"/>
          <w:sz w:val="18"/>
          <w:szCs w:val="18"/>
        </w:rPr>
        <w:t xml:space="preserve"> para que </w:t>
      </w:r>
      <w:proofErr w:type="spellStart"/>
      <w:r w:rsidRPr="000077B9">
        <w:rPr>
          <w:rFonts w:ascii="Times New Roman" w:hAnsi="Times New Roman" w:cs="Times New Roman"/>
          <w:sz w:val="18"/>
          <w:szCs w:val="18"/>
        </w:rPr>
        <w:t>exprese</w:t>
      </w:r>
      <w:proofErr w:type="spellEnd"/>
      <w:r w:rsidRPr="000077B9">
        <w:rPr>
          <w:rFonts w:ascii="Times New Roman" w:hAnsi="Times New Roman" w:cs="Times New Roman"/>
          <w:sz w:val="18"/>
          <w:szCs w:val="18"/>
        </w:rPr>
        <w:t xml:space="preserve"> su </w:t>
      </w:r>
      <w:proofErr w:type="spellStart"/>
      <w:r w:rsidRPr="000077B9">
        <w:rPr>
          <w:rFonts w:ascii="Times New Roman" w:hAnsi="Times New Roman" w:cs="Times New Roman"/>
          <w:sz w:val="18"/>
          <w:szCs w:val="18"/>
        </w:rPr>
        <w:t>posición</w:t>
      </w:r>
      <w:proofErr w:type="spellEnd"/>
      <w:r w:rsidRPr="000077B9">
        <w:rPr>
          <w:rFonts w:ascii="Times New Roman" w:hAnsi="Times New Roman" w:cs="Times New Roman"/>
          <w:sz w:val="18"/>
          <w:szCs w:val="18"/>
        </w:rPr>
        <w:t>.</w:t>
      </w:r>
    </w:p>
  </w:footnote>
  <w:footnote w:id="3">
    <w:p w14:paraId="785EA658" w14:textId="77777777" w:rsidR="000077B9" w:rsidRPr="000077B9" w:rsidRDefault="000077B9" w:rsidP="000077B9">
      <w:pPr>
        <w:pStyle w:val="Textonotapie"/>
        <w:tabs>
          <w:tab w:val="left" w:pos="284"/>
        </w:tabs>
        <w:spacing w:afterLines="60" w:after="144"/>
        <w:ind w:left="284" w:hanging="284"/>
        <w:jc w:val="both"/>
        <w:rPr>
          <w:rStyle w:val="Hipervnculo"/>
          <w:rFonts w:ascii="Times New Roman" w:hAnsi="Times New Roman" w:cs="Times New Roman"/>
          <w:b/>
          <w:bCs/>
          <w:color w:val="000000" w:themeColor="text1"/>
          <w:sz w:val="18"/>
          <w:szCs w:val="18"/>
          <w:lang w:val="es-PE"/>
        </w:rPr>
      </w:pPr>
      <w:r w:rsidRPr="000077B9">
        <w:rPr>
          <w:rStyle w:val="Refdenotaalpie"/>
          <w:rFonts w:ascii="Times New Roman" w:hAnsi="Times New Roman" w:cs="Times New Roman"/>
          <w:sz w:val="18"/>
          <w:szCs w:val="18"/>
        </w:rPr>
        <w:footnoteRef/>
      </w:r>
      <w:r w:rsidRPr="000077B9">
        <w:rPr>
          <w:rFonts w:ascii="Times New Roman" w:hAnsi="Times New Roman" w:cs="Times New Roman"/>
          <w:sz w:val="18"/>
          <w:szCs w:val="18"/>
        </w:rPr>
        <w:t xml:space="preserve"> </w:t>
      </w:r>
      <w:r w:rsidRPr="000077B9">
        <w:rPr>
          <w:rFonts w:ascii="Times New Roman" w:hAnsi="Times New Roman" w:cs="Times New Roman"/>
          <w:sz w:val="18"/>
          <w:szCs w:val="18"/>
        </w:rPr>
        <w:tab/>
      </w:r>
      <w:r w:rsidRPr="000077B9">
        <w:rPr>
          <w:rStyle w:val="Hipervnculo"/>
          <w:rFonts w:ascii="Times New Roman" w:hAnsi="Times New Roman" w:cs="Times New Roman"/>
          <w:b/>
          <w:bCs/>
          <w:color w:val="000000" w:themeColor="text1"/>
          <w:sz w:val="18"/>
          <w:szCs w:val="18"/>
          <w:lang w:val="es-PE"/>
        </w:rPr>
        <w:t>Ley del Contrato de Seguro</w:t>
      </w:r>
    </w:p>
    <w:p w14:paraId="62206D63" w14:textId="77777777" w:rsidR="000077B9" w:rsidRPr="000077B9" w:rsidRDefault="000077B9" w:rsidP="000077B9">
      <w:pPr>
        <w:pStyle w:val="Textonotapie"/>
        <w:tabs>
          <w:tab w:val="left" w:pos="284"/>
        </w:tabs>
        <w:spacing w:afterLines="60" w:after="144"/>
        <w:ind w:left="284" w:hanging="284"/>
        <w:jc w:val="both"/>
        <w:rPr>
          <w:rStyle w:val="Hipervnculo"/>
          <w:rFonts w:ascii="Times New Roman" w:hAnsi="Times New Roman" w:cs="Times New Roman"/>
          <w:b/>
          <w:bCs/>
          <w:color w:val="000000" w:themeColor="text1"/>
          <w:sz w:val="18"/>
          <w:szCs w:val="18"/>
          <w:lang w:val="es-PE"/>
        </w:rPr>
      </w:pPr>
      <w:r w:rsidRPr="000077B9">
        <w:rPr>
          <w:rStyle w:val="Hipervnculo"/>
          <w:rFonts w:ascii="Times New Roman" w:hAnsi="Times New Roman" w:cs="Times New Roman"/>
          <w:b/>
          <w:bCs/>
          <w:color w:val="000000" w:themeColor="text1"/>
          <w:sz w:val="18"/>
          <w:szCs w:val="18"/>
          <w:lang w:val="es-PE"/>
        </w:rPr>
        <w:tab/>
        <w:t>Artículo 59.- Caducidad convencional</w:t>
      </w:r>
    </w:p>
    <w:p w14:paraId="11114CB4" w14:textId="77777777" w:rsidR="000077B9" w:rsidRPr="000077B9" w:rsidRDefault="000077B9" w:rsidP="000077B9">
      <w:pPr>
        <w:pStyle w:val="Textonotapie"/>
        <w:tabs>
          <w:tab w:val="left" w:pos="284"/>
        </w:tabs>
        <w:spacing w:afterLines="60" w:after="144"/>
        <w:ind w:left="284" w:hanging="284"/>
        <w:jc w:val="both"/>
        <w:rPr>
          <w:rStyle w:val="Hipervnculo"/>
          <w:rFonts w:ascii="Times New Roman" w:hAnsi="Times New Roman" w:cs="Times New Roman"/>
          <w:color w:val="000000" w:themeColor="text1"/>
          <w:sz w:val="18"/>
          <w:szCs w:val="18"/>
          <w:lang w:val="es-PE"/>
        </w:rPr>
      </w:pPr>
      <w:r w:rsidRPr="000077B9">
        <w:rPr>
          <w:rStyle w:val="Hipervnculo"/>
          <w:rFonts w:ascii="Times New Roman" w:hAnsi="Times New Roman" w:cs="Times New Roman"/>
          <w:color w:val="000000" w:themeColor="text1"/>
          <w:sz w:val="18"/>
          <w:szCs w:val="18"/>
          <w:lang w:val="es-PE"/>
        </w:rPr>
        <w:tab/>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0077B9">
        <w:rPr>
          <w:rStyle w:val="Hipervnculo"/>
          <w:rFonts w:ascii="Times New Roman" w:hAnsi="Times New Roman" w:cs="Times New Roman"/>
          <w:color w:val="000000" w:themeColor="text1"/>
          <w:sz w:val="18"/>
          <w:szCs w:val="18"/>
          <w:lang w:val="es-PE"/>
        </w:rPr>
        <w:t>de acuerdo al</w:t>
      </w:r>
      <w:proofErr w:type="gramEnd"/>
      <w:r w:rsidRPr="000077B9">
        <w:rPr>
          <w:rStyle w:val="Hipervnculo"/>
          <w:rFonts w:ascii="Times New Roman" w:hAnsi="Times New Roman" w:cs="Times New Roman"/>
          <w:color w:val="000000" w:themeColor="text1"/>
          <w:sz w:val="18"/>
          <w:szCs w:val="18"/>
          <w:lang w:val="es-PE"/>
        </w:rPr>
        <w:t xml:space="preserve"> siguiente régimen:</w:t>
      </w:r>
    </w:p>
    <w:p w14:paraId="5FB851C8" w14:textId="77777777" w:rsidR="000077B9" w:rsidRPr="000077B9" w:rsidRDefault="000077B9" w:rsidP="000077B9">
      <w:pPr>
        <w:pStyle w:val="Textonotapie"/>
        <w:tabs>
          <w:tab w:val="left" w:pos="284"/>
        </w:tabs>
        <w:spacing w:afterLines="60" w:after="144"/>
        <w:ind w:left="284" w:hanging="284"/>
        <w:jc w:val="both"/>
        <w:rPr>
          <w:rStyle w:val="Hipervnculo"/>
          <w:rFonts w:ascii="Times New Roman" w:hAnsi="Times New Roman" w:cs="Times New Roman"/>
          <w:color w:val="000000" w:themeColor="text1"/>
          <w:sz w:val="18"/>
          <w:szCs w:val="18"/>
          <w:lang w:val="es-PE"/>
        </w:rPr>
      </w:pPr>
      <w:bookmarkStart w:id="1" w:name="_Hlk198670321"/>
      <w:r w:rsidRPr="000077B9">
        <w:rPr>
          <w:rStyle w:val="Hipervnculo"/>
          <w:rFonts w:ascii="Times New Roman" w:hAnsi="Times New Roman" w:cs="Times New Roman"/>
          <w:color w:val="000000" w:themeColor="text1"/>
          <w:sz w:val="18"/>
          <w:szCs w:val="18"/>
          <w:lang w:val="es-PE"/>
        </w:rPr>
        <w:tab/>
        <w:t xml:space="preserve">(…) </w:t>
      </w:r>
    </w:p>
    <w:bookmarkEnd w:id="1"/>
    <w:p w14:paraId="3D264EEE" w14:textId="77777777" w:rsidR="000077B9" w:rsidRPr="000077B9" w:rsidRDefault="000077B9" w:rsidP="000077B9">
      <w:pPr>
        <w:pStyle w:val="Textonotapie"/>
        <w:tabs>
          <w:tab w:val="left" w:pos="284"/>
        </w:tabs>
        <w:spacing w:afterLines="60" w:after="144"/>
        <w:ind w:left="284" w:hanging="284"/>
        <w:jc w:val="both"/>
        <w:rPr>
          <w:rStyle w:val="Hipervnculo"/>
          <w:rFonts w:ascii="Times New Roman" w:hAnsi="Times New Roman" w:cs="Times New Roman"/>
          <w:b/>
          <w:bCs/>
          <w:color w:val="000000" w:themeColor="text1"/>
          <w:sz w:val="18"/>
          <w:szCs w:val="18"/>
          <w:lang w:val="es-PE"/>
        </w:rPr>
      </w:pPr>
      <w:r w:rsidRPr="000077B9">
        <w:rPr>
          <w:rStyle w:val="Hipervnculo"/>
          <w:rFonts w:ascii="Times New Roman" w:hAnsi="Times New Roman" w:cs="Times New Roman"/>
          <w:b/>
          <w:bCs/>
          <w:color w:val="000000" w:themeColor="text1"/>
          <w:sz w:val="18"/>
          <w:szCs w:val="18"/>
          <w:lang w:val="es-PE"/>
        </w:rPr>
        <w:tab/>
        <w:t>Cargas posteriores al siniestro</w:t>
      </w:r>
    </w:p>
    <w:p w14:paraId="01AEE22C" w14:textId="77777777" w:rsidR="000077B9" w:rsidRPr="000077B9" w:rsidRDefault="000077B9" w:rsidP="000077B9">
      <w:pPr>
        <w:pStyle w:val="Textonotapie"/>
        <w:tabs>
          <w:tab w:val="left" w:pos="284"/>
          <w:tab w:val="left" w:pos="567"/>
        </w:tabs>
        <w:spacing w:afterLines="60" w:after="144"/>
        <w:ind w:left="567" w:hanging="567"/>
        <w:jc w:val="both"/>
        <w:rPr>
          <w:rStyle w:val="Hipervnculo"/>
          <w:rFonts w:ascii="Times New Roman" w:hAnsi="Times New Roman" w:cs="Times New Roman"/>
          <w:color w:val="000000" w:themeColor="text1"/>
          <w:sz w:val="18"/>
          <w:szCs w:val="18"/>
          <w:lang w:val="es-PE"/>
        </w:rPr>
      </w:pPr>
      <w:r w:rsidRPr="000077B9">
        <w:rPr>
          <w:rStyle w:val="Hipervnculo"/>
          <w:rFonts w:ascii="Times New Roman" w:hAnsi="Times New Roman" w:cs="Times New Roman"/>
          <w:color w:val="000000" w:themeColor="text1"/>
          <w:sz w:val="18"/>
          <w:szCs w:val="18"/>
          <w:lang w:val="es-PE"/>
        </w:rPr>
        <w:tab/>
        <w:t xml:space="preserve">c) </w:t>
      </w:r>
      <w:r w:rsidRPr="000077B9">
        <w:rPr>
          <w:rStyle w:val="Hipervnculo"/>
          <w:rFonts w:ascii="Times New Roman" w:hAnsi="Times New Roman" w:cs="Times New Roman"/>
          <w:color w:val="000000" w:themeColor="text1"/>
          <w:sz w:val="18"/>
          <w:szCs w:val="18"/>
          <w:lang w:val="es-PE"/>
        </w:rPr>
        <w:tab/>
        <w:t>Si la carga debe ejecutarse después del siniestro, el asegurador se libera por el incumplimiento del asegurado, si el mismo influyó en la extensión de la obligación asumida.</w:t>
      </w:r>
    </w:p>
    <w:p w14:paraId="2D276011" w14:textId="77777777" w:rsidR="000077B9" w:rsidRPr="000077B9" w:rsidRDefault="000077B9" w:rsidP="000077B9">
      <w:pPr>
        <w:pStyle w:val="Textonotapie"/>
        <w:tabs>
          <w:tab w:val="left" w:pos="284"/>
          <w:tab w:val="left" w:pos="567"/>
        </w:tabs>
        <w:spacing w:afterLines="60" w:after="144"/>
        <w:ind w:left="567" w:hanging="567"/>
        <w:jc w:val="both"/>
        <w:rPr>
          <w:rStyle w:val="Hipervnculo"/>
          <w:rFonts w:ascii="Times New Roman" w:hAnsi="Times New Roman" w:cs="Times New Roman"/>
          <w:color w:val="000000" w:themeColor="text1"/>
          <w:sz w:val="18"/>
          <w:szCs w:val="18"/>
          <w:lang w:val="es-PE"/>
        </w:rPr>
      </w:pPr>
      <w:r w:rsidRPr="000077B9">
        <w:rPr>
          <w:rStyle w:val="Hipervnculo"/>
          <w:rFonts w:ascii="Times New Roman" w:hAnsi="Times New Roman" w:cs="Times New Roman"/>
          <w:color w:val="000000" w:themeColor="text1"/>
          <w:sz w:val="18"/>
          <w:szCs w:val="18"/>
          <w:lang w:val="es-PE"/>
        </w:rPr>
        <w:tab/>
        <w:t xml:space="preserve">d) </w:t>
      </w:r>
      <w:r w:rsidRPr="000077B9">
        <w:rPr>
          <w:rStyle w:val="Hipervnculo"/>
          <w:rFonts w:ascii="Times New Roman" w:hAnsi="Times New Roman" w:cs="Times New Roman"/>
          <w:color w:val="000000" w:themeColor="text1"/>
          <w:sz w:val="18"/>
          <w:szCs w:val="18"/>
          <w:lang w:val="es-PE"/>
        </w:rPr>
        <w:tab/>
        <w:t>En caso de culpa leve, la indemnización se reduce de manera proporcional a la agravación del siniestro consecuencia del incumplimiento.</w:t>
      </w:r>
    </w:p>
    <w:p w14:paraId="5A9D3ADA" w14:textId="77777777" w:rsidR="000077B9" w:rsidRPr="000077B9" w:rsidRDefault="000077B9" w:rsidP="000077B9">
      <w:pPr>
        <w:pStyle w:val="Textonotapie"/>
        <w:tabs>
          <w:tab w:val="left" w:pos="284"/>
        </w:tabs>
        <w:spacing w:afterLines="60" w:after="144"/>
        <w:ind w:left="284" w:hanging="284"/>
        <w:jc w:val="both"/>
        <w:rPr>
          <w:rStyle w:val="Hipervnculo"/>
          <w:rFonts w:ascii="Times New Roman" w:hAnsi="Times New Roman" w:cs="Times New Roman"/>
          <w:color w:val="000000" w:themeColor="text1"/>
          <w:sz w:val="18"/>
          <w:szCs w:val="18"/>
          <w:lang w:val="es-PE"/>
        </w:rPr>
      </w:pPr>
      <w:r w:rsidRPr="000077B9">
        <w:rPr>
          <w:rStyle w:val="Hipervnculo"/>
          <w:rFonts w:ascii="Times New Roman" w:hAnsi="Times New Roman" w:cs="Times New Roman"/>
          <w:color w:val="000000" w:themeColor="text1"/>
          <w:sz w:val="18"/>
          <w:szCs w:val="18"/>
          <w:lang w:val="es-PE"/>
        </w:rPr>
        <w:tab/>
        <w:t>En caso de caducidad, corresponde al asegurador la prima por el tiempo transcurrido hasta que toma conocimiento del incumplimiento de la carga.</w:t>
      </w:r>
    </w:p>
  </w:footnote>
  <w:footnote w:id="4">
    <w:p w14:paraId="5CE7A365" w14:textId="77777777" w:rsidR="000077B9" w:rsidRPr="000077B9" w:rsidRDefault="000077B9" w:rsidP="000077B9">
      <w:pPr>
        <w:pStyle w:val="Textonotapie"/>
        <w:tabs>
          <w:tab w:val="left" w:pos="284"/>
        </w:tabs>
        <w:spacing w:afterLines="60" w:after="144"/>
        <w:ind w:left="284" w:hanging="284"/>
        <w:jc w:val="both"/>
        <w:rPr>
          <w:rStyle w:val="Hipervnculo"/>
          <w:rFonts w:ascii="Times New Roman" w:hAnsi="Times New Roman" w:cs="Times New Roman"/>
          <w:color w:val="000000" w:themeColor="text1"/>
          <w:sz w:val="18"/>
          <w:szCs w:val="18"/>
        </w:rPr>
      </w:pPr>
      <w:r w:rsidRPr="000077B9">
        <w:rPr>
          <w:rStyle w:val="Refdenotaalpie"/>
          <w:rFonts w:ascii="Times New Roman" w:hAnsi="Times New Roman" w:cs="Times New Roman"/>
          <w:sz w:val="18"/>
          <w:szCs w:val="18"/>
        </w:rPr>
        <w:footnoteRef/>
      </w:r>
      <w:r w:rsidRPr="000077B9">
        <w:rPr>
          <w:rFonts w:ascii="Times New Roman" w:hAnsi="Times New Roman" w:cs="Times New Roman"/>
          <w:sz w:val="18"/>
          <w:szCs w:val="18"/>
        </w:rPr>
        <w:t xml:space="preserve"> </w:t>
      </w:r>
      <w:r w:rsidRPr="000077B9">
        <w:rPr>
          <w:rFonts w:ascii="Times New Roman" w:hAnsi="Times New Roman" w:cs="Times New Roman"/>
          <w:sz w:val="18"/>
          <w:szCs w:val="18"/>
        </w:rPr>
        <w:tab/>
      </w:r>
      <w:proofErr w:type="spellStart"/>
      <w:r w:rsidRPr="000077B9">
        <w:rPr>
          <w:rFonts w:ascii="Times New Roman" w:hAnsi="Times New Roman" w:cs="Times New Roman"/>
          <w:sz w:val="18"/>
          <w:szCs w:val="18"/>
        </w:rPr>
        <w:t>Véase</w:t>
      </w:r>
      <w:proofErr w:type="spellEnd"/>
      <w:r w:rsidRPr="000077B9">
        <w:rPr>
          <w:rFonts w:ascii="Times New Roman" w:hAnsi="Times New Roman" w:cs="Times New Roman"/>
          <w:sz w:val="18"/>
          <w:szCs w:val="18"/>
        </w:rPr>
        <w:t xml:space="preserve">, </w:t>
      </w:r>
      <w:proofErr w:type="spellStart"/>
      <w:r w:rsidRPr="000077B9">
        <w:rPr>
          <w:rStyle w:val="Hipervnculo"/>
          <w:rFonts w:ascii="Times New Roman" w:hAnsi="Times New Roman" w:cs="Times New Roman"/>
          <w:color w:val="000000" w:themeColor="text1"/>
          <w:sz w:val="18"/>
          <w:szCs w:val="18"/>
        </w:rPr>
        <w:t>Resolución</w:t>
      </w:r>
      <w:proofErr w:type="spellEnd"/>
      <w:r w:rsidRPr="000077B9">
        <w:rPr>
          <w:rStyle w:val="Hipervnculo"/>
          <w:rFonts w:ascii="Times New Roman" w:hAnsi="Times New Roman" w:cs="Times New Roman"/>
          <w:color w:val="000000" w:themeColor="text1"/>
          <w:sz w:val="18"/>
          <w:szCs w:val="18"/>
        </w:rPr>
        <w:t xml:space="preserve"> DEFASEG n.° 223/23 (</w:t>
      </w:r>
      <w:proofErr w:type="spellStart"/>
      <w:r w:rsidRPr="000077B9">
        <w:rPr>
          <w:rStyle w:val="Hipervnculo"/>
          <w:rFonts w:ascii="Times New Roman" w:hAnsi="Times New Roman" w:cs="Times New Roman"/>
          <w:i/>
          <w:iCs/>
          <w:color w:val="000000" w:themeColor="text1"/>
          <w:sz w:val="18"/>
          <w:szCs w:val="18"/>
        </w:rPr>
        <w:t>Expediente</w:t>
      </w:r>
      <w:proofErr w:type="spellEnd"/>
      <w:r w:rsidRPr="000077B9">
        <w:rPr>
          <w:rStyle w:val="Hipervnculo"/>
          <w:rFonts w:ascii="Times New Roman" w:hAnsi="Times New Roman" w:cs="Times New Roman"/>
          <w:i/>
          <w:iCs/>
          <w:color w:val="000000" w:themeColor="text1"/>
          <w:sz w:val="18"/>
          <w:szCs w:val="18"/>
        </w:rPr>
        <w:t xml:space="preserve"> n.° 5636, Caso De la Cruz Sarmiento v. Interseguro</w:t>
      </w:r>
      <w:r w:rsidRPr="000077B9">
        <w:rPr>
          <w:rStyle w:val="Hipervnculo"/>
          <w:rFonts w:ascii="Times New Roman" w:hAnsi="Times New Roman" w:cs="Times New Roman"/>
          <w:color w:val="000000" w:themeColor="text1"/>
          <w:sz w:val="18"/>
          <w:szCs w:val="18"/>
        </w:rPr>
        <w:t xml:space="preserve">) del 21 de </w:t>
      </w:r>
      <w:proofErr w:type="spellStart"/>
      <w:r w:rsidRPr="000077B9">
        <w:rPr>
          <w:rStyle w:val="Hipervnculo"/>
          <w:rFonts w:ascii="Times New Roman" w:hAnsi="Times New Roman" w:cs="Times New Roman"/>
          <w:color w:val="000000" w:themeColor="text1"/>
          <w:sz w:val="18"/>
          <w:szCs w:val="18"/>
        </w:rPr>
        <w:t>noviembre</w:t>
      </w:r>
      <w:proofErr w:type="spellEnd"/>
      <w:r w:rsidRPr="000077B9">
        <w:rPr>
          <w:rStyle w:val="Hipervnculo"/>
          <w:rFonts w:ascii="Times New Roman" w:hAnsi="Times New Roman" w:cs="Times New Roman"/>
          <w:color w:val="000000" w:themeColor="text1"/>
          <w:sz w:val="18"/>
          <w:szCs w:val="18"/>
        </w:rPr>
        <w:t xml:space="preserve"> de 2023; </w:t>
      </w:r>
      <w:proofErr w:type="spellStart"/>
      <w:r w:rsidRPr="000077B9">
        <w:rPr>
          <w:rStyle w:val="Hipervnculo"/>
          <w:rFonts w:ascii="Times New Roman" w:hAnsi="Times New Roman" w:cs="Times New Roman"/>
          <w:color w:val="000000" w:themeColor="text1"/>
          <w:sz w:val="18"/>
          <w:szCs w:val="18"/>
        </w:rPr>
        <w:t>Resolución</w:t>
      </w:r>
      <w:proofErr w:type="spellEnd"/>
      <w:r w:rsidRPr="000077B9">
        <w:rPr>
          <w:rStyle w:val="Hipervnculo"/>
          <w:rFonts w:ascii="Times New Roman" w:hAnsi="Times New Roman" w:cs="Times New Roman"/>
          <w:color w:val="000000" w:themeColor="text1"/>
          <w:sz w:val="18"/>
          <w:szCs w:val="18"/>
        </w:rPr>
        <w:t xml:space="preserve"> DEFASEG n.° 106/23 (</w:t>
      </w:r>
      <w:proofErr w:type="spellStart"/>
      <w:r w:rsidRPr="000077B9">
        <w:rPr>
          <w:rStyle w:val="Hipervnculo"/>
          <w:rFonts w:ascii="Times New Roman" w:hAnsi="Times New Roman" w:cs="Times New Roman"/>
          <w:i/>
          <w:iCs/>
          <w:color w:val="000000" w:themeColor="text1"/>
          <w:sz w:val="18"/>
          <w:szCs w:val="18"/>
        </w:rPr>
        <w:t>Expediente</w:t>
      </w:r>
      <w:proofErr w:type="spellEnd"/>
      <w:r w:rsidRPr="000077B9">
        <w:rPr>
          <w:rStyle w:val="Hipervnculo"/>
          <w:rFonts w:ascii="Times New Roman" w:hAnsi="Times New Roman" w:cs="Times New Roman"/>
          <w:i/>
          <w:iCs/>
          <w:color w:val="000000" w:themeColor="text1"/>
          <w:sz w:val="18"/>
          <w:szCs w:val="18"/>
        </w:rPr>
        <w:t xml:space="preserve"> n.° 5464, Caso Gamarra Villacorta v. </w:t>
      </w:r>
      <w:proofErr w:type="spellStart"/>
      <w:r w:rsidRPr="000077B9">
        <w:rPr>
          <w:rStyle w:val="Hipervnculo"/>
          <w:rFonts w:ascii="Times New Roman" w:hAnsi="Times New Roman" w:cs="Times New Roman"/>
          <w:i/>
          <w:iCs/>
          <w:color w:val="000000" w:themeColor="text1"/>
          <w:sz w:val="18"/>
          <w:szCs w:val="18"/>
        </w:rPr>
        <w:t>Rímac</w:t>
      </w:r>
      <w:proofErr w:type="spellEnd"/>
      <w:r w:rsidRPr="000077B9">
        <w:rPr>
          <w:rStyle w:val="Hipervnculo"/>
          <w:rFonts w:ascii="Times New Roman" w:hAnsi="Times New Roman" w:cs="Times New Roman"/>
          <w:color w:val="000000" w:themeColor="text1"/>
          <w:sz w:val="18"/>
          <w:szCs w:val="18"/>
        </w:rPr>
        <w:t xml:space="preserve">) del 16 de </w:t>
      </w:r>
      <w:proofErr w:type="spellStart"/>
      <w:r w:rsidRPr="000077B9">
        <w:rPr>
          <w:rStyle w:val="Hipervnculo"/>
          <w:rFonts w:ascii="Times New Roman" w:hAnsi="Times New Roman" w:cs="Times New Roman"/>
          <w:color w:val="000000" w:themeColor="text1"/>
          <w:sz w:val="18"/>
          <w:szCs w:val="18"/>
        </w:rPr>
        <w:t>junio</w:t>
      </w:r>
      <w:proofErr w:type="spellEnd"/>
      <w:r w:rsidRPr="000077B9">
        <w:rPr>
          <w:rStyle w:val="Hipervnculo"/>
          <w:rFonts w:ascii="Times New Roman" w:hAnsi="Times New Roman" w:cs="Times New Roman"/>
          <w:color w:val="000000" w:themeColor="text1"/>
          <w:sz w:val="18"/>
          <w:szCs w:val="18"/>
        </w:rPr>
        <w:t xml:space="preserve"> de 2023 y </w:t>
      </w:r>
      <w:proofErr w:type="spellStart"/>
      <w:r w:rsidRPr="000077B9">
        <w:rPr>
          <w:rStyle w:val="Hipervnculo"/>
          <w:rFonts w:ascii="Times New Roman" w:hAnsi="Times New Roman" w:cs="Times New Roman"/>
          <w:color w:val="000000" w:themeColor="text1"/>
          <w:sz w:val="18"/>
          <w:szCs w:val="18"/>
        </w:rPr>
        <w:t>Resolución</w:t>
      </w:r>
      <w:proofErr w:type="spellEnd"/>
      <w:r w:rsidRPr="000077B9">
        <w:rPr>
          <w:rStyle w:val="Hipervnculo"/>
          <w:rFonts w:ascii="Times New Roman" w:hAnsi="Times New Roman" w:cs="Times New Roman"/>
          <w:color w:val="000000" w:themeColor="text1"/>
          <w:sz w:val="18"/>
          <w:szCs w:val="18"/>
        </w:rPr>
        <w:t xml:space="preserve"> DEFASEG n.° 7/25 (</w:t>
      </w:r>
      <w:proofErr w:type="spellStart"/>
      <w:r w:rsidRPr="000077B9">
        <w:rPr>
          <w:rStyle w:val="Hipervnculo"/>
          <w:rFonts w:ascii="Times New Roman" w:hAnsi="Times New Roman" w:cs="Times New Roman"/>
          <w:i/>
          <w:iCs/>
          <w:color w:val="000000" w:themeColor="text1"/>
          <w:sz w:val="18"/>
          <w:szCs w:val="18"/>
        </w:rPr>
        <w:t>Expediente</w:t>
      </w:r>
      <w:proofErr w:type="spellEnd"/>
      <w:r w:rsidRPr="000077B9">
        <w:rPr>
          <w:rStyle w:val="Hipervnculo"/>
          <w:rFonts w:ascii="Times New Roman" w:hAnsi="Times New Roman" w:cs="Times New Roman"/>
          <w:i/>
          <w:iCs/>
          <w:color w:val="000000" w:themeColor="text1"/>
          <w:sz w:val="18"/>
          <w:szCs w:val="18"/>
        </w:rPr>
        <w:t xml:space="preserve"> n.° 6036, Caso Tasayco Malache v. </w:t>
      </w:r>
      <w:proofErr w:type="spellStart"/>
      <w:r w:rsidRPr="000077B9">
        <w:rPr>
          <w:rStyle w:val="Hipervnculo"/>
          <w:rFonts w:ascii="Times New Roman" w:hAnsi="Times New Roman" w:cs="Times New Roman"/>
          <w:i/>
          <w:iCs/>
          <w:color w:val="000000" w:themeColor="text1"/>
          <w:sz w:val="18"/>
          <w:szCs w:val="18"/>
        </w:rPr>
        <w:t>Qualitas</w:t>
      </w:r>
      <w:proofErr w:type="spellEnd"/>
      <w:r w:rsidRPr="000077B9">
        <w:rPr>
          <w:rStyle w:val="Hipervnculo"/>
          <w:rFonts w:ascii="Times New Roman" w:hAnsi="Times New Roman" w:cs="Times New Roman"/>
          <w:color w:val="000000" w:themeColor="text1"/>
          <w:sz w:val="18"/>
          <w:szCs w:val="18"/>
        </w:rPr>
        <w:t xml:space="preserve">) del 27 de </w:t>
      </w:r>
      <w:proofErr w:type="spellStart"/>
      <w:r w:rsidRPr="000077B9">
        <w:rPr>
          <w:rStyle w:val="Hipervnculo"/>
          <w:rFonts w:ascii="Times New Roman" w:hAnsi="Times New Roman" w:cs="Times New Roman"/>
          <w:color w:val="000000" w:themeColor="text1"/>
          <w:sz w:val="18"/>
          <w:szCs w:val="18"/>
        </w:rPr>
        <w:t>enero</w:t>
      </w:r>
      <w:proofErr w:type="spellEnd"/>
      <w:r w:rsidRPr="000077B9">
        <w:rPr>
          <w:rStyle w:val="Hipervnculo"/>
          <w:rFonts w:ascii="Times New Roman" w:hAnsi="Times New Roman" w:cs="Times New Roman"/>
          <w:color w:val="000000" w:themeColor="text1"/>
          <w:sz w:val="18"/>
          <w:szCs w:val="18"/>
        </w:rPr>
        <w:t xml:space="preserve"> de 2025.</w:t>
      </w:r>
    </w:p>
  </w:footnote>
  <w:footnote w:id="5">
    <w:p w14:paraId="3D74509A" w14:textId="77777777" w:rsidR="000077B9" w:rsidRPr="000077B9" w:rsidRDefault="000077B9" w:rsidP="000077B9">
      <w:pPr>
        <w:pStyle w:val="Textonotapie"/>
        <w:tabs>
          <w:tab w:val="left" w:pos="284"/>
        </w:tabs>
        <w:spacing w:afterLines="60" w:after="144"/>
        <w:ind w:left="284" w:hanging="284"/>
        <w:jc w:val="both"/>
        <w:rPr>
          <w:rStyle w:val="Hipervnculo"/>
          <w:rFonts w:ascii="Times New Roman" w:hAnsi="Times New Roman" w:cs="Times New Roman"/>
          <w:color w:val="000000" w:themeColor="text1"/>
          <w:sz w:val="18"/>
          <w:szCs w:val="18"/>
          <w:lang w:val="es-PE"/>
        </w:rPr>
      </w:pPr>
      <w:r w:rsidRPr="000077B9">
        <w:rPr>
          <w:rStyle w:val="Refdenotaalpie"/>
          <w:rFonts w:ascii="Times New Roman" w:hAnsi="Times New Roman" w:cs="Times New Roman"/>
          <w:sz w:val="18"/>
          <w:szCs w:val="18"/>
        </w:rPr>
        <w:footnoteRef/>
      </w:r>
      <w:r w:rsidRPr="000077B9">
        <w:rPr>
          <w:rFonts w:ascii="Times New Roman" w:hAnsi="Times New Roman" w:cs="Times New Roman"/>
          <w:sz w:val="18"/>
          <w:szCs w:val="18"/>
        </w:rPr>
        <w:t xml:space="preserve"> </w:t>
      </w:r>
      <w:r w:rsidRPr="000077B9">
        <w:rPr>
          <w:rFonts w:ascii="Times New Roman" w:hAnsi="Times New Roman" w:cs="Times New Roman"/>
          <w:sz w:val="18"/>
          <w:szCs w:val="18"/>
        </w:rPr>
        <w:tab/>
      </w:r>
      <w:proofErr w:type="spellStart"/>
      <w:r w:rsidRPr="000077B9">
        <w:rPr>
          <w:rStyle w:val="Hipervnculo"/>
          <w:rFonts w:ascii="Times New Roman" w:hAnsi="Times New Roman" w:cs="Times New Roman"/>
          <w:b/>
          <w:bCs/>
          <w:color w:val="000000" w:themeColor="text1"/>
          <w:sz w:val="18"/>
          <w:szCs w:val="18"/>
        </w:rPr>
        <w:t>Texto</w:t>
      </w:r>
      <w:proofErr w:type="spellEnd"/>
      <w:r w:rsidRPr="000077B9">
        <w:rPr>
          <w:rStyle w:val="Hipervnculo"/>
          <w:rFonts w:ascii="Times New Roman" w:hAnsi="Times New Roman" w:cs="Times New Roman"/>
          <w:b/>
          <w:bCs/>
          <w:color w:val="000000" w:themeColor="text1"/>
          <w:sz w:val="18"/>
          <w:szCs w:val="18"/>
        </w:rPr>
        <w:t xml:space="preserve"> </w:t>
      </w:r>
      <w:proofErr w:type="spellStart"/>
      <w:r w:rsidRPr="000077B9">
        <w:rPr>
          <w:rStyle w:val="Hipervnculo"/>
          <w:rFonts w:ascii="Times New Roman" w:hAnsi="Times New Roman" w:cs="Times New Roman"/>
          <w:b/>
          <w:bCs/>
          <w:color w:val="000000" w:themeColor="text1"/>
          <w:sz w:val="18"/>
          <w:szCs w:val="18"/>
        </w:rPr>
        <w:t>Único</w:t>
      </w:r>
      <w:proofErr w:type="spellEnd"/>
      <w:r w:rsidRPr="000077B9">
        <w:rPr>
          <w:rStyle w:val="Hipervnculo"/>
          <w:rFonts w:ascii="Times New Roman" w:hAnsi="Times New Roman" w:cs="Times New Roman"/>
          <w:b/>
          <w:bCs/>
          <w:color w:val="000000" w:themeColor="text1"/>
          <w:sz w:val="18"/>
          <w:szCs w:val="18"/>
        </w:rPr>
        <w:t xml:space="preserve"> </w:t>
      </w:r>
      <w:proofErr w:type="spellStart"/>
      <w:r w:rsidRPr="000077B9">
        <w:rPr>
          <w:rStyle w:val="Hipervnculo"/>
          <w:rFonts w:ascii="Times New Roman" w:hAnsi="Times New Roman" w:cs="Times New Roman"/>
          <w:b/>
          <w:bCs/>
          <w:color w:val="000000" w:themeColor="text1"/>
          <w:sz w:val="18"/>
          <w:szCs w:val="18"/>
        </w:rPr>
        <w:t>Ordenado</w:t>
      </w:r>
      <w:proofErr w:type="spellEnd"/>
      <w:r w:rsidRPr="000077B9">
        <w:rPr>
          <w:rStyle w:val="Hipervnculo"/>
          <w:rFonts w:ascii="Times New Roman" w:hAnsi="Times New Roman" w:cs="Times New Roman"/>
          <w:b/>
          <w:bCs/>
          <w:color w:val="000000" w:themeColor="text1"/>
          <w:sz w:val="18"/>
          <w:szCs w:val="18"/>
        </w:rPr>
        <w:t xml:space="preserve"> del </w:t>
      </w:r>
      <w:proofErr w:type="spellStart"/>
      <w:r w:rsidRPr="000077B9">
        <w:rPr>
          <w:rStyle w:val="Hipervnculo"/>
          <w:rFonts w:ascii="Times New Roman" w:hAnsi="Times New Roman" w:cs="Times New Roman"/>
          <w:b/>
          <w:bCs/>
          <w:color w:val="000000" w:themeColor="text1"/>
          <w:sz w:val="18"/>
          <w:szCs w:val="18"/>
        </w:rPr>
        <w:t>Reglamento</w:t>
      </w:r>
      <w:proofErr w:type="spellEnd"/>
      <w:r w:rsidRPr="000077B9">
        <w:rPr>
          <w:rStyle w:val="Hipervnculo"/>
          <w:rFonts w:ascii="Times New Roman" w:hAnsi="Times New Roman" w:cs="Times New Roman"/>
          <w:b/>
          <w:bCs/>
          <w:color w:val="000000" w:themeColor="text1"/>
          <w:sz w:val="18"/>
          <w:szCs w:val="18"/>
        </w:rPr>
        <w:t xml:space="preserve"> Nacional de </w:t>
      </w:r>
      <w:proofErr w:type="spellStart"/>
      <w:r w:rsidRPr="000077B9">
        <w:rPr>
          <w:rStyle w:val="Hipervnculo"/>
          <w:rFonts w:ascii="Times New Roman" w:hAnsi="Times New Roman" w:cs="Times New Roman"/>
          <w:b/>
          <w:bCs/>
          <w:color w:val="000000" w:themeColor="text1"/>
          <w:sz w:val="18"/>
          <w:szCs w:val="18"/>
        </w:rPr>
        <w:t>Tránsito</w:t>
      </w:r>
      <w:proofErr w:type="spellEnd"/>
    </w:p>
    <w:p w14:paraId="324507E7" w14:textId="77777777" w:rsidR="000077B9" w:rsidRPr="000077B9" w:rsidRDefault="000077B9" w:rsidP="000077B9">
      <w:pPr>
        <w:pStyle w:val="Textonotapie"/>
        <w:tabs>
          <w:tab w:val="left" w:pos="284"/>
        </w:tabs>
        <w:spacing w:afterLines="60" w:after="144"/>
        <w:ind w:left="284" w:hanging="284"/>
        <w:jc w:val="both"/>
        <w:rPr>
          <w:rStyle w:val="Hipervnculo"/>
          <w:rFonts w:ascii="Times New Roman" w:hAnsi="Times New Roman" w:cs="Times New Roman"/>
          <w:b/>
          <w:bCs/>
          <w:color w:val="000000" w:themeColor="text1"/>
          <w:sz w:val="18"/>
          <w:szCs w:val="18"/>
          <w:lang w:val="es-PE"/>
        </w:rPr>
      </w:pPr>
      <w:r w:rsidRPr="000077B9">
        <w:rPr>
          <w:rStyle w:val="Hipervnculo"/>
          <w:rFonts w:ascii="Times New Roman" w:hAnsi="Times New Roman" w:cs="Times New Roman"/>
          <w:b/>
          <w:bCs/>
          <w:color w:val="000000" w:themeColor="text1"/>
          <w:sz w:val="18"/>
          <w:szCs w:val="18"/>
          <w:lang w:val="es-PE"/>
        </w:rPr>
        <w:tab/>
        <w:t xml:space="preserve">Artículo 275.- Obligaciones del conductor implicado en un accidente de tránsito. </w:t>
      </w:r>
    </w:p>
    <w:p w14:paraId="1D4CE83C" w14:textId="77777777" w:rsidR="000077B9" w:rsidRPr="000077B9" w:rsidRDefault="000077B9" w:rsidP="000077B9">
      <w:pPr>
        <w:pStyle w:val="Textonotapie"/>
        <w:tabs>
          <w:tab w:val="left" w:pos="284"/>
        </w:tabs>
        <w:spacing w:afterLines="60" w:after="144"/>
        <w:ind w:left="284" w:hanging="284"/>
        <w:jc w:val="both"/>
        <w:rPr>
          <w:rStyle w:val="Hipervnculo"/>
          <w:rFonts w:ascii="Times New Roman" w:hAnsi="Times New Roman" w:cs="Times New Roman"/>
          <w:color w:val="000000" w:themeColor="text1"/>
          <w:sz w:val="18"/>
          <w:szCs w:val="18"/>
          <w:lang w:val="es-PE"/>
        </w:rPr>
      </w:pPr>
      <w:r w:rsidRPr="000077B9">
        <w:rPr>
          <w:rStyle w:val="Hipervnculo"/>
          <w:rFonts w:ascii="Times New Roman" w:hAnsi="Times New Roman" w:cs="Times New Roman"/>
          <w:color w:val="000000" w:themeColor="text1"/>
          <w:sz w:val="18"/>
          <w:szCs w:val="18"/>
          <w:lang w:val="es-PE"/>
        </w:rPr>
        <w:tab/>
        <w:t xml:space="preserve">El conductor implicado en un accidente de tránsito debe: </w:t>
      </w:r>
    </w:p>
    <w:p w14:paraId="2A760BEE" w14:textId="77777777" w:rsidR="000077B9" w:rsidRPr="000077B9" w:rsidRDefault="000077B9" w:rsidP="000077B9">
      <w:pPr>
        <w:pStyle w:val="Textonotapie"/>
        <w:tabs>
          <w:tab w:val="left" w:pos="284"/>
        </w:tabs>
        <w:spacing w:afterLines="60" w:after="144"/>
        <w:ind w:left="284" w:hanging="284"/>
        <w:jc w:val="both"/>
        <w:rPr>
          <w:rStyle w:val="Hipervnculo"/>
          <w:rFonts w:ascii="Times New Roman" w:hAnsi="Times New Roman" w:cs="Times New Roman"/>
          <w:color w:val="000000" w:themeColor="text1"/>
          <w:sz w:val="18"/>
          <w:szCs w:val="18"/>
          <w:lang w:val="es-PE"/>
        </w:rPr>
      </w:pPr>
      <w:r w:rsidRPr="000077B9">
        <w:rPr>
          <w:rStyle w:val="Hipervnculo"/>
          <w:rFonts w:ascii="Times New Roman" w:hAnsi="Times New Roman" w:cs="Times New Roman"/>
          <w:color w:val="000000" w:themeColor="text1"/>
          <w:sz w:val="18"/>
          <w:szCs w:val="18"/>
          <w:lang w:val="es-PE"/>
        </w:rPr>
        <w:tab/>
        <w:t xml:space="preserve">(…) </w:t>
      </w:r>
    </w:p>
    <w:p w14:paraId="0DB483E7" w14:textId="77777777" w:rsidR="000077B9" w:rsidRPr="000077B9" w:rsidRDefault="000077B9" w:rsidP="000077B9">
      <w:pPr>
        <w:pStyle w:val="Textonotapie"/>
        <w:tabs>
          <w:tab w:val="left" w:pos="284"/>
          <w:tab w:val="left" w:pos="567"/>
        </w:tabs>
        <w:spacing w:afterLines="60" w:after="144"/>
        <w:ind w:left="567" w:hanging="567"/>
        <w:jc w:val="both"/>
        <w:rPr>
          <w:rStyle w:val="Hipervnculo"/>
          <w:rFonts w:ascii="Times New Roman" w:hAnsi="Times New Roman" w:cs="Times New Roman"/>
          <w:color w:val="000000" w:themeColor="text1"/>
          <w:sz w:val="18"/>
          <w:szCs w:val="18"/>
          <w:lang w:val="es-PE"/>
        </w:rPr>
      </w:pPr>
      <w:r w:rsidRPr="000077B9">
        <w:rPr>
          <w:rStyle w:val="Hipervnculo"/>
          <w:rFonts w:ascii="Times New Roman" w:hAnsi="Times New Roman" w:cs="Times New Roman"/>
          <w:color w:val="000000" w:themeColor="text1"/>
          <w:sz w:val="18"/>
          <w:szCs w:val="18"/>
          <w:lang w:val="es-PE"/>
        </w:rPr>
        <w:tab/>
        <w:t xml:space="preserve">6) </w:t>
      </w:r>
      <w:r w:rsidRPr="000077B9">
        <w:rPr>
          <w:rStyle w:val="Hipervnculo"/>
          <w:rFonts w:ascii="Times New Roman" w:hAnsi="Times New Roman" w:cs="Times New Roman"/>
          <w:color w:val="000000" w:themeColor="text1"/>
          <w:sz w:val="18"/>
          <w:szCs w:val="18"/>
          <w:lang w:val="es-PE"/>
        </w:rPr>
        <w:tab/>
        <w:t>Denunciar inmediatamente la ocurrencia del accidente de tránsito ante la Comisaría de la Policía Nacional del Perú de la jurisdicción; y someterse al dosaje etílico.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7B9"/>
    <w:rsid w:val="00007954"/>
    <w:rsid w:val="00007C03"/>
    <w:rsid w:val="00010987"/>
    <w:rsid w:val="00011995"/>
    <w:rsid w:val="00013057"/>
    <w:rsid w:val="000159CC"/>
    <w:rsid w:val="00015C22"/>
    <w:rsid w:val="000167E0"/>
    <w:rsid w:val="00017572"/>
    <w:rsid w:val="000235E9"/>
    <w:rsid w:val="0002637D"/>
    <w:rsid w:val="0002733C"/>
    <w:rsid w:val="00027978"/>
    <w:rsid w:val="00027DA7"/>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84A75"/>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E79B7"/>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1F11AB"/>
    <w:rsid w:val="001F32A4"/>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56B9"/>
    <w:rsid w:val="002768C6"/>
    <w:rsid w:val="00276A92"/>
    <w:rsid w:val="00277667"/>
    <w:rsid w:val="002809AB"/>
    <w:rsid w:val="002830BC"/>
    <w:rsid w:val="00283E79"/>
    <w:rsid w:val="00286C15"/>
    <w:rsid w:val="002905EB"/>
    <w:rsid w:val="00290CA4"/>
    <w:rsid w:val="00294D98"/>
    <w:rsid w:val="00295828"/>
    <w:rsid w:val="0029673E"/>
    <w:rsid w:val="002A31D3"/>
    <w:rsid w:val="002A3798"/>
    <w:rsid w:val="002A3D36"/>
    <w:rsid w:val="002A4AE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551A3"/>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358C"/>
    <w:rsid w:val="004B51ED"/>
    <w:rsid w:val="004C1C34"/>
    <w:rsid w:val="004C34ED"/>
    <w:rsid w:val="004C51EC"/>
    <w:rsid w:val="004C5A91"/>
    <w:rsid w:val="004C6A9B"/>
    <w:rsid w:val="004D05F2"/>
    <w:rsid w:val="004E0A1D"/>
    <w:rsid w:val="004E65DD"/>
    <w:rsid w:val="004F0319"/>
    <w:rsid w:val="004F1255"/>
    <w:rsid w:val="004F3501"/>
    <w:rsid w:val="004F549E"/>
    <w:rsid w:val="004F7CF6"/>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4974"/>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633A"/>
    <w:rsid w:val="006664AB"/>
    <w:rsid w:val="00667A13"/>
    <w:rsid w:val="00671DB5"/>
    <w:rsid w:val="006764A9"/>
    <w:rsid w:val="006768BB"/>
    <w:rsid w:val="0067765F"/>
    <w:rsid w:val="00680D8A"/>
    <w:rsid w:val="00682D7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C6A0B"/>
    <w:rsid w:val="006D2BA9"/>
    <w:rsid w:val="006D397E"/>
    <w:rsid w:val="006E2366"/>
    <w:rsid w:val="006E4547"/>
    <w:rsid w:val="006E5BE6"/>
    <w:rsid w:val="006F011C"/>
    <w:rsid w:val="006F300D"/>
    <w:rsid w:val="006F36EF"/>
    <w:rsid w:val="006F47A8"/>
    <w:rsid w:val="006F4986"/>
    <w:rsid w:val="006F646A"/>
    <w:rsid w:val="006F6CBD"/>
    <w:rsid w:val="0070030F"/>
    <w:rsid w:val="00701598"/>
    <w:rsid w:val="00701639"/>
    <w:rsid w:val="00701893"/>
    <w:rsid w:val="00703430"/>
    <w:rsid w:val="00704A95"/>
    <w:rsid w:val="00706392"/>
    <w:rsid w:val="00706A28"/>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2D6"/>
    <w:rsid w:val="007C69FE"/>
    <w:rsid w:val="007D13E3"/>
    <w:rsid w:val="007D13F3"/>
    <w:rsid w:val="007D2A4B"/>
    <w:rsid w:val="007D39D3"/>
    <w:rsid w:val="007D5BB1"/>
    <w:rsid w:val="007D7213"/>
    <w:rsid w:val="007E47CA"/>
    <w:rsid w:val="007E4E23"/>
    <w:rsid w:val="007E5917"/>
    <w:rsid w:val="007E7310"/>
    <w:rsid w:val="007F2000"/>
    <w:rsid w:val="007F22B6"/>
    <w:rsid w:val="007F38DF"/>
    <w:rsid w:val="007F74F1"/>
    <w:rsid w:val="008010D0"/>
    <w:rsid w:val="008020A1"/>
    <w:rsid w:val="0080698B"/>
    <w:rsid w:val="00812473"/>
    <w:rsid w:val="00816B3F"/>
    <w:rsid w:val="0081754D"/>
    <w:rsid w:val="008177B9"/>
    <w:rsid w:val="00817F65"/>
    <w:rsid w:val="00821801"/>
    <w:rsid w:val="008246F7"/>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33FD4"/>
    <w:rsid w:val="00942733"/>
    <w:rsid w:val="00942B53"/>
    <w:rsid w:val="00943343"/>
    <w:rsid w:val="00946694"/>
    <w:rsid w:val="00950AD3"/>
    <w:rsid w:val="00951B99"/>
    <w:rsid w:val="00951CDB"/>
    <w:rsid w:val="00952F86"/>
    <w:rsid w:val="00955C03"/>
    <w:rsid w:val="00956309"/>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09EF"/>
    <w:rsid w:val="009C0D47"/>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D7BB3"/>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4366"/>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1E2"/>
    <w:rsid w:val="00CF55D6"/>
    <w:rsid w:val="00CF6484"/>
    <w:rsid w:val="00CF7839"/>
    <w:rsid w:val="00CF78D3"/>
    <w:rsid w:val="00CF7F8C"/>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185"/>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3817"/>
    <w:rsid w:val="00E64057"/>
    <w:rsid w:val="00E66AFF"/>
    <w:rsid w:val="00E6771C"/>
    <w:rsid w:val="00E70381"/>
    <w:rsid w:val="00E70F8F"/>
    <w:rsid w:val="00E73DEF"/>
    <w:rsid w:val="00E7512C"/>
    <w:rsid w:val="00E80D65"/>
    <w:rsid w:val="00E91723"/>
    <w:rsid w:val="00E93A0B"/>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4B4D"/>
    <w:rsid w:val="00EE556A"/>
    <w:rsid w:val="00EE6211"/>
    <w:rsid w:val="00EE6D21"/>
    <w:rsid w:val="00EF011B"/>
    <w:rsid w:val="00EF1116"/>
    <w:rsid w:val="00F0089C"/>
    <w:rsid w:val="00F01B55"/>
    <w:rsid w:val="00F0237B"/>
    <w:rsid w:val="00F04C50"/>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293"/>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534">
      <w:bodyDiv w:val="1"/>
      <w:marLeft w:val="0"/>
      <w:marRight w:val="0"/>
      <w:marTop w:val="0"/>
      <w:marBottom w:val="0"/>
      <w:divBdr>
        <w:top w:val="none" w:sz="0" w:space="0" w:color="auto"/>
        <w:left w:val="none" w:sz="0" w:space="0" w:color="auto"/>
        <w:bottom w:val="none" w:sz="0" w:space="0" w:color="auto"/>
        <w:right w:val="none" w:sz="0" w:space="0" w:color="auto"/>
      </w:divBdr>
    </w:div>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8065478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38B5554-E4B3-47C7-99B5-BC225ABA4295}"/>
</file>

<file path=customXml/itemProps3.xml><?xml version="1.0" encoding="utf-8"?>
<ds:datastoreItem xmlns:ds="http://schemas.openxmlformats.org/officeDocument/2006/customXml" ds:itemID="{2598531F-64B1-4FA2-9507-2E307BE77910}"/>
</file>

<file path=customXml/itemProps4.xml><?xml version="1.0" encoding="utf-8"?>
<ds:datastoreItem xmlns:ds="http://schemas.openxmlformats.org/officeDocument/2006/customXml" ds:itemID="{7FE8338D-8CE6-4239-A411-5491A0973C3C}"/>
</file>

<file path=docProps/app.xml><?xml version="1.0" encoding="utf-8"?>
<Properties xmlns="http://schemas.openxmlformats.org/officeDocument/2006/extended-properties" xmlns:vt="http://schemas.openxmlformats.org/officeDocument/2006/docPropsVTypes">
  <Template>Normal</Template>
  <TotalTime>393</TotalTime>
  <Pages>4</Pages>
  <Words>1495</Words>
  <Characters>8227</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438</cp:revision>
  <cp:lastPrinted>2025-09-08T19:55:00Z</cp:lastPrinted>
  <dcterms:created xsi:type="dcterms:W3CDTF">2023-02-14T22:37:00Z</dcterms:created>
  <dcterms:modified xsi:type="dcterms:W3CDTF">2025-09-08T19:55:00Z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