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43F319DB" w:rsidR="001F32A4" w:rsidRPr="000077B9" w:rsidRDefault="00201C0D" w:rsidP="000077B9">
      <w:pPr>
        <w:spacing w:after="0" w:line="240" w:lineRule="auto"/>
        <w:jc w:val="center"/>
        <w:rPr>
          <w:rFonts w:ascii="Times New Roman" w:hAnsi="Times New Roman" w:cs="Times New Roman"/>
          <w:b/>
          <w:sz w:val="24"/>
          <w:szCs w:val="24"/>
          <w:lang w:val="es-PE" w:eastAsia="ar-SA"/>
        </w:rPr>
      </w:pPr>
      <w:r w:rsidRPr="000077B9">
        <w:rPr>
          <w:rFonts w:ascii="Times New Roman" w:hAnsi="Times New Roman" w:cs="Times New Roman"/>
          <w:b/>
          <w:sz w:val="24"/>
          <w:szCs w:val="24"/>
          <w:lang w:val="es-PE" w:eastAsia="ar-SA"/>
        </w:rPr>
        <w:t xml:space="preserve">RESOLUCIÓN DE RECURSO IMPUGNATIVO </w:t>
      </w:r>
      <w:r w:rsidR="00707C99" w:rsidRPr="000077B9">
        <w:rPr>
          <w:rFonts w:ascii="Times New Roman" w:hAnsi="Times New Roman" w:cs="Times New Roman"/>
          <w:b/>
          <w:sz w:val="24"/>
          <w:szCs w:val="24"/>
          <w:lang w:val="es-PE" w:eastAsia="ar-SA"/>
        </w:rPr>
        <w:t xml:space="preserve">N° </w:t>
      </w:r>
      <w:r w:rsidR="00EE4B4D" w:rsidRPr="000077B9">
        <w:rPr>
          <w:rFonts w:ascii="Times New Roman" w:hAnsi="Times New Roman" w:cs="Times New Roman"/>
          <w:b/>
          <w:sz w:val="24"/>
          <w:szCs w:val="24"/>
          <w:lang w:val="es-PE" w:eastAsia="ar-SA"/>
        </w:rPr>
        <w:t>4</w:t>
      </w:r>
      <w:r w:rsidR="00F02E9B">
        <w:rPr>
          <w:rFonts w:ascii="Times New Roman" w:hAnsi="Times New Roman" w:cs="Times New Roman"/>
          <w:b/>
          <w:sz w:val="24"/>
          <w:szCs w:val="24"/>
          <w:lang w:val="es-PE" w:eastAsia="ar-SA"/>
        </w:rPr>
        <w:t>4</w:t>
      </w:r>
      <w:r w:rsidR="00C671F5" w:rsidRPr="000077B9">
        <w:rPr>
          <w:rFonts w:ascii="Times New Roman" w:hAnsi="Times New Roman" w:cs="Times New Roman"/>
          <w:b/>
          <w:sz w:val="24"/>
          <w:szCs w:val="24"/>
          <w:lang w:val="es-PE" w:eastAsia="ar-SA"/>
        </w:rPr>
        <w:t>/2</w:t>
      </w:r>
      <w:r w:rsidR="00A74F96" w:rsidRPr="000077B9">
        <w:rPr>
          <w:rFonts w:ascii="Times New Roman" w:hAnsi="Times New Roman" w:cs="Times New Roman"/>
          <w:b/>
          <w:sz w:val="24"/>
          <w:szCs w:val="24"/>
          <w:lang w:val="es-PE" w:eastAsia="ar-SA"/>
        </w:rPr>
        <w:t>5</w:t>
      </w:r>
    </w:p>
    <w:p w14:paraId="19270880" w14:textId="77777777" w:rsidR="00D95CD0" w:rsidRPr="00D95CD0" w:rsidRDefault="00D95CD0" w:rsidP="00D95CD0">
      <w:pPr>
        <w:spacing w:line="240" w:lineRule="auto"/>
        <w:jc w:val="both"/>
        <w:rPr>
          <w:rFonts w:ascii="Times New Roman" w:eastAsia="Arial Unicode MS" w:hAnsi="Times New Roman" w:cs="Times New Roman"/>
          <w:b/>
          <w:bCs/>
          <w:sz w:val="24"/>
          <w:szCs w:val="24"/>
          <w:lang w:val="es-MX" w:eastAsia="ar-SA"/>
        </w:rPr>
      </w:pPr>
      <w:r w:rsidRPr="00D95CD0">
        <w:rPr>
          <w:rFonts w:ascii="Times New Roman" w:eastAsia="Arial Unicode MS" w:hAnsi="Times New Roman" w:cs="Times New Roman"/>
          <w:b/>
          <w:bCs/>
          <w:sz w:val="24"/>
          <w:szCs w:val="24"/>
          <w:lang w:val="es-MX" w:eastAsia="ar-SA"/>
        </w:rPr>
        <w:t>VISTOS:</w:t>
      </w:r>
    </w:p>
    <w:p w14:paraId="3D3E0503" w14:textId="56AE121C"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136/25 de fecha 04 de setiembre de 2025, expedida por la DEFASEG, conforme a la cual se declaró FUNDADA la reclamación interpuesta por don………………… ………………… respecto de la Póliza Vehicular ………………….</w:t>
      </w:r>
    </w:p>
    <w:p w14:paraId="36E4CF1A" w14:textId="04DDCD38" w:rsidR="001B7587" w:rsidRPr="00D95CD0" w:rsidRDefault="00D95CD0" w:rsidP="00D95CD0">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en los argumentos que a continuación se resumen: a) existe un error de interpretación de la DEFASEG, toda vez que el endoso a la entidad financiera no elimina la obligación de inspección; b) interpretar ello conllevaría a un escenario ilógico y contrario al principio de trato equitativo, pues dos asegurados con un mismo vehículo y misma póliza recibirían un trato diferenciado únicamente por el hecho que uno de ellos financió la póliza a través de un banco acreedor hipotecario; contradice el principio de igualdad de trato en relaciones contractuales y rompe la uniformidad que debe existir en la aplicación de los términos de la póliza, incluyendo una discriminación arbitraria que el contrato nunca contempló; asimismo atentaría contra la lógica actuarial que sustenta la actividad aseguradora; c) la cláusula ………………… establece expresamente que los únicos supuestos en los cuales la inspección no resulta exigible se da respecto de los vehículos nuevos adquiridos en concesionarios y las pólizas de continuidad o renovación; el endoso a favor de una entidad financiera no se encuentra dentro de dichos supuestos, por lo que no puede ser considerado una exoneración a la obligación de inspección; d) las cláusulas deben interpretarse de manera sistemática, atribuyéndose a las dudosas el sentido que resulte del conjunto de todas; e) la interpretación de la Resolución Impugnada produce consecuencias que exceden el caso concreto, pues si se entendiera que el solo hecho de existir un endoso a favor de una entidad financiera exime automáticamente al asegurado de someter el vehículo a la inspección previa, se estaría otorgando cobertura plena aun cuando se incumpla una condición expresamente pactada en el contrato, lo cual implica desnaturalizar la cláusula …………………, vaciarla de contenido y permitir que una formalidad de garantía crediticia se convierta en u mecanismo de acceso automático a coberturas que deberían estar supeditadas al cumplimiento de obligaciones esenciales; f) por lo que solicitan se revoque la Resolución Impugnada.</w:t>
      </w:r>
    </w:p>
    <w:p w14:paraId="4E17572A" w14:textId="3DEA5895" w:rsidR="00D95CD0" w:rsidRPr="00D95CD0" w:rsidRDefault="00D95CD0" w:rsidP="00D95CD0">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habiéndosele corrido traslado de la señalada impugnación, el reclamante la absuelve, señalando resumidamente lo siguiente: a) la impugnación de la aseguradora busca dilatar el proceso sin mayor sustento jurídico real que desvirtué lo ya resuelto; b) deben prevalecer los principios de equidad, buena fe y tutela efectiva del asegurado, por lo que solicita se confirme la Resolución Impugnada a la brevedad posible, ya que la prolongación del mismo viene generándole pérdidas económicas y de tiempo, lo cual resulta injusto e insostenible.</w:t>
      </w:r>
    </w:p>
    <w:p w14:paraId="3FC051D8" w14:textId="21CA5FAF" w:rsidR="00D95CD0" w:rsidRPr="00D95CD0" w:rsidRDefault="00D95CD0" w:rsidP="00D95CD0">
      <w:pPr>
        <w:spacing w:line="240" w:lineRule="auto"/>
        <w:jc w:val="both"/>
        <w:rPr>
          <w:rFonts w:ascii="Times New Roman" w:eastAsia="Arial Unicode MS" w:hAnsi="Times New Roman" w:cs="Times New Roman"/>
          <w:b/>
          <w:sz w:val="24"/>
          <w:szCs w:val="24"/>
          <w:lang w:val="es-MX" w:eastAsia="ar-SA"/>
        </w:rPr>
      </w:pPr>
      <w:r w:rsidRPr="00D95CD0">
        <w:rPr>
          <w:rFonts w:ascii="Times New Roman" w:eastAsia="Arial Unicode MS" w:hAnsi="Times New Roman" w:cs="Times New Roman"/>
          <w:b/>
          <w:sz w:val="24"/>
          <w:szCs w:val="24"/>
          <w:lang w:val="es-MX" w:eastAsia="ar-SA"/>
        </w:rPr>
        <w:t>CONSIDERANDO</w:t>
      </w:r>
    </w:p>
    <w:p w14:paraId="2B74446C" w14:textId="7FB98241"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2671AD31" w14:textId="77777777"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esta Defensoría.</w:t>
      </w:r>
    </w:p>
    <w:p w14:paraId="720DEEFD" w14:textId="77777777"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p>
    <w:p w14:paraId="71935A0F" w14:textId="0001CD9C"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SEGUNDO: Atendiendo a los fundamentos de la impugnación interpuesta, se aprecia que ………………… manifiesta su discrepancia con lo resuelto, señalando básicamente que un endoso a favor de una entidad financiera no puede exonerar al asegurador de la inspección, pues ello implicaría un trato desigual respecto de quienes no tienen dicho endoso.</w:t>
      </w:r>
    </w:p>
    <w:p w14:paraId="4B02F552" w14:textId="6BEAD1B8"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Al respecto, este colegiado tiene a bien destacar que, a través del endoso bancario no se ha exonerado al asegurado de su obligación de realizar la inspección, pues el texto de dicho endoso no hace referencia a una situación de inspección; por el contrario, es la propia cláusula ………………… (Cláusula de Garantía de Inspección), la que establece que la misma no será de aplicación para las pólizas que hayan sido endosadas a entidades financieras.</w:t>
      </w:r>
    </w:p>
    <w:p w14:paraId="0CC330A4" w14:textId="3BF8FC19"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En otras palabras, la misma Cláusula ………………… que establece la obligación de inspección, se inaplica cuando existe un endoso bancario. Si dicha cláusula no contemplara el último párrafo del numeral 2, sería claro que la cláusula de garantía de inspección, aplica para todos los casos -incluido el caso en que exista un endoso bancario -, sin perjuicio de las excepciones para vehíçulos nuevos y continuidad de pólizas que la misma cláusula garantía de inspección contempla. De acuerdo a ello, la cláusula ………………… no solo contempla situaciones de excepción, sino que además se señala así misma “inaplicable” cuando se ha endosado la póliza a una entidad financiera.</w:t>
      </w:r>
    </w:p>
    <w:p w14:paraId="6E0B5A51" w14:textId="59ED4AD3"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La aseguradora, se ha limitado a señalar que ello generaría un trato desigual, pero no se pronuncia sobre cuál, a su entender, es la interpretación que debe darse al último párrafo del numeral 2 de la cláusula …………………. </w:t>
      </w:r>
    </w:p>
    <w:p w14:paraId="1D38EEC9" w14:textId="3C5BE1C8"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sidRPr="00D95CD0">
        <w:rPr>
          <w:rFonts w:ascii="Times New Roman" w:eastAsia="Arial Unicode MS" w:hAnsi="Times New Roman" w:cs="Times New Roman"/>
          <w:bCs/>
          <w:sz w:val="24"/>
          <w:szCs w:val="24"/>
          <w:lang w:val="es-PE" w:eastAsia="ar-SA"/>
        </w:rPr>
        <w:t xml:space="preserve">En lo que respecta a la aludida desigualdad que se generaría por un endoso a favor de una entidad financiera, es claro que el texto del </w:t>
      </w:r>
      <w:proofErr w:type="gramStart"/>
      <w:r w:rsidRPr="00D95CD0">
        <w:rPr>
          <w:rFonts w:ascii="Times New Roman" w:eastAsia="Arial Unicode MS" w:hAnsi="Times New Roman" w:cs="Times New Roman"/>
          <w:bCs/>
          <w:sz w:val="24"/>
          <w:szCs w:val="24"/>
          <w:lang w:val="es-PE" w:eastAsia="ar-SA"/>
        </w:rPr>
        <w:t>mismo,</w:t>
      </w:r>
      <w:proofErr w:type="gramEnd"/>
      <w:r w:rsidRPr="00D95CD0">
        <w:rPr>
          <w:rFonts w:ascii="Times New Roman" w:eastAsia="Arial Unicode MS" w:hAnsi="Times New Roman" w:cs="Times New Roman"/>
          <w:bCs/>
          <w:sz w:val="24"/>
          <w:szCs w:val="24"/>
          <w:lang w:val="es-PE" w:eastAsia="ar-SA"/>
        </w:rPr>
        <w:t xml:space="preserve"> establece un trato diferente para todas aquellas pólizas que contienen dicho endoso, pues, por ejemplo, señala que no se puede suspender la cobertura por falta de pago, sin que previamente se haya comunicado al banco de dicha situación, beneficio que no aplica para las pólizas que no contienen dicho endoso. Ello no significa un trato discriminatorio, ni arbitrario, sino que establece una diferenciación respecto de otras pólizas por una razón objetiva que la propia aseguradora, y el contratante han pactado, en beneficio del banco.  </w:t>
      </w:r>
    </w:p>
    <w:p w14:paraId="63A9FA9F" w14:textId="674AB967"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Las partes son libres de incluir o no un endoso a la póliza; y de incluirlo se aplican las disposiciones que el endoso y la póliza establece, implicando el endoso un trato diferenciado válido y estableciendo la póliza condiciones no aplicables en caso exista un endoso. Reiteramos que es la propia cláusula ………………… contenida en la póliza, la que señala que la misma no  aplica para las pólizas endosas a entidades financieras. </w:t>
      </w:r>
    </w:p>
    <w:p w14:paraId="2FB2CB85" w14:textId="68856F9C"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A continuación copiamos el último párrafo del numeral de la cláusula …………………</w:t>
      </w:r>
    </w:p>
    <w:p w14:paraId="3AE0873B" w14:textId="5B583F1C"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w:t>
      </w:r>
    </w:p>
    <w:p w14:paraId="52B0BB86" w14:textId="77777777" w:rsidR="00D95CD0" w:rsidRPr="00D95CD0" w:rsidRDefault="00D95CD0" w:rsidP="00D95CD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Finalmente y sobre el argumento que ello genera un precedente  que excede el caso concreto. Ello solo genera un precedente para otros casos, en la medida que dicho párrafo, se siga manteniendo presente en las cláusula ………………… bajo el mismo texto; sin perjuicio de lo cual cada caso es analizado en forma particular e individual teniendo en cuenta lo establecido en su respectiva póliza de seguros, y las circunstancias específicas que puede presentar cada situación.</w:t>
      </w:r>
    </w:p>
    <w:p w14:paraId="6116DC65" w14:textId="77777777"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p>
    <w:p w14:paraId="5B6E76F0" w14:textId="67D7E50F" w:rsidR="00D95CD0" w:rsidRPr="00D95CD0" w:rsidRDefault="00D95CD0" w:rsidP="00D95CD0">
      <w:pPr>
        <w:spacing w:line="240" w:lineRule="auto"/>
        <w:jc w:val="both"/>
        <w:rPr>
          <w:rFonts w:ascii="Times New Roman" w:eastAsia="Arial Unicode MS" w:hAnsi="Times New Roman" w:cs="Times New Roman"/>
          <w:sz w:val="24"/>
          <w:szCs w:val="24"/>
          <w:lang w:val="es-PE" w:eastAsia="ar-SA"/>
        </w:rPr>
      </w:pPr>
      <w:r w:rsidRPr="00D95CD0">
        <w:rPr>
          <w:rFonts w:ascii="Times New Roman" w:eastAsia="Arial Unicode MS" w:hAnsi="Times New Roman" w:cs="Times New Roman"/>
          <w:sz w:val="24"/>
          <w:szCs w:val="24"/>
          <w:lang w:val="es-PE" w:eastAsia="ar-SA"/>
        </w:rPr>
        <w:lastRenderedPageBreak/>
        <w:t>En virtud de lo expuesto, este colegiado aprecia que no existe mérito para revocar la resolución emitida; por lo tanto,</w:t>
      </w:r>
    </w:p>
    <w:p w14:paraId="1ED30CBF" w14:textId="04F4BD16" w:rsidR="00D95CD0" w:rsidRPr="00D95CD0" w:rsidRDefault="00D95CD0" w:rsidP="00D95CD0">
      <w:pPr>
        <w:spacing w:line="240" w:lineRule="auto"/>
        <w:jc w:val="both"/>
        <w:rPr>
          <w:rFonts w:ascii="Times New Roman" w:eastAsia="Arial Unicode MS" w:hAnsi="Times New Roman" w:cs="Times New Roman"/>
          <w:b/>
          <w:bCs/>
          <w:sz w:val="24"/>
          <w:szCs w:val="24"/>
          <w:lang w:val="es-PE" w:eastAsia="ar-SA"/>
        </w:rPr>
      </w:pPr>
      <w:r w:rsidRPr="00D95CD0">
        <w:rPr>
          <w:rFonts w:ascii="Times New Roman" w:eastAsia="Arial Unicode MS" w:hAnsi="Times New Roman" w:cs="Times New Roman"/>
          <w:b/>
          <w:bCs/>
          <w:sz w:val="24"/>
          <w:szCs w:val="24"/>
          <w:lang w:val="es-PE" w:eastAsia="ar-SA"/>
        </w:rPr>
        <w:t>Resuelve:</w:t>
      </w:r>
    </w:p>
    <w:p w14:paraId="16EC77EB" w14:textId="2C739F32" w:rsidR="00D95CD0" w:rsidRPr="00D95CD0" w:rsidRDefault="00D95CD0" w:rsidP="00502368">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por ………………… y, por consiguiente, ratificar la Resolución Nro. 136/25,  que declaró FUNDADA la reclamación.</w:t>
      </w:r>
    </w:p>
    <w:p w14:paraId="51EDAB4B" w14:textId="5E1D26B6" w:rsidR="00B32E8A" w:rsidRPr="00682D7A" w:rsidRDefault="0091528B" w:rsidP="006F011C">
      <w:pPr>
        <w:spacing w:line="240" w:lineRule="auto"/>
        <w:jc w:val="right"/>
        <w:rPr>
          <w:rFonts w:ascii="Times New Roman" w:hAnsi="Times New Roman" w:cs="Times New Roman"/>
          <w:sz w:val="24"/>
          <w:szCs w:val="24"/>
          <w:lang w:val="es-PE"/>
        </w:rPr>
      </w:pPr>
      <w:r w:rsidRPr="00682D7A">
        <w:rPr>
          <w:rFonts w:ascii="Times New Roman" w:eastAsia="Arial Unicode MS" w:hAnsi="Times New Roman" w:cs="Times New Roman"/>
          <w:sz w:val="24"/>
          <w:szCs w:val="24"/>
          <w:lang w:val="es-PE" w:eastAsia="ar-SA"/>
        </w:rPr>
        <w:t>Lima,</w:t>
      </w:r>
      <w:r w:rsidR="00774D05" w:rsidRPr="00682D7A">
        <w:rPr>
          <w:rFonts w:ascii="Times New Roman" w:eastAsia="Arial Unicode MS" w:hAnsi="Times New Roman" w:cs="Times New Roman"/>
          <w:sz w:val="24"/>
          <w:szCs w:val="24"/>
          <w:lang w:val="es-PE" w:eastAsia="ar-SA"/>
        </w:rPr>
        <w:t xml:space="preserve"> </w:t>
      </w:r>
      <w:r w:rsidR="00682D7A" w:rsidRPr="00682D7A">
        <w:rPr>
          <w:rFonts w:ascii="Times New Roman" w:eastAsia="Arial Unicode MS" w:hAnsi="Times New Roman" w:cs="Times New Roman"/>
          <w:sz w:val="24"/>
          <w:szCs w:val="24"/>
          <w:lang w:val="es-PE" w:eastAsia="ar-SA"/>
        </w:rPr>
        <w:t>2</w:t>
      </w:r>
      <w:r w:rsidR="009A5501">
        <w:rPr>
          <w:rFonts w:ascii="Times New Roman" w:eastAsia="Arial Unicode MS" w:hAnsi="Times New Roman" w:cs="Times New Roman"/>
          <w:sz w:val="24"/>
          <w:szCs w:val="24"/>
          <w:lang w:val="es-PE" w:eastAsia="ar-SA"/>
        </w:rPr>
        <w:t>2</w:t>
      </w:r>
      <w:r w:rsidR="00B8209E" w:rsidRPr="00682D7A">
        <w:rPr>
          <w:rFonts w:ascii="Times New Roman" w:eastAsia="Arial Unicode MS" w:hAnsi="Times New Roman" w:cs="Times New Roman"/>
          <w:sz w:val="24"/>
          <w:szCs w:val="24"/>
          <w:lang w:val="es-PE" w:eastAsia="ar-SA"/>
        </w:rPr>
        <w:t xml:space="preserve"> </w:t>
      </w:r>
      <w:r w:rsidR="00707C99" w:rsidRPr="00682D7A">
        <w:rPr>
          <w:rFonts w:ascii="Times New Roman" w:eastAsia="Arial Unicode MS" w:hAnsi="Times New Roman" w:cs="Times New Roman"/>
          <w:sz w:val="24"/>
          <w:szCs w:val="24"/>
          <w:lang w:val="es-PE" w:eastAsia="ar-SA"/>
        </w:rPr>
        <w:t xml:space="preserve">de </w:t>
      </w:r>
      <w:r w:rsidR="009A5501">
        <w:rPr>
          <w:rFonts w:ascii="Times New Roman" w:eastAsia="Arial Unicode MS" w:hAnsi="Times New Roman" w:cs="Times New Roman"/>
          <w:sz w:val="24"/>
          <w:szCs w:val="24"/>
          <w:lang w:val="es-PE" w:eastAsia="ar-SA"/>
        </w:rPr>
        <w:t>septiembre</w:t>
      </w:r>
      <w:r w:rsidR="002756B9" w:rsidRPr="00682D7A">
        <w:rPr>
          <w:rFonts w:ascii="Times New Roman" w:eastAsia="Arial Unicode MS" w:hAnsi="Times New Roman" w:cs="Times New Roman"/>
          <w:sz w:val="24"/>
          <w:szCs w:val="24"/>
          <w:lang w:val="es-PE" w:eastAsia="ar-SA"/>
        </w:rPr>
        <w:t xml:space="preserve"> </w:t>
      </w:r>
      <w:r w:rsidR="00F06498" w:rsidRPr="00682D7A">
        <w:rPr>
          <w:rFonts w:ascii="Times New Roman" w:eastAsia="Arial Unicode MS" w:hAnsi="Times New Roman" w:cs="Times New Roman"/>
          <w:sz w:val="24"/>
          <w:szCs w:val="24"/>
          <w:lang w:val="es-PE" w:eastAsia="ar-SA"/>
        </w:rPr>
        <w:t>de 202</w:t>
      </w:r>
      <w:r w:rsidR="00AE4D37" w:rsidRPr="00682D7A">
        <w:rPr>
          <w:rFonts w:ascii="Times New Roman" w:eastAsia="Arial Unicode MS" w:hAnsi="Times New Roman" w:cs="Times New Roman"/>
          <w:sz w:val="24"/>
          <w:szCs w:val="24"/>
          <w:lang w:val="es-PE" w:eastAsia="ar-SA"/>
        </w:rPr>
        <w:t>5</w:t>
      </w:r>
      <w:r w:rsidR="00707C99" w:rsidRPr="00682D7A">
        <w:rPr>
          <w:rFonts w:ascii="Times New Roman" w:eastAsia="Times New Roman" w:hAnsi="Times New Roman" w:cs="Times New Roman"/>
          <w:sz w:val="24"/>
          <w:szCs w:val="24"/>
          <w:lang w:val="es-PE" w:eastAsia="ar-SA"/>
        </w:rPr>
        <w:t xml:space="preserve"> </w:t>
      </w:r>
    </w:p>
    <w:p w14:paraId="1B6988F6" w14:textId="77777777" w:rsidR="00A323F4" w:rsidRPr="00682D7A" w:rsidRDefault="00A323F4" w:rsidP="00657814">
      <w:pPr>
        <w:spacing w:after="0" w:line="240" w:lineRule="auto"/>
        <w:jc w:val="both"/>
        <w:rPr>
          <w:rFonts w:ascii="Times New Roman" w:hAnsi="Times New Roman" w:cs="Times New Roman"/>
          <w:b/>
          <w:bCs/>
          <w:i/>
          <w:iCs/>
          <w:sz w:val="24"/>
          <w:szCs w:val="24"/>
          <w:lang w:val="es-PE"/>
        </w:rPr>
      </w:pPr>
      <w:r w:rsidRPr="00682D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Default="008D26BA" w:rsidP="00657814">
      <w:pPr>
        <w:spacing w:after="0" w:line="360" w:lineRule="auto"/>
        <w:jc w:val="both"/>
        <w:rPr>
          <w:rFonts w:ascii="Times New Roman" w:hAnsi="Times New Roman" w:cs="Times New Roman"/>
          <w:b/>
          <w:bCs/>
          <w:i/>
          <w:iCs/>
          <w:sz w:val="24"/>
          <w:szCs w:val="24"/>
          <w:lang w:val="es-PE"/>
        </w:rPr>
      </w:pPr>
    </w:p>
    <w:p w14:paraId="11595A43" w14:textId="7E7674DD" w:rsidR="009A5501" w:rsidRPr="009A5501" w:rsidRDefault="009A5501" w:rsidP="009A5501">
      <w:pPr>
        <w:spacing w:after="0" w:line="360" w:lineRule="auto"/>
        <w:jc w:val="center"/>
        <w:rPr>
          <w:rFonts w:ascii="Times New Roman" w:hAnsi="Times New Roman" w:cs="Times New Roman"/>
          <w:sz w:val="24"/>
          <w:szCs w:val="24"/>
          <w:lang w:val="es-PE"/>
        </w:rPr>
      </w:pPr>
      <w:r w:rsidRPr="00682D7A">
        <w:rPr>
          <w:rFonts w:ascii="Times New Roman" w:hAnsi="Times New Roman" w:cs="Times New Roman"/>
          <w:b/>
          <w:bCs/>
          <w:sz w:val="24"/>
          <w:szCs w:val="24"/>
        </w:rPr>
        <w:t>Antonio José Rodríguez Lobatón</w:t>
      </w:r>
      <w:r w:rsidRPr="00682D7A">
        <w:rPr>
          <w:rFonts w:ascii="Times New Roman" w:hAnsi="Times New Roman" w:cs="Times New Roman"/>
          <w:b/>
          <w:bCs/>
          <w:sz w:val="24"/>
          <w:szCs w:val="24"/>
          <w:lang w:val="es-PE"/>
        </w:rPr>
        <w:t xml:space="preserve"> – Presidente</w:t>
      </w:r>
    </w:p>
    <w:p w14:paraId="5A48D78D" w14:textId="77777777" w:rsidR="0066633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María Eugenia Valdez Fernández Baca – Vocal</w:t>
      </w:r>
    </w:p>
    <w:p w14:paraId="2E0E716B" w14:textId="77777777" w:rsidR="009A5501" w:rsidRDefault="009A5501" w:rsidP="009A5501">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 xml:space="preserve">Rolando Eyzaguirre </w:t>
      </w:r>
      <w:proofErr w:type="spellStart"/>
      <w:r w:rsidRPr="00682D7A">
        <w:rPr>
          <w:rFonts w:ascii="Times New Roman" w:hAnsi="Times New Roman" w:cs="Times New Roman"/>
          <w:b/>
          <w:bCs/>
          <w:sz w:val="24"/>
          <w:szCs w:val="24"/>
          <w:lang w:val="es-PE"/>
        </w:rPr>
        <w:t>Maccan</w:t>
      </w:r>
      <w:proofErr w:type="spellEnd"/>
      <w:r w:rsidRPr="00682D7A">
        <w:rPr>
          <w:rFonts w:ascii="Times New Roman" w:hAnsi="Times New Roman" w:cs="Times New Roman"/>
          <w:b/>
          <w:bCs/>
          <w:sz w:val="24"/>
          <w:szCs w:val="24"/>
          <w:lang w:val="es-PE"/>
        </w:rPr>
        <w:t xml:space="preserve"> – Vocal</w:t>
      </w:r>
    </w:p>
    <w:p w14:paraId="3DBDCF59" w14:textId="7B21DC86" w:rsidR="009A5501" w:rsidRPr="00682D7A" w:rsidRDefault="009A5501" w:rsidP="009A5501">
      <w:pPr>
        <w:spacing w:after="0" w:line="240" w:lineRule="auto"/>
        <w:jc w:val="center"/>
        <w:rPr>
          <w:rFonts w:ascii="Times New Roman" w:hAnsi="Times New Roman" w:cs="Times New Roman"/>
          <w:b/>
          <w:bCs/>
          <w:sz w:val="24"/>
          <w:szCs w:val="24"/>
          <w:lang w:val="es-PE"/>
        </w:rPr>
      </w:pPr>
    </w:p>
    <w:p w14:paraId="796F4BD9" w14:textId="77777777" w:rsidR="009A5501" w:rsidRPr="00682D7A" w:rsidRDefault="009A5501" w:rsidP="0066633A">
      <w:pPr>
        <w:spacing w:after="0" w:line="240" w:lineRule="auto"/>
        <w:jc w:val="center"/>
        <w:rPr>
          <w:rFonts w:ascii="Times New Roman" w:hAnsi="Times New Roman" w:cs="Times New Roman"/>
          <w:b/>
          <w:bCs/>
          <w:sz w:val="24"/>
          <w:szCs w:val="24"/>
          <w:lang w:val="es-PE"/>
        </w:rPr>
      </w:pP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05D3" w14:textId="77777777" w:rsidR="00675A80" w:rsidRDefault="00675A80" w:rsidP="00784355">
      <w:pPr>
        <w:spacing w:after="0" w:line="240" w:lineRule="auto"/>
      </w:pPr>
      <w:r>
        <w:separator/>
      </w:r>
    </w:p>
  </w:endnote>
  <w:endnote w:type="continuationSeparator" w:id="0">
    <w:p w14:paraId="46787CC9" w14:textId="77777777" w:rsidR="00675A80" w:rsidRDefault="00675A8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11E66" w14:textId="77777777" w:rsidR="00675A80" w:rsidRDefault="00675A80" w:rsidP="00784355">
      <w:pPr>
        <w:spacing w:after="0" w:line="240" w:lineRule="auto"/>
      </w:pPr>
      <w:r>
        <w:separator/>
      </w:r>
    </w:p>
  </w:footnote>
  <w:footnote w:type="continuationSeparator" w:id="0">
    <w:p w14:paraId="5602A012" w14:textId="77777777" w:rsidR="00675A80" w:rsidRDefault="00675A8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1A0B5D7-3A92-465C-B6BD-3206154F2C77}"/>
</file>

<file path=customXml/itemProps3.xml><?xml version="1.0" encoding="utf-8"?>
<ds:datastoreItem xmlns:ds="http://schemas.openxmlformats.org/officeDocument/2006/customXml" ds:itemID="{B5BE5DB3-7DF6-4D0F-8D78-380F66CBF799}"/>
</file>

<file path=customXml/itemProps4.xml><?xml version="1.0" encoding="utf-8"?>
<ds:datastoreItem xmlns:ds="http://schemas.openxmlformats.org/officeDocument/2006/customXml" ds:itemID="{96C24F1E-0F8D-4E8B-8757-3187A6416762}"/>
</file>

<file path=docProps/app.xml><?xml version="1.0" encoding="utf-8"?>
<Properties xmlns="http://schemas.openxmlformats.org/officeDocument/2006/extended-properties" xmlns:vt="http://schemas.openxmlformats.org/officeDocument/2006/docPropsVTypes">
  <Template>Normal</Template>
  <TotalTime>397</TotalTime>
  <Pages>3</Pages>
  <Words>1140</Words>
  <Characters>6271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444</cp:revision>
  <cp:lastPrinted>2025-09-23T21:18:00Z</cp:lastPrinted>
  <dcterms:created xsi:type="dcterms:W3CDTF">2023-02-14T22:37:00Z</dcterms:created>
  <dcterms:modified xsi:type="dcterms:W3CDTF">2025-09-23T21:18:00Z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