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9AD8" w14:textId="69EEC7AA" w:rsidR="002C50F4" w:rsidRPr="002C50F4" w:rsidRDefault="00201C0D" w:rsidP="002C50F4">
      <w:pPr>
        <w:spacing w:after="0" w:line="240" w:lineRule="auto"/>
        <w:jc w:val="center"/>
        <w:rPr>
          <w:rFonts w:ascii="Times New Roman" w:hAnsi="Times New Roman" w:cs="Times New Roman"/>
          <w:b/>
          <w:sz w:val="24"/>
          <w:szCs w:val="24"/>
          <w:lang w:val="es-PE" w:eastAsia="ar-SA"/>
        </w:rPr>
      </w:pPr>
      <w:r w:rsidRPr="000077B9">
        <w:rPr>
          <w:rFonts w:ascii="Times New Roman" w:hAnsi="Times New Roman" w:cs="Times New Roman"/>
          <w:b/>
          <w:sz w:val="24"/>
          <w:szCs w:val="24"/>
          <w:lang w:val="es-PE" w:eastAsia="ar-SA"/>
        </w:rPr>
        <w:t xml:space="preserve">RESOLUCIÓN DE RECURSO IMPUGNATIVO </w:t>
      </w:r>
      <w:r w:rsidR="00707C99" w:rsidRPr="000077B9">
        <w:rPr>
          <w:rFonts w:ascii="Times New Roman" w:hAnsi="Times New Roman" w:cs="Times New Roman"/>
          <w:b/>
          <w:sz w:val="24"/>
          <w:szCs w:val="24"/>
          <w:lang w:val="es-PE" w:eastAsia="ar-SA"/>
        </w:rPr>
        <w:t xml:space="preserve">N° </w:t>
      </w:r>
      <w:r w:rsidR="00EE4B4D" w:rsidRPr="000077B9">
        <w:rPr>
          <w:rFonts w:ascii="Times New Roman" w:hAnsi="Times New Roman" w:cs="Times New Roman"/>
          <w:b/>
          <w:sz w:val="24"/>
          <w:szCs w:val="24"/>
          <w:lang w:val="es-PE" w:eastAsia="ar-SA"/>
        </w:rPr>
        <w:t>4</w:t>
      </w:r>
      <w:r w:rsidR="00DE75CC">
        <w:rPr>
          <w:rFonts w:ascii="Times New Roman" w:hAnsi="Times New Roman" w:cs="Times New Roman"/>
          <w:b/>
          <w:sz w:val="24"/>
          <w:szCs w:val="24"/>
          <w:lang w:val="es-PE" w:eastAsia="ar-SA"/>
        </w:rPr>
        <w:t>6</w:t>
      </w:r>
      <w:r w:rsidR="00C671F5" w:rsidRPr="000077B9">
        <w:rPr>
          <w:rFonts w:ascii="Times New Roman" w:hAnsi="Times New Roman" w:cs="Times New Roman"/>
          <w:b/>
          <w:sz w:val="24"/>
          <w:szCs w:val="24"/>
          <w:lang w:val="es-PE" w:eastAsia="ar-SA"/>
        </w:rPr>
        <w:t>/2</w:t>
      </w:r>
      <w:r w:rsidR="00A74F96" w:rsidRPr="000077B9">
        <w:rPr>
          <w:rFonts w:ascii="Times New Roman" w:hAnsi="Times New Roman" w:cs="Times New Roman"/>
          <w:b/>
          <w:sz w:val="24"/>
          <w:szCs w:val="24"/>
          <w:lang w:val="es-PE" w:eastAsia="ar-SA"/>
        </w:rPr>
        <w:t>5</w:t>
      </w:r>
    </w:p>
    <w:p w14:paraId="155ED2B1" w14:textId="77777777" w:rsidR="002C50F4" w:rsidRDefault="002C50F4" w:rsidP="009E05BF">
      <w:pPr>
        <w:spacing w:line="240" w:lineRule="auto"/>
        <w:jc w:val="both"/>
        <w:rPr>
          <w:rFonts w:ascii="Times New Roman" w:eastAsia="Arial Unicode MS" w:hAnsi="Times New Roman" w:cs="Times New Roman"/>
          <w:b/>
          <w:bCs/>
          <w:sz w:val="24"/>
          <w:szCs w:val="24"/>
          <w:lang w:val="es-MX" w:eastAsia="ar-SA"/>
        </w:rPr>
      </w:pPr>
    </w:p>
    <w:p w14:paraId="3292FE19" w14:textId="6DB7D78E" w:rsidR="009E05BF" w:rsidRPr="009E05BF" w:rsidRDefault="009E05BF" w:rsidP="009E05BF">
      <w:pPr>
        <w:spacing w:line="240" w:lineRule="auto"/>
        <w:jc w:val="both"/>
        <w:rPr>
          <w:rFonts w:ascii="Times New Roman" w:eastAsia="Arial Unicode MS" w:hAnsi="Times New Roman" w:cs="Times New Roman"/>
          <w:b/>
          <w:bCs/>
          <w:sz w:val="24"/>
          <w:szCs w:val="24"/>
          <w:lang w:val="es-MX" w:eastAsia="ar-SA"/>
        </w:rPr>
      </w:pPr>
      <w:r w:rsidRPr="009E05BF">
        <w:rPr>
          <w:rFonts w:ascii="Times New Roman" w:eastAsia="Arial Unicode MS" w:hAnsi="Times New Roman" w:cs="Times New Roman"/>
          <w:b/>
          <w:bCs/>
          <w:sz w:val="24"/>
          <w:szCs w:val="24"/>
          <w:lang w:val="es-MX" w:eastAsia="ar-SA"/>
        </w:rPr>
        <w:t xml:space="preserve">Vistos:   </w:t>
      </w:r>
    </w:p>
    <w:p w14:paraId="20A338D8" w14:textId="68CEE794" w:rsidR="009E05BF" w:rsidRPr="009E05BF" w:rsidRDefault="009E05BF" w:rsidP="009E05BF">
      <w:pPr>
        <w:spacing w:line="240" w:lineRule="auto"/>
        <w:jc w:val="both"/>
        <w:rPr>
          <w:rFonts w:ascii="Times New Roman" w:eastAsia="Arial Unicode MS" w:hAnsi="Times New Roman" w:cs="Times New Roman"/>
          <w:b/>
          <w:sz w:val="24"/>
          <w:szCs w:val="24"/>
          <w:lang w:val="es-MX" w:eastAsia="ar-SA"/>
        </w:rPr>
      </w:pPr>
      <w:r>
        <w:rPr>
          <w:rFonts w:ascii="Times New Roman" w:hAnsi="Times New Roman"/>
          <w:sz w:val="24"/>
        </w:rPr>
        <w:t xml:space="preserve">El Recurso de Impugnación presentado …………………. representada por Víctor Miguel Meza Villena, respecto de la Resolución Nº 121/25 de fecha 07 de agosto de 2025, que declara infundado el reclamo prestando contra ………………… (POSITIVA), dejando a salvo el derecho del reclamante de acudir a las instancias que considere pertinentes.</w:t>
      </w:r>
    </w:p>
    <w:bookmarkEnd w:id="0"/>
    <w:p w14:paraId="6A5EBE43" w14:textId="4E52BEDA" w:rsidR="009E05BF" w:rsidRPr="009E05BF" w:rsidRDefault="009E05BF" w:rsidP="009E05BF">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a través del señalado recurso la reclamante manifiesta su disconformidad con lo resuelto señalando resumidamente lo siguiente: a) que se ha vulnerado su derecho a un debido procedimiento que exige la emisión de una resolución con arreglo a ley, que haya observado el elemental deber de motivación, el principio de congruencia y la aplicación e interpretación de las normas de la materia; b) que la fecha de inicio de seguro fue el 22.10.2024, y la fecha de vencimiento fue el 21.11.24, por tanto la fecha para que inicie la suspensión el 21.12.2024; si el siniestro ocurre dentro de los 30 días contados desde la fecha de vencimiento de la obligación, en este caso el 04.12.2024 y siendo que la asegurada paga la prima en ese periodo(se paga la primera cuota el 14.12.2024; c) que ello se desprende de lo dispuesto en el artículo 21 de la Ley del Contrato de Seguro así como en las Resoluciones ………………….2013 y 2378-2024 que trata sobre la suspensión de la cobertura por falta de pago; d) consideran que no hay confusión respecto del inicio de cobertura y que tratándose de una póliza endosada a una entidad financiera solo procede el rechazo durante el periodo en que la cobertura se mantuviera suspendida, lo cual hubiera ocurrido en caso transcurran 30 días contados desde el incumplimiento de pago.</w:t>
      </w:r>
    </w:p>
    <w:p w14:paraId="3F7835D6" w14:textId="311AB314" w:rsidR="009E05BF" w:rsidRPr="009E05BF" w:rsidRDefault="009E05BF" w:rsidP="009E05BF">
      <w:pPr>
        <w:spacing w:line="240" w:lineRule="auto"/>
        <w:jc w:val="both"/>
        <w:rPr>
          <w:rFonts w:ascii="Times New Roman" w:eastAsia="Arial Unicode MS" w:hAnsi="Times New Roman" w:cs="Times New Roman"/>
          <w:bCs/>
          <w:sz w:val="24"/>
          <w:szCs w:val="24"/>
          <w:lang w:val="es-MX" w:eastAsia="ar-SA"/>
        </w:rPr>
      </w:pPr>
      <w:r w:rsidRPr="009E05BF">
        <w:rPr>
          <w:rFonts w:ascii="Times New Roman" w:eastAsia="Arial Unicode MS" w:hAnsi="Times New Roman" w:cs="Times New Roman"/>
          <w:bCs/>
          <w:sz w:val="24"/>
          <w:szCs w:val="24"/>
          <w:lang w:val="es-MX" w:eastAsia="ar-SA"/>
        </w:rPr>
        <w:t xml:space="preserve">Que, habiéndose corrido traslado de la impugnación a la aseguradora, esta reiteró los </w:t>
      </w:r>
      <w:proofErr w:type="gramStart"/>
      <w:r w:rsidRPr="009E05BF">
        <w:rPr>
          <w:rFonts w:ascii="Times New Roman" w:eastAsia="Arial Unicode MS" w:hAnsi="Times New Roman" w:cs="Times New Roman"/>
          <w:bCs/>
          <w:sz w:val="24"/>
          <w:szCs w:val="24"/>
          <w:lang w:val="es-MX" w:eastAsia="ar-SA"/>
        </w:rPr>
        <w:t>argumentos expuesto</w:t>
      </w:r>
      <w:proofErr w:type="gramEnd"/>
      <w:r w:rsidRPr="009E05BF">
        <w:rPr>
          <w:rFonts w:ascii="Times New Roman" w:eastAsia="Arial Unicode MS" w:hAnsi="Times New Roman" w:cs="Times New Roman"/>
          <w:bCs/>
          <w:sz w:val="24"/>
          <w:szCs w:val="24"/>
          <w:lang w:val="es-MX" w:eastAsia="ar-SA"/>
        </w:rPr>
        <w:t xml:space="preserve"> en sus descargos, señalando que se encuentran conformes con el pronunciamiento de la DEFASEG y solicitan que se confirme dicha resolución; añaden que rechazan los argumentos expuestos en el reclamo y recurso impugnatorio de la reclamante en la medida que no se encuentran debidamente sustentados con la carga probatoria debida; así como citan incorrectamente normativa no aplicable al caso. Asimismo, la aseguradora señala que se han pronunciado sobre cada argumento de la parte reclamante determinando que no existe cobertura; por lo que reiteran que la cobertura no se activó al no haberse realizado el pago de la primera cuota de la primera fraccionada dentro del plazo estipulado; y, que no cabe aplicar el artículo de suspensión de cobertura dado que no se puede suspender una cobertura que aún no ha iniciado.</w:t>
      </w:r>
    </w:p>
    <w:p w14:paraId="434C73A6" w14:textId="1DF2553F" w:rsidR="009E05BF" w:rsidRPr="009E05BF" w:rsidRDefault="009E05BF" w:rsidP="009E05BF">
      <w:pPr>
        <w:spacing w:line="240" w:lineRule="auto"/>
        <w:jc w:val="both"/>
        <w:rPr>
          <w:rFonts w:ascii="Times New Roman" w:eastAsia="Arial Unicode MS" w:hAnsi="Times New Roman" w:cs="Times New Roman"/>
          <w:bCs/>
          <w:sz w:val="24"/>
          <w:szCs w:val="24"/>
          <w:lang w:val="es-MX" w:eastAsia="ar-SA"/>
        </w:rPr>
      </w:pPr>
      <w:r w:rsidRPr="009E05BF">
        <w:rPr>
          <w:rFonts w:ascii="Times New Roman" w:eastAsia="Arial Unicode MS" w:hAnsi="Times New Roman" w:cs="Times New Roman"/>
          <w:b/>
          <w:bCs/>
          <w:sz w:val="24"/>
          <w:szCs w:val="24"/>
          <w:lang w:val="es-MX" w:eastAsia="ar-SA"/>
        </w:rPr>
        <w:t>Considerando:</w:t>
      </w:r>
    </w:p>
    <w:p w14:paraId="253C5D89" w14:textId="57EB9F79" w:rsidR="009E05BF" w:rsidRPr="009E05BF" w:rsidRDefault="009E05BF" w:rsidP="009E05BF">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17DD06B8" w14:textId="77777777" w:rsidR="009E05BF" w:rsidRPr="009E05BF" w:rsidRDefault="009E05BF" w:rsidP="009E05BF">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Atendiendo a los fundamentos de la impugnación interpuesta, se advierte que la empresa …………………, fundamentando su recurso en que no se ha considerado que la suspensión solo opera vencidos los 30 días siguientes al vencimiento de la obligación</w:t>
      </w:r>
    </w:p>
    <w:p w14:paraId="1557924B" w14:textId="77777777" w:rsidR="009E05BF" w:rsidRPr="009E05BF" w:rsidRDefault="009E05BF" w:rsidP="009E05BF">
      <w:pPr>
        <w:spacing w:line="240" w:lineRule="auto"/>
        <w:jc w:val="both"/>
        <w:rPr>
          <w:rFonts w:ascii="Times New Roman" w:eastAsia="Arial Unicode MS" w:hAnsi="Times New Roman" w:cs="Times New Roman"/>
          <w:sz w:val="24"/>
          <w:szCs w:val="24"/>
          <w:lang w:val="es-PE" w:eastAsia="ar-SA"/>
        </w:rPr>
      </w:pPr>
    </w:p>
    <w:p w14:paraId="5992DF85" w14:textId="7560DA39" w:rsidR="009E05BF" w:rsidRPr="009E05BF" w:rsidRDefault="009E05BF" w:rsidP="009E05BF">
      <w:pPr>
        <w:spacing w:line="240" w:lineRule="auto"/>
        <w:jc w:val="both"/>
        <w:rPr>
          <w:rFonts w:ascii="Times New Roman" w:eastAsia="Arial Unicode MS" w:hAnsi="Times New Roman" w:cs="Times New Roman"/>
          <w:sz w:val="24"/>
          <w:szCs w:val="24"/>
          <w:lang w:val="es-PE" w:eastAsia="ar-SA"/>
        </w:rPr>
      </w:pPr>
      <w:r w:rsidRPr="009E05BF">
        <w:rPr>
          <w:rFonts w:ascii="Times New Roman" w:eastAsia="Arial Unicode MS" w:hAnsi="Times New Roman" w:cs="Times New Roman"/>
          <w:sz w:val="24"/>
          <w:szCs w:val="24"/>
          <w:lang w:val="es-PE" w:eastAsia="ar-SA"/>
        </w:rPr>
        <w:t xml:space="preserve">Este colegiado respeta, pero no comparte la posición de la reclamante, por cuanto su interpretación solo es correcta tratándose de una póliza que al menos tuvo una prima pagada, más no así tratándose de una póliza que no inició su vigencia por cuanto no se realizó pago alguno de prima. </w:t>
      </w:r>
    </w:p>
    <w:p w14:paraId="7262807F" w14:textId="4B800E85" w:rsidR="009200AC" w:rsidRPr="009E05BF" w:rsidRDefault="009E05BF" w:rsidP="009E05BF">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La reclamante considera que la resolución no ha sido debidamente motivada por cuanto no recoge sus argumentos; sin embargo, su posición fue ampliamente analizada en la Resolución Impugnada.</w:t>
      </w:r>
    </w:p>
    <w:p w14:paraId="18C98123" w14:textId="79A00AB6" w:rsidR="009E05BF" w:rsidRPr="009E05BF" w:rsidRDefault="009E05BF" w:rsidP="009E05BF">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 continuación, transcribimos algunos párrafos de la Resolución Impugnada que se explican por si solos:</w:t>
      </w:r>
    </w:p>
    <w:p w14:paraId="17457674" w14:textId="35701707"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w:t>
      </w:r>
      <w:r w:rsidRPr="009E05BF">
        <w:rPr>
          <w:rFonts w:ascii="Times New Roman" w:eastAsia="Arial Unicode MS" w:hAnsi="Times New Roman" w:cs="Times New Roman"/>
          <w:i/>
          <w:iCs/>
          <w:sz w:val="24"/>
          <w:szCs w:val="24"/>
          <w:lang w:val="es-PE" w:eastAsia="ar-SA"/>
        </w:rPr>
        <w:tab/>
        <w:t>(…) el contrato de seguro queda perfeccionado por el solo acuerdo de voluntades de las partes, pero ello no quiere decir que las partes no puedan acordar posponer el inicio de la cobertura de seguro a un momento posterior, si así se establece expresamente.</w:t>
      </w:r>
    </w:p>
    <w:p w14:paraId="062DAB2D" w14:textId="5BB38750"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ab/>
      </w:r>
      <w:r w:rsidRPr="009E05BF">
        <w:rPr>
          <w:rFonts w:ascii="Times New Roman" w:eastAsia="Arial Unicode MS" w:hAnsi="Times New Roman" w:cs="Times New Roman"/>
          <w:i/>
          <w:iCs/>
          <w:sz w:val="24"/>
          <w:szCs w:val="24"/>
          <w:lang w:val="es-PE" w:eastAsia="ar-SA"/>
        </w:rPr>
        <w:tab/>
        <w:t xml:space="preserve">En este contexto, es válido que la compañía de seguros al emitir la póliza haya acordado con el contratante, que este tenía la obligación de pagar la prima de seguro a más tardar el 21/11/2024 y haya acordado posponer el inicio de la cobertura de seguro a dicho momento de pago. Sostener lo contrario, implicaría desconocer que la ley sí permite posponer el inicio de la cobertura de seguro. </w:t>
      </w:r>
    </w:p>
    <w:p w14:paraId="781197DC" w14:textId="2E4F5DB7"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6.4.	Una vez iniciada la cobertura de seguro, rigen todas las demás disposiciones contenidas en la misma Ley del Contrato de Seguro, sobre la ejecución del contrato, así como las disposiciones reglamentarias establecidas por la Superintendencia de Banca y Seguros, las que no pueden vulnerar la ley, ni desconocer que la propia ley permite “posponer el inicio de la cobertura de seguro”.</w:t>
      </w:r>
    </w:p>
    <w:p w14:paraId="3638E2E5" w14:textId="3E573A3F"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ab/>
      </w:r>
      <w:r w:rsidRPr="009E05BF">
        <w:rPr>
          <w:rFonts w:ascii="Times New Roman" w:eastAsia="Arial Unicode MS" w:hAnsi="Times New Roman" w:cs="Times New Roman"/>
          <w:i/>
          <w:iCs/>
          <w:sz w:val="24"/>
          <w:szCs w:val="24"/>
          <w:lang w:val="es-PE" w:eastAsia="ar-SA"/>
        </w:rPr>
        <w:tab/>
      </w:r>
      <w:proofErr w:type="gramStart"/>
      <w:r w:rsidRPr="009E05BF">
        <w:rPr>
          <w:rFonts w:ascii="Times New Roman" w:eastAsia="Arial Unicode MS" w:hAnsi="Times New Roman" w:cs="Times New Roman"/>
          <w:i/>
          <w:iCs/>
          <w:sz w:val="24"/>
          <w:szCs w:val="24"/>
          <w:lang w:val="es-PE" w:eastAsia="ar-SA"/>
        </w:rPr>
        <w:t>De acuerdo a</w:t>
      </w:r>
      <w:proofErr w:type="gramEnd"/>
      <w:r w:rsidRPr="009E05BF">
        <w:rPr>
          <w:rFonts w:ascii="Times New Roman" w:eastAsia="Arial Unicode MS" w:hAnsi="Times New Roman" w:cs="Times New Roman"/>
          <w:i/>
          <w:iCs/>
          <w:sz w:val="24"/>
          <w:szCs w:val="24"/>
          <w:lang w:val="es-PE" w:eastAsia="ar-SA"/>
        </w:rPr>
        <w:t xml:space="preserve"> ello, solo una vez iniciada la cobertura de seguro, en este caso, luego del pago de la primera prima pactada, ante la falta de pago de la segunda cuota o prima pactada o cualquier otra, la aseguradora podía “suspender” la cobertura de seguro por incumplimiento de pago siguiendo el procedimiento que prevé la ley y el reglamento de pago de primas para la suspensión de cobertura.</w:t>
      </w:r>
    </w:p>
    <w:p w14:paraId="2855D544" w14:textId="1F1273DF"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 xml:space="preserve">(…) </w:t>
      </w:r>
    </w:p>
    <w:p w14:paraId="4EA51314" w14:textId="7C48CABF"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6.7.</w:t>
      </w:r>
      <w:r w:rsidRPr="009E05BF">
        <w:rPr>
          <w:rFonts w:ascii="Times New Roman" w:eastAsia="Arial Unicode MS" w:hAnsi="Times New Roman" w:cs="Times New Roman"/>
          <w:i/>
          <w:iCs/>
          <w:sz w:val="24"/>
          <w:szCs w:val="24"/>
          <w:lang w:val="es-PE" w:eastAsia="ar-SA"/>
        </w:rPr>
        <w:tab/>
        <w:t xml:space="preserve">En este caso, por tanto, no resultan aplicables las disposiciones sobre suspensión de cobertura, pues -por las razones expuestas-, no se inició la cobertura de seguro, y por tanto no estamos ante un supuesto de suspensión de cobertura, tal como la misma SBS lo ha señalado en el Informe N° 00600-2021.DASL de fecha 23 de diciembre de 2021 que ha sido mencionado por ambas partes y obra en el expediente, en adelante denominado el Informe SBS. </w:t>
      </w:r>
    </w:p>
    <w:p w14:paraId="2DD9C4E7" w14:textId="77777777"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		Es importante señalar que aun cuando no se hubiera emitido dicho Informe SBS la opinión de este colegiado sería la misma, pues una suspensión implica un supuesto previo de cobertura, cobertura que no se ha dado en este caso, por cuanto la empresa ………………… prima.</w:t>
      </w:r>
    </w:p>
    <w:p w14:paraId="16639535" w14:textId="77777777"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p>
    <w:p w14:paraId="46D8211B" w14:textId="1C7A6EBA"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lastRenderedPageBreak/>
        <w:t xml:space="preserve">La reclamante señala que dicho Informe constituye una opinión más no una disposición normativa que modifique el Reglamento de pago de primas, por lo que la aseguradora no puede sustentar su rechazo en dicho informe. </w:t>
      </w:r>
    </w:p>
    <w:p w14:paraId="3FF15C03" w14:textId="59C86C04"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Al respecto, la aseguradora no sustenta la Carta de Rechazo en dicho informe, pues el mismo no ha sido citado en la Carta de Rechazo de seguro; sin perjuicio de lo cual lo refiere en sus descargos como un elemento adicional de sustento. </w:t>
      </w:r>
    </w:p>
    <w:p w14:paraId="73863F70" w14:textId="2F617C62"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w:t>
      </w:r>
    </w:p>
    <w:p w14:paraId="3175E8C4" w14:textId="715ABCFF"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6.11.</w:t>
      </w:r>
      <w:r w:rsidRPr="009E05BF">
        <w:rPr>
          <w:rFonts w:ascii="Times New Roman" w:eastAsia="Arial Unicode MS" w:hAnsi="Times New Roman" w:cs="Times New Roman"/>
          <w:i/>
          <w:iCs/>
          <w:sz w:val="24"/>
          <w:szCs w:val="24"/>
          <w:lang w:val="es-PE" w:eastAsia="ar-SA"/>
        </w:rPr>
        <w:tab/>
        <w:t>Finalmente, y en lo que respecta al endoso de derechos indemnizatorios a favor del Banco BBVA Peru que obra en el expediente, se aprecia que las partes pactaron lo siguiente (solo se copia parte pertinente vinculado al punto controvertido):</w:t>
      </w:r>
    </w:p>
    <w:p w14:paraId="38713AA6" w14:textId="39879068"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ab/>
      </w:r>
      <w:r w:rsidRPr="009E05BF">
        <w:rPr>
          <w:rFonts w:ascii="Times New Roman" w:eastAsia="Arial Unicode MS" w:hAnsi="Times New Roman" w:cs="Times New Roman"/>
          <w:i/>
          <w:iCs/>
          <w:sz w:val="24"/>
          <w:szCs w:val="24"/>
          <w:lang w:val="es-PE" w:eastAsia="ar-SA"/>
        </w:rPr>
        <w:tab/>
        <w:t>(…)</w:t>
      </w:r>
    </w:p>
    <w:p w14:paraId="3F6C2101" w14:textId="63E2949D"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 xml:space="preserve">(…) el endoso no derogó ni modificó la cláusula de postergación del inicio de la cobertura al pago del primer vencimiento de prima. Si se buscaba algo distinto, ello debió haberse pactado en forma expresa, pues </w:t>
      </w:r>
      <w:proofErr w:type="gramStart"/>
      <w:r w:rsidRPr="009E05BF">
        <w:rPr>
          <w:rFonts w:ascii="Times New Roman" w:eastAsia="Arial Unicode MS" w:hAnsi="Times New Roman" w:cs="Times New Roman"/>
          <w:i/>
          <w:iCs/>
          <w:sz w:val="24"/>
          <w:szCs w:val="24"/>
          <w:lang w:val="es-PE" w:eastAsia="ar-SA"/>
        </w:rPr>
        <w:t>de acuerdo a</w:t>
      </w:r>
      <w:proofErr w:type="gramEnd"/>
      <w:r w:rsidRPr="009E05BF">
        <w:rPr>
          <w:rFonts w:ascii="Times New Roman" w:eastAsia="Arial Unicode MS" w:hAnsi="Times New Roman" w:cs="Times New Roman"/>
          <w:i/>
          <w:iCs/>
          <w:sz w:val="24"/>
          <w:szCs w:val="24"/>
          <w:lang w:val="es-PE" w:eastAsia="ar-SA"/>
        </w:rPr>
        <w:t xml:space="preserve"> lo establecido en el Artículo IV de la Ley 29946, la séptima regla de interpretación del contrato de seguro señala que: “La cobertura, exclusiones y, en general, la extensión del </w:t>
      </w:r>
      <w:proofErr w:type="gramStart"/>
      <w:r w:rsidRPr="009E05BF">
        <w:rPr>
          <w:rFonts w:ascii="Times New Roman" w:eastAsia="Arial Unicode MS" w:hAnsi="Times New Roman" w:cs="Times New Roman"/>
          <w:i/>
          <w:iCs/>
          <w:sz w:val="24"/>
          <w:szCs w:val="24"/>
          <w:lang w:val="es-PE" w:eastAsia="ar-SA"/>
        </w:rPr>
        <w:t>riesgo</w:t>
      </w:r>
      <w:proofErr w:type="gramEnd"/>
      <w:r w:rsidRPr="009E05BF">
        <w:rPr>
          <w:rFonts w:ascii="Times New Roman" w:eastAsia="Arial Unicode MS" w:hAnsi="Times New Roman" w:cs="Times New Roman"/>
          <w:i/>
          <w:iCs/>
          <w:sz w:val="24"/>
          <w:szCs w:val="24"/>
          <w:lang w:val="es-PE" w:eastAsia="ar-SA"/>
        </w:rPr>
        <w:t xml:space="preserve"> así como los derechos de los beneficiarios, previstos en el contrato de seguro, deben interpretarse literalmente”.</w:t>
      </w:r>
    </w:p>
    <w:p w14:paraId="196FE3D4" w14:textId="49D4483E"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De otro lado, y en lo que respecta a que no se podía resolver, extinguir, anular o suspender el contrato sin previo aviso al Banco, la aseguradora, no resolvió, extinguió, anuló o suspendió el contrato, lo que ocurrió fue que la cobertura no inició vigencia porque la contratante no cuidó de realizar el primer pago de prima a más tardar el 21/11/2024, supuesto bajo el cual recién se iniciaba la cobertura de seguro (salvo que a manera de excepción y para proteger al contratante que aún se encontraba en posibilidad de realizar un pago, hubiera ocurrido un siniestro antes del vencimiento de dicho plazo, supuesto distinto al que nos ocupa).</w:t>
      </w:r>
    </w:p>
    <w:p w14:paraId="053F7E2C" w14:textId="13F94F91"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 xml:space="preserve">Por lo expuesto, no se activó el inicio de cobertura, toda vez que no se realizó el primer pago de prima dentro de la fecha prevista; en consecuencia, no resultan aplicables las disposiciones referidas a suspensión de cobertura que corresponden a una etapa posterior. Siendo que el endoso solo establecía la obligación de comunicar al Banco la suspensión por falta de pago o una situación de resolución, extinción, anulación o suspensión por causa distinta a la falta de pago, y que ninguno de dichos supuestos tuvo lugar, este colegiado considera que el rechazo de cobertura resulta legitimo. </w:t>
      </w:r>
    </w:p>
    <w:p w14:paraId="4FCF25C7" w14:textId="2FB66E8E" w:rsidR="009E05BF" w:rsidRPr="009E05BF" w:rsidRDefault="009E05BF" w:rsidP="009E05BF">
      <w:pPr>
        <w:spacing w:line="240" w:lineRule="auto"/>
        <w:jc w:val="both"/>
        <w:rPr>
          <w:rFonts w:ascii="Times New Roman" w:eastAsia="Arial Unicode MS" w:hAnsi="Times New Roman" w:cs="Times New Roman"/>
          <w:i/>
          <w:iCs/>
          <w:sz w:val="24"/>
          <w:szCs w:val="24"/>
          <w:lang w:val="es-PE" w:eastAsia="ar-SA"/>
        </w:rPr>
      </w:pPr>
      <w:r w:rsidRPr="009E05BF">
        <w:rPr>
          <w:rFonts w:ascii="Times New Roman" w:eastAsia="Arial Unicode MS" w:hAnsi="Times New Roman" w:cs="Times New Roman"/>
          <w:i/>
          <w:iCs/>
          <w:sz w:val="24"/>
          <w:szCs w:val="24"/>
          <w:lang w:val="es-PE" w:eastAsia="ar-SA"/>
        </w:rPr>
        <w:t>En un contrato de seguro, con una cláusula de postergación del inicio de cobertura al pago de la primera prima de seguro, se espera que el contratante cumpla al menos con pagar dicha primera prima para que se active la cobertura de seguro, luego de lo cual, ante el incumplimiento de pago solo se podrá suspender la cobertura ya iniciada, conforme a lo establecido en el artículo 21 de la Ley 29946 y artículos 7 y 8 del Reglamento de pago de primas; sin perjuicio del derecho que tiene la aseguradora de resolver un contrato por falta de pago o de que se produzca la figura de extinción del contrato por falta de pago.”</w:t>
      </w:r>
    </w:p>
    <w:p w14:paraId="58E9321C" w14:textId="77777777" w:rsidR="009E05BF" w:rsidRPr="009E05BF" w:rsidRDefault="009E05BF" w:rsidP="009E05BF">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En virtud de lo expuesto, este colegiado considera que no se han presentado pruebas ni elementos que permitan evidenciar que se ha cometido un error en la Resolución Impugnada; en consecuencia, el recurso impugnativo interpuesto puede ser categorizado, por su contenido mismo, como una solicitud de revisión general, sustentado en el muy respetable criterio de la reclamante que este colegiado no comparte.</w:t>
      </w:r>
    </w:p>
    <w:p w14:paraId="05344ED1" w14:textId="77777777" w:rsidR="009E05BF" w:rsidRPr="009E05BF" w:rsidRDefault="009E05BF" w:rsidP="009E05BF">
      <w:pPr>
        <w:spacing w:line="240" w:lineRule="auto"/>
        <w:jc w:val="both"/>
        <w:rPr>
          <w:rFonts w:ascii="Times New Roman" w:eastAsia="Arial Unicode MS" w:hAnsi="Times New Roman" w:cs="Times New Roman"/>
          <w:sz w:val="24"/>
          <w:szCs w:val="24"/>
          <w:lang w:val="es-PE" w:eastAsia="ar-SA"/>
        </w:rPr>
      </w:pPr>
    </w:p>
    <w:p w14:paraId="67FB1609" w14:textId="59DA2A7E" w:rsidR="009E05BF" w:rsidRPr="009E05BF" w:rsidRDefault="009E05BF" w:rsidP="009E05BF">
      <w:pPr>
        <w:spacing w:line="240" w:lineRule="auto"/>
        <w:jc w:val="both"/>
        <w:rPr>
          <w:rFonts w:ascii="Times New Roman" w:eastAsia="Arial Unicode MS" w:hAnsi="Times New Roman" w:cs="Times New Roman"/>
          <w:sz w:val="24"/>
          <w:szCs w:val="24"/>
          <w:lang w:val="es-PE" w:eastAsia="ar-SA"/>
        </w:rPr>
      </w:pPr>
      <w:r w:rsidRPr="009E05BF">
        <w:rPr>
          <w:rFonts w:ascii="Times New Roman" w:eastAsia="Arial Unicode MS" w:hAnsi="Times New Roman" w:cs="Times New Roman"/>
          <w:b/>
          <w:sz w:val="24"/>
          <w:szCs w:val="24"/>
          <w:u w:val="single"/>
          <w:lang w:val="es-PE" w:eastAsia="ar-SA"/>
        </w:rPr>
        <w:t>Tercero</w:t>
      </w:r>
      <w:r w:rsidRPr="009E05BF">
        <w:rPr>
          <w:rFonts w:ascii="Times New Roman" w:eastAsia="Arial Unicode MS" w:hAnsi="Times New Roman" w:cs="Times New Roman"/>
          <w:b/>
          <w:sz w:val="24"/>
          <w:szCs w:val="24"/>
          <w:lang w:val="es-PE" w:eastAsia="ar-SA"/>
        </w:rPr>
        <w:t>:</w:t>
      </w:r>
      <w:r w:rsidRPr="009E05BF">
        <w:rPr>
          <w:rFonts w:ascii="Times New Roman" w:eastAsia="Arial Unicode MS" w:hAnsi="Times New Roman" w:cs="Times New Roman"/>
          <w:sz w:val="24"/>
          <w:szCs w:val="24"/>
          <w:lang w:val="es-PE" w:eastAsia="ar-SA"/>
        </w:rPr>
        <w:t xml:space="preserve"> Por último, este Colegiado estima por conveniente dejar constancia que, la Defensoría del Asegurado es una entidad privada y por ende no constituye una instancia administrativa regida por la ley del procedimiento administrativo general. La Defensoría se rige por su propio Reglamento, de acuerdo con lo cual, el sometimiento voluntario de controversias en materia de seguros ante la DEFASEG, no afecta el derecho a la tutela jurisdiccional del reclamante, toda vez que lo resuelto por esta Defensoría no afecta su derecho a iniciar procesos ante las instancias que considere pertinentes, sin que sea necesario que se revoque previamente la resolución emitida, para que pueda acudir a otra instancia, en tanto las resoluciones que expide esta Defensoría no son vinculantes para el asegurado o reclamante cuando éstas son desfavorables para los mismos, </w:t>
      </w:r>
      <w:r w:rsidRPr="009E05BF">
        <w:rPr>
          <w:rFonts w:ascii="Times New Roman" w:eastAsia="Arial Unicode MS" w:hAnsi="Times New Roman" w:cs="Times New Roman"/>
          <w:sz w:val="24"/>
          <w:szCs w:val="24"/>
          <w:lang w:val="es-ES" w:eastAsia="ar-SA"/>
        </w:rPr>
        <w:t>ya que son únicamente vinculantes para las aseguradoras cuando el fallo es favorable para el asegurado</w:t>
      </w:r>
      <w:r w:rsidRPr="009E05BF">
        <w:rPr>
          <w:rFonts w:ascii="Times New Roman" w:eastAsia="Arial Unicode MS" w:hAnsi="Times New Roman" w:cs="Times New Roman"/>
          <w:sz w:val="24"/>
          <w:szCs w:val="24"/>
          <w:lang w:val="es-PE" w:eastAsia="ar-SA"/>
        </w:rPr>
        <w:t>.</w:t>
      </w:r>
    </w:p>
    <w:p w14:paraId="7D861348" w14:textId="3490252D" w:rsidR="009E05BF" w:rsidRPr="009E05BF" w:rsidRDefault="009E05BF" w:rsidP="009E05BF">
      <w:pPr>
        <w:spacing w:line="240" w:lineRule="auto"/>
        <w:jc w:val="both"/>
        <w:rPr>
          <w:rFonts w:ascii="Times New Roman" w:eastAsia="Arial Unicode MS" w:hAnsi="Times New Roman" w:cs="Times New Roman"/>
          <w:sz w:val="24"/>
          <w:szCs w:val="24"/>
          <w:lang w:val="es-ES" w:eastAsia="ar-SA"/>
        </w:rPr>
      </w:pPr>
      <w:r w:rsidRPr="009E05BF">
        <w:rPr>
          <w:rFonts w:ascii="Times New Roman" w:eastAsia="Arial Unicode MS" w:hAnsi="Times New Roman" w:cs="Times New Roman"/>
          <w:sz w:val="24"/>
          <w:szCs w:val="24"/>
          <w:lang w:val="es-ES" w:eastAsia="ar-SA"/>
        </w:rPr>
        <w:t xml:space="preserve">En atención a las consideraciones precedentes, ratificando el análisis y conclusión contenidos en la resolución recurrida, este colegiado </w:t>
      </w:r>
    </w:p>
    <w:p w14:paraId="313231BD" w14:textId="28A4C196" w:rsidR="009E05BF" w:rsidRPr="009E05BF" w:rsidRDefault="009E05BF" w:rsidP="009E05BF">
      <w:pPr>
        <w:spacing w:line="240" w:lineRule="auto"/>
        <w:jc w:val="both"/>
        <w:rPr>
          <w:rFonts w:ascii="Times New Roman" w:eastAsia="Arial Unicode MS" w:hAnsi="Times New Roman" w:cs="Times New Roman"/>
          <w:b/>
          <w:bCs/>
          <w:sz w:val="24"/>
          <w:szCs w:val="24"/>
          <w:lang w:val="es-PE" w:eastAsia="ar-SA"/>
        </w:rPr>
      </w:pPr>
      <w:r w:rsidRPr="009E05BF">
        <w:rPr>
          <w:rFonts w:ascii="Times New Roman" w:eastAsia="Arial Unicode MS" w:hAnsi="Times New Roman" w:cs="Times New Roman"/>
          <w:b/>
          <w:bCs/>
          <w:sz w:val="24"/>
          <w:szCs w:val="24"/>
          <w:lang w:val="es-ES" w:eastAsia="ar-SA"/>
        </w:rPr>
        <w:t xml:space="preserve">RESUELVE: </w:t>
      </w:r>
    </w:p>
    <w:p w14:paraId="6DAAFE11" w14:textId="77777777" w:rsidR="009E05BF" w:rsidRPr="009E05BF" w:rsidRDefault="009E05BF" w:rsidP="009E05BF">
      <w:pPr>
        <w:spacing w:line="240" w:lineRule="auto"/>
        <w:jc w:val="both"/>
        <w:rPr>
          <w:rFonts w:ascii="Times New Roman" w:eastAsia="Arial Unicode MS" w:hAnsi="Times New Roman" w:cs="Times New Roman"/>
          <w:sz w:val="24"/>
          <w:szCs w:val="24"/>
          <w:lang w:val="es-ES" w:eastAsia="ar-SA"/>
        </w:rPr>
      </w:pPr>
      <w:r w:rsidRPr="009E05BF">
        <w:rPr>
          <w:rFonts w:ascii="Times New Roman" w:eastAsia="Arial Unicode MS" w:hAnsi="Times New Roman" w:cs="Times New Roman"/>
          <w:bCs/>
          <w:sz w:val="24"/>
          <w:szCs w:val="24"/>
          <w:lang w:val="es-PE" w:eastAsia="ar-SA"/>
        </w:rPr>
        <w:t xml:space="preserve">Declarar </w:t>
      </w:r>
      <w:r w:rsidRPr="009E05BF">
        <w:rPr>
          <w:rFonts w:ascii="Times New Roman" w:eastAsia="Arial Unicode MS" w:hAnsi="Times New Roman" w:cs="Times New Roman"/>
          <w:b/>
          <w:sz w:val="24"/>
          <w:szCs w:val="24"/>
          <w:lang w:val="es-PE" w:eastAsia="ar-SA"/>
        </w:rPr>
        <w:t xml:space="preserve">INFUNDADO </w:t>
      </w:r>
      <w:r w:rsidRPr="009E05BF">
        <w:rPr>
          <w:rFonts w:ascii="Times New Roman" w:eastAsia="Arial Unicode MS" w:hAnsi="Times New Roman" w:cs="Times New Roman"/>
          <w:bCs/>
          <w:sz w:val="24"/>
          <w:szCs w:val="24"/>
          <w:lang w:val="es-PE" w:eastAsia="ar-SA"/>
        </w:rPr>
        <w:t>el recurso impugnativo</w:t>
      </w:r>
      <w:r w:rsidRPr="009E05BF">
        <w:rPr>
          <w:rFonts w:ascii="Times New Roman" w:eastAsia="Arial Unicode MS" w:hAnsi="Times New Roman" w:cs="Times New Roman"/>
          <w:b/>
          <w:sz w:val="24"/>
          <w:szCs w:val="24"/>
          <w:lang w:val="es-PE" w:eastAsia="ar-SA"/>
        </w:rPr>
        <w:t xml:space="preserve"> </w:t>
      </w:r>
      <w:r w:rsidRPr="009E05BF">
        <w:rPr>
          <w:rFonts w:ascii="Times New Roman" w:eastAsia="Arial Unicode MS" w:hAnsi="Times New Roman" w:cs="Times New Roman"/>
          <w:sz w:val="24"/>
          <w:szCs w:val="24"/>
          <w:lang w:val="es-PE" w:eastAsia="ar-SA"/>
        </w:rPr>
        <w:t>interpuesto y,</w:t>
      </w:r>
      <w:r w:rsidRPr="009E05BF">
        <w:rPr>
          <w:rFonts w:ascii="Times New Roman" w:eastAsia="Arial Unicode MS" w:hAnsi="Times New Roman" w:cs="Times New Roman"/>
          <w:bCs/>
          <w:sz w:val="24"/>
          <w:szCs w:val="24"/>
          <w:lang w:val="es-ES" w:eastAsia="ar-SA"/>
        </w:rPr>
        <w:t xml:space="preserve"> por consiguiente, ratificar</w:t>
      </w:r>
      <w:r w:rsidRPr="009E05BF">
        <w:rPr>
          <w:rFonts w:ascii="Times New Roman" w:eastAsia="Arial Unicode MS" w:hAnsi="Times New Roman" w:cs="Times New Roman"/>
          <w:sz w:val="24"/>
          <w:szCs w:val="24"/>
          <w:lang w:val="es-ES" w:eastAsia="ar-SA"/>
        </w:rPr>
        <w:t xml:space="preserve"> la Resolución </w:t>
      </w:r>
      <w:proofErr w:type="spellStart"/>
      <w:r w:rsidRPr="009E05BF">
        <w:rPr>
          <w:rFonts w:ascii="Times New Roman" w:eastAsia="Arial Unicode MS" w:hAnsi="Times New Roman" w:cs="Times New Roman"/>
          <w:sz w:val="24"/>
          <w:szCs w:val="24"/>
          <w:lang w:val="es-ES" w:eastAsia="ar-SA"/>
        </w:rPr>
        <w:t>Nº</w:t>
      </w:r>
      <w:proofErr w:type="spellEnd"/>
      <w:r w:rsidRPr="009E05BF">
        <w:rPr>
          <w:rFonts w:ascii="Times New Roman" w:eastAsia="Arial Unicode MS" w:hAnsi="Times New Roman" w:cs="Times New Roman"/>
          <w:sz w:val="24"/>
          <w:szCs w:val="24"/>
          <w:lang w:val="es-ES" w:eastAsia="ar-SA"/>
        </w:rPr>
        <w:t xml:space="preserve"> 121/25, dejando a salvo el derecho de la reclamante de acudir ante las instancias que estime pertinente.</w:t>
      </w:r>
    </w:p>
    <w:p w14:paraId="51EDAB4B" w14:textId="7D46BB21" w:rsidR="00B32E8A" w:rsidRPr="00682D7A" w:rsidRDefault="0091528B" w:rsidP="006F011C">
      <w:pPr>
        <w:spacing w:line="240" w:lineRule="auto"/>
        <w:jc w:val="right"/>
        <w:rPr>
          <w:rFonts w:ascii="Times New Roman" w:hAnsi="Times New Roman" w:cs="Times New Roman"/>
          <w:sz w:val="24"/>
          <w:szCs w:val="24"/>
          <w:lang w:val="es-PE"/>
        </w:rPr>
      </w:pPr>
      <w:r w:rsidRPr="00682D7A">
        <w:rPr>
          <w:rFonts w:ascii="Times New Roman" w:eastAsia="Arial Unicode MS" w:hAnsi="Times New Roman" w:cs="Times New Roman"/>
          <w:sz w:val="24"/>
          <w:szCs w:val="24"/>
          <w:lang w:val="es-PE" w:eastAsia="ar-SA"/>
        </w:rPr>
        <w:t>Lima,</w:t>
      </w:r>
      <w:r w:rsidR="00774D05" w:rsidRPr="00682D7A">
        <w:rPr>
          <w:rFonts w:ascii="Times New Roman" w:eastAsia="Arial Unicode MS" w:hAnsi="Times New Roman" w:cs="Times New Roman"/>
          <w:sz w:val="24"/>
          <w:szCs w:val="24"/>
          <w:lang w:val="es-PE" w:eastAsia="ar-SA"/>
        </w:rPr>
        <w:t xml:space="preserve"> </w:t>
      </w:r>
      <w:r w:rsidR="00AC4599">
        <w:rPr>
          <w:rFonts w:ascii="Times New Roman" w:eastAsia="Arial Unicode MS" w:hAnsi="Times New Roman" w:cs="Times New Roman"/>
          <w:sz w:val="24"/>
          <w:szCs w:val="24"/>
          <w:lang w:val="es-PE" w:eastAsia="ar-SA"/>
        </w:rPr>
        <w:t>29</w:t>
      </w:r>
      <w:r w:rsidR="00B8209E" w:rsidRPr="00682D7A">
        <w:rPr>
          <w:rFonts w:ascii="Times New Roman" w:eastAsia="Arial Unicode MS" w:hAnsi="Times New Roman" w:cs="Times New Roman"/>
          <w:sz w:val="24"/>
          <w:szCs w:val="24"/>
          <w:lang w:val="es-PE" w:eastAsia="ar-SA"/>
        </w:rPr>
        <w:t xml:space="preserve"> </w:t>
      </w:r>
      <w:r w:rsidR="00707C99" w:rsidRPr="00682D7A">
        <w:rPr>
          <w:rFonts w:ascii="Times New Roman" w:eastAsia="Arial Unicode MS" w:hAnsi="Times New Roman" w:cs="Times New Roman"/>
          <w:sz w:val="24"/>
          <w:szCs w:val="24"/>
          <w:lang w:val="es-PE" w:eastAsia="ar-SA"/>
        </w:rPr>
        <w:t xml:space="preserve">de </w:t>
      </w:r>
      <w:r w:rsidR="009A5501">
        <w:rPr>
          <w:rFonts w:ascii="Times New Roman" w:eastAsia="Arial Unicode MS" w:hAnsi="Times New Roman" w:cs="Times New Roman"/>
          <w:sz w:val="24"/>
          <w:szCs w:val="24"/>
          <w:lang w:val="es-PE" w:eastAsia="ar-SA"/>
        </w:rPr>
        <w:t>septiembre</w:t>
      </w:r>
      <w:r w:rsidR="002756B9" w:rsidRPr="00682D7A">
        <w:rPr>
          <w:rFonts w:ascii="Times New Roman" w:eastAsia="Arial Unicode MS" w:hAnsi="Times New Roman" w:cs="Times New Roman"/>
          <w:sz w:val="24"/>
          <w:szCs w:val="24"/>
          <w:lang w:val="es-PE" w:eastAsia="ar-SA"/>
        </w:rPr>
        <w:t xml:space="preserve"> </w:t>
      </w:r>
      <w:r w:rsidR="00F06498" w:rsidRPr="00682D7A">
        <w:rPr>
          <w:rFonts w:ascii="Times New Roman" w:eastAsia="Arial Unicode MS" w:hAnsi="Times New Roman" w:cs="Times New Roman"/>
          <w:sz w:val="24"/>
          <w:szCs w:val="24"/>
          <w:lang w:val="es-PE" w:eastAsia="ar-SA"/>
        </w:rPr>
        <w:t>de 202</w:t>
      </w:r>
      <w:r w:rsidR="00AE4D37" w:rsidRPr="00682D7A">
        <w:rPr>
          <w:rFonts w:ascii="Times New Roman" w:eastAsia="Arial Unicode MS" w:hAnsi="Times New Roman" w:cs="Times New Roman"/>
          <w:sz w:val="24"/>
          <w:szCs w:val="24"/>
          <w:lang w:val="es-PE" w:eastAsia="ar-SA"/>
        </w:rPr>
        <w:t>5</w:t>
      </w:r>
      <w:r w:rsidR="00707C99" w:rsidRPr="00682D7A">
        <w:rPr>
          <w:rFonts w:ascii="Times New Roman" w:eastAsia="Times New Roman" w:hAnsi="Times New Roman" w:cs="Times New Roman"/>
          <w:sz w:val="24"/>
          <w:szCs w:val="24"/>
          <w:lang w:val="es-PE" w:eastAsia="ar-SA"/>
        </w:rPr>
        <w:t xml:space="preserve"> </w:t>
      </w:r>
    </w:p>
    <w:p w14:paraId="1B6988F6" w14:textId="77777777" w:rsidR="00A323F4" w:rsidRPr="00682D7A" w:rsidRDefault="00A323F4" w:rsidP="00657814">
      <w:pPr>
        <w:spacing w:after="0" w:line="240" w:lineRule="auto"/>
        <w:jc w:val="both"/>
        <w:rPr>
          <w:rFonts w:ascii="Times New Roman" w:hAnsi="Times New Roman" w:cs="Times New Roman"/>
          <w:b/>
          <w:bCs/>
          <w:i/>
          <w:iCs/>
          <w:sz w:val="24"/>
          <w:szCs w:val="24"/>
          <w:lang w:val="es-PE"/>
        </w:rPr>
      </w:pPr>
      <w:r w:rsidRPr="00682D7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Default="008D26BA" w:rsidP="00657814">
      <w:pPr>
        <w:spacing w:after="0" w:line="360" w:lineRule="auto"/>
        <w:jc w:val="both"/>
        <w:rPr>
          <w:rFonts w:ascii="Times New Roman" w:hAnsi="Times New Roman" w:cs="Times New Roman"/>
          <w:b/>
          <w:bCs/>
          <w:i/>
          <w:iCs/>
          <w:sz w:val="24"/>
          <w:szCs w:val="24"/>
          <w:lang w:val="es-PE"/>
        </w:rPr>
      </w:pPr>
    </w:p>
    <w:p w14:paraId="11595A43" w14:textId="7E7674DD" w:rsidR="009A5501" w:rsidRPr="009A5501" w:rsidRDefault="009A5501" w:rsidP="009A5501">
      <w:pPr>
        <w:spacing w:after="0" w:line="360" w:lineRule="auto"/>
        <w:jc w:val="center"/>
        <w:rPr>
          <w:rFonts w:ascii="Times New Roman" w:hAnsi="Times New Roman" w:cs="Times New Roman"/>
          <w:sz w:val="24"/>
          <w:szCs w:val="24"/>
          <w:lang w:val="es-PE"/>
        </w:rPr>
      </w:pPr>
      <w:r w:rsidRPr="00682D7A">
        <w:rPr>
          <w:rFonts w:ascii="Times New Roman" w:hAnsi="Times New Roman" w:cs="Times New Roman"/>
          <w:b/>
          <w:bCs/>
          <w:sz w:val="24"/>
          <w:szCs w:val="24"/>
        </w:rPr>
        <w:t>Antonio José Rodríguez Lobatón</w:t>
      </w:r>
      <w:r w:rsidRPr="00682D7A">
        <w:rPr>
          <w:rFonts w:ascii="Times New Roman" w:hAnsi="Times New Roman" w:cs="Times New Roman"/>
          <w:b/>
          <w:bCs/>
          <w:sz w:val="24"/>
          <w:szCs w:val="24"/>
          <w:lang w:val="es-PE"/>
        </w:rPr>
        <w:t xml:space="preserve"> – Presidente</w:t>
      </w:r>
    </w:p>
    <w:p w14:paraId="5A48D78D" w14:textId="77777777" w:rsidR="0066633A" w:rsidRDefault="0066633A" w:rsidP="0066633A">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María Eugenia Valdez Fernández Baca – Vocal</w:t>
      </w:r>
    </w:p>
    <w:p w14:paraId="2E0E716B" w14:textId="77777777" w:rsidR="009A5501" w:rsidRDefault="009A5501" w:rsidP="009A5501">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 xml:space="preserve">Rolando Eyzaguirre </w:t>
      </w:r>
      <w:proofErr w:type="spellStart"/>
      <w:r w:rsidRPr="00682D7A">
        <w:rPr>
          <w:rFonts w:ascii="Times New Roman" w:hAnsi="Times New Roman" w:cs="Times New Roman"/>
          <w:b/>
          <w:bCs/>
          <w:sz w:val="24"/>
          <w:szCs w:val="24"/>
          <w:lang w:val="es-PE"/>
        </w:rPr>
        <w:t>Maccan</w:t>
      </w:r>
      <w:proofErr w:type="spellEnd"/>
      <w:r w:rsidRPr="00682D7A">
        <w:rPr>
          <w:rFonts w:ascii="Times New Roman" w:hAnsi="Times New Roman" w:cs="Times New Roman"/>
          <w:b/>
          <w:bCs/>
          <w:sz w:val="24"/>
          <w:szCs w:val="24"/>
          <w:lang w:val="es-PE"/>
        </w:rPr>
        <w:t xml:space="preserve"> – Vocal</w:t>
      </w:r>
    </w:p>
    <w:p w14:paraId="3DBDCF59" w14:textId="7B21DC86" w:rsidR="009A5501" w:rsidRPr="00682D7A" w:rsidRDefault="009A5501" w:rsidP="009A5501">
      <w:pPr>
        <w:spacing w:after="0" w:line="240" w:lineRule="auto"/>
        <w:jc w:val="center"/>
        <w:rPr>
          <w:rFonts w:ascii="Times New Roman" w:hAnsi="Times New Roman" w:cs="Times New Roman"/>
          <w:b/>
          <w:bCs/>
          <w:sz w:val="24"/>
          <w:szCs w:val="24"/>
          <w:lang w:val="es-PE"/>
        </w:rPr>
      </w:pPr>
    </w:p>
    <w:p w14:paraId="796F4BD9" w14:textId="77777777" w:rsidR="009A5501" w:rsidRPr="00682D7A" w:rsidRDefault="009A5501" w:rsidP="0066633A">
      <w:pPr>
        <w:spacing w:after="0" w:line="240" w:lineRule="auto"/>
        <w:jc w:val="center"/>
        <w:rPr>
          <w:rFonts w:ascii="Times New Roman" w:hAnsi="Times New Roman" w:cs="Times New Roman"/>
          <w:b/>
          <w:bCs/>
          <w:sz w:val="24"/>
          <w:szCs w:val="24"/>
          <w:lang w:val="es-PE"/>
        </w:rPr>
      </w:pP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69658" w14:textId="77777777" w:rsidR="00030A55" w:rsidRDefault="00030A55" w:rsidP="00784355">
      <w:pPr>
        <w:spacing w:after="0" w:line="240" w:lineRule="auto"/>
      </w:pPr>
      <w:r>
        <w:separator/>
      </w:r>
    </w:p>
  </w:endnote>
  <w:endnote w:type="continuationSeparator" w:id="0">
    <w:p w14:paraId="7D42678F" w14:textId="77777777" w:rsidR="00030A55" w:rsidRDefault="00030A5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05220" w14:textId="77777777" w:rsidR="00030A55" w:rsidRDefault="00030A55" w:rsidP="00784355">
      <w:pPr>
        <w:spacing w:after="0" w:line="240" w:lineRule="auto"/>
      </w:pPr>
      <w:r>
        <w:separator/>
      </w:r>
    </w:p>
  </w:footnote>
  <w:footnote w:type="continuationSeparator" w:id="0">
    <w:p w14:paraId="1DD45510" w14:textId="77777777" w:rsidR="00030A55" w:rsidRDefault="00030A5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7B9"/>
    <w:rsid w:val="00007954"/>
    <w:rsid w:val="00007C03"/>
    <w:rsid w:val="00010987"/>
    <w:rsid w:val="00011995"/>
    <w:rsid w:val="00013057"/>
    <w:rsid w:val="000159CC"/>
    <w:rsid w:val="00015C22"/>
    <w:rsid w:val="00015E3B"/>
    <w:rsid w:val="000167E0"/>
    <w:rsid w:val="00017572"/>
    <w:rsid w:val="000235E9"/>
    <w:rsid w:val="0002637D"/>
    <w:rsid w:val="0002733C"/>
    <w:rsid w:val="00027978"/>
    <w:rsid w:val="00027DA7"/>
    <w:rsid w:val="00030A55"/>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B36"/>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87"/>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798"/>
    <w:rsid w:val="002A3D36"/>
    <w:rsid w:val="002A4AE6"/>
    <w:rsid w:val="002A7E2E"/>
    <w:rsid w:val="002B1654"/>
    <w:rsid w:val="002B726E"/>
    <w:rsid w:val="002C2A0F"/>
    <w:rsid w:val="002C2CEC"/>
    <w:rsid w:val="002C50F4"/>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358C"/>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2368"/>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34E"/>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5A80"/>
    <w:rsid w:val="006764A9"/>
    <w:rsid w:val="006768BB"/>
    <w:rsid w:val="0067765F"/>
    <w:rsid w:val="00680D8A"/>
    <w:rsid w:val="00682D7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46F7"/>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764B2"/>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00AC"/>
    <w:rsid w:val="009271BE"/>
    <w:rsid w:val="009272D7"/>
    <w:rsid w:val="009305A8"/>
    <w:rsid w:val="00933532"/>
    <w:rsid w:val="00933FD4"/>
    <w:rsid w:val="00942733"/>
    <w:rsid w:val="00942B53"/>
    <w:rsid w:val="00943343"/>
    <w:rsid w:val="00946694"/>
    <w:rsid w:val="00950AD3"/>
    <w:rsid w:val="00951B99"/>
    <w:rsid w:val="00951CDB"/>
    <w:rsid w:val="00952F86"/>
    <w:rsid w:val="00955C03"/>
    <w:rsid w:val="00956309"/>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501"/>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05BF"/>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599"/>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493D"/>
    <w:rsid w:val="00CA718D"/>
    <w:rsid w:val="00CB44BB"/>
    <w:rsid w:val="00CB7DDC"/>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95CD0"/>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E75CC"/>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2E9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722130B-336F-49FC-BD4E-8203DA0248F7}"/>
</file>

<file path=customXml/itemProps3.xml><?xml version="1.0" encoding="utf-8"?>
<ds:datastoreItem xmlns:ds="http://schemas.openxmlformats.org/officeDocument/2006/customXml" ds:itemID="{7D665D09-FB75-4EA5-BA6A-283B27625A00}"/>
</file>

<file path=customXml/itemProps4.xml><?xml version="1.0" encoding="utf-8"?>
<ds:datastoreItem xmlns:ds="http://schemas.openxmlformats.org/officeDocument/2006/customXml" ds:itemID="{B5F88782-EBD1-4A3B-8766-ECEC45F66077}"/>
</file>

<file path=docProps/app.xml><?xml version="1.0" encoding="utf-8"?>
<Properties xmlns="http://schemas.openxmlformats.org/officeDocument/2006/extended-properties" xmlns:vt="http://schemas.openxmlformats.org/officeDocument/2006/docPropsVTypes">
  <Template>Normal</Template>
  <TotalTime>402</TotalTime>
  <Pages>4</Pages>
  <Words>1836</Words>
  <Characters>9417</Characters>
  <Application>Microsoft Office Word</Application>
  <DocSecurity>0</DocSecurity>
  <Lines>157</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454</cp:revision>
  <cp:lastPrinted>2025-10-02T17:25:00Z</cp:lastPrinted>
  <dcterms:created xsi:type="dcterms:W3CDTF">2023-02-14T22:37:00Z</dcterms:created>
  <dcterms:modified xsi:type="dcterms:W3CDTF">2025-10-02T17:25:00Z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