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D9AD8" w14:textId="0EAB2296" w:rsidR="002C50F4" w:rsidRPr="006F32CE" w:rsidRDefault="00201C0D" w:rsidP="002C50F4">
      <w:pPr>
        <w:spacing w:after="0" w:line="240" w:lineRule="auto"/>
        <w:jc w:val="center"/>
        <w:rPr>
          <w:rFonts w:ascii="Times New Roman" w:hAnsi="Times New Roman" w:cs="Times New Roman"/>
          <w:b/>
          <w:sz w:val="24"/>
          <w:szCs w:val="24"/>
          <w:lang w:val="es-PE" w:eastAsia="ar-SA"/>
        </w:rPr>
      </w:pPr>
      <w:r w:rsidRPr="006F32CE">
        <w:rPr>
          <w:rFonts w:ascii="Times New Roman" w:hAnsi="Times New Roman" w:cs="Times New Roman"/>
          <w:b/>
          <w:sz w:val="24"/>
          <w:szCs w:val="24"/>
          <w:lang w:val="es-PE" w:eastAsia="ar-SA"/>
        </w:rPr>
        <w:t xml:space="preserve">RESOLUCIÓN DE RECURSO IMPUGNATIVO </w:t>
      </w:r>
      <w:r w:rsidR="00707C99" w:rsidRPr="006F32CE">
        <w:rPr>
          <w:rFonts w:ascii="Times New Roman" w:hAnsi="Times New Roman" w:cs="Times New Roman"/>
          <w:b/>
          <w:sz w:val="24"/>
          <w:szCs w:val="24"/>
          <w:lang w:val="es-PE" w:eastAsia="ar-SA"/>
        </w:rPr>
        <w:t xml:space="preserve">N° </w:t>
      </w:r>
      <w:r w:rsidR="00EE4B4D" w:rsidRPr="006F32CE">
        <w:rPr>
          <w:rFonts w:ascii="Times New Roman" w:hAnsi="Times New Roman" w:cs="Times New Roman"/>
          <w:b/>
          <w:sz w:val="24"/>
          <w:szCs w:val="24"/>
          <w:lang w:val="es-PE" w:eastAsia="ar-SA"/>
        </w:rPr>
        <w:t>4</w:t>
      </w:r>
      <w:r w:rsidR="0090335B" w:rsidRPr="006F32CE">
        <w:rPr>
          <w:rFonts w:ascii="Times New Roman" w:hAnsi="Times New Roman" w:cs="Times New Roman"/>
          <w:b/>
          <w:sz w:val="24"/>
          <w:szCs w:val="24"/>
          <w:lang w:val="es-PE" w:eastAsia="ar-SA"/>
        </w:rPr>
        <w:t>9</w:t>
      </w:r>
      <w:r w:rsidR="00C671F5" w:rsidRPr="006F32CE">
        <w:rPr>
          <w:rFonts w:ascii="Times New Roman" w:hAnsi="Times New Roman" w:cs="Times New Roman"/>
          <w:b/>
          <w:sz w:val="24"/>
          <w:szCs w:val="24"/>
          <w:lang w:val="es-PE" w:eastAsia="ar-SA"/>
        </w:rPr>
        <w:t>/2</w:t>
      </w:r>
      <w:r w:rsidR="00A74F96" w:rsidRPr="006F32CE">
        <w:rPr>
          <w:rFonts w:ascii="Times New Roman" w:hAnsi="Times New Roman" w:cs="Times New Roman"/>
          <w:b/>
          <w:sz w:val="24"/>
          <w:szCs w:val="24"/>
          <w:lang w:val="es-PE" w:eastAsia="ar-SA"/>
        </w:rPr>
        <w:t>5</w:t>
      </w:r>
    </w:p>
    <w:p w14:paraId="62A2BD8D" w14:textId="77777777" w:rsidR="00350D97" w:rsidRPr="006F32CE" w:rsidRDefault="00350D97" w:rsidP="00350D97">
      <w:pPr>
        <w:spacing w:line="240" w:lineRule="auto"/>
        <w:jc w:val="both"/>
        <w:rPr>
          <w:rFonts w:ascii="Times New Roman" w:eastAsia="Arial Unicode MS" w:hAnsi="Times New Roman" w:cs="Times New Roman"/>
          <w:bCs/>
          <w:sz w:val="24"/>
          <w:szCs w:val="24"/>
          <w:lang w:val="es-MX" w:eastAsia="ar-SA"/>
        </w:rPr>
      </w:pPr>
    </w:p>
    <w:p w14:paraId="68E28D35" w14:textId="5CA12D60" w:rsidR="006F32CE" w:rsidRPr="006F32CE" w:rsidRDefault="006F32CE" w:rsidP="006F32CE">
      <w:pPr>
        <w:spacing w:line="240" w:lineRule="auto"/>
        <w:jc w:val="both"/>
        <w:rPr>
          <w:rFonts w:ascii="Times New Roman" w:eastAsia="Arial Unicode MS" w:hAnsi="Times New Roman" w:cs="Times New Roman"/>
          <w:b/>
          <w:bCs/>
          <w:sz w:val="24"/>
          <w:szCs w:val="24"/>
          <w:lang w:val="es-MX" w:eastAsia="ar-SA"/>
        </w:rPr>
      </w:pPr>
      <w:r w:rsidRPr="006F32CE">
        <w:rPr>
          <w:rFonts w:ascii="Times New Roman" w:eastAsia="Arial Unicode MS" w:hAnsi="Times New Roman" w:cs="Times New Roman"/>
          <w:b/>
          <w:bCs/>
          <w:sz w:val="24"/>
          <w:szCs w:val="24"/>
          <w:lang w:val="es-MX" w:eastAsia="ar-SA"/>
        </w:rPr>
        <w:t>VISTOS:</w:t>
      </w:r>
    </w:p>
    <w:p w14:paraId="58EA652C" w14:textId="63CD8AF1" w:rsidR="006F32CE" w:rsidRPr="006F32CE" w:rsidRDefault="006F32CE" w:rsidP="006F32CE">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de Impugnación presentado por ………………… respecto de la Resolución Nro. 003/25, expedida por esta Defensoría del Asegurado (DEFASEG), conforme a la cual se declaró FUNDADA la reclamación interpuesta por ………………… respecto al SEGURO DE DESGRAVAMEN– PÓLIZA N° …………………;</w:t>
      </w:r>
    </w:p>
    <w:p w14:paraId="0BD9279D" w14:textId="12226655" w:rsidR="006F32CE" w:rsidRPr="006F32CE" w:rsidRDefault="006F32CE" w:rsidP="006F32CE">
      <w:pPr>
        <w:spacing w:line="240" w:lineRule="auto"/>
        <w:jc w:val="both"/>
        <w:rPr>
          <w:rFonts w:ascii="Times New Roman" w:eastAsia="Arial Unicode MS" w:hAnsi="Times New Roman" w:cs="Times New Roman"/>
          <w:bCs/>
          <w:sz w:val="24"/>
          <w:szCs w:val="24"/>
          <w:lang w:val="es-PE" w:eastAsia="ar-SA"/>
        </w:rPr>
      </w:pPr>
      <w:r w:rsidRPr="006F32CE">
        <w:rPr>
          <w:rFonts w:ascii="Times New Roman" w:eastAsia="Arial Unicode MS" w:hAnsi="Times New Roman" w:cs="Times New Roman"/>
          <w:bCs/>
          <w:sz w:val="24"/>
          <w:szCs w:val="24"/>
          <w:lang w:val="es-MX" w:eastAsia="ar-SA"/>
        </w:rPr>
        <w:t xml:space="preserve">Que, el indicado recurso se sustenta resumidamente en lo siguiente: (1) la causa básica </w:t>
      </w:r>
      <w:r w:rsidRPr="006F32CE">
        <w:rPr>
          <w:rFonts w:ascii="Times New Roman" w:eastAsia="Arial Unicode MS" w:hAnsi="Times New Roman" w:cs="Times New Roman"/>
          <w:bCs/>
          <w:sz w:val="24"/>
          <w:szCs w:val="24"/>
          <w:lang w:val="es-PE" w:eastAsia="ar-SA"/>
        </w:rPr>
        <w:t>del fallecimiento de la asegurada, esto es, el tumor maligno secundario del encéfalo fue desencadenado o tuvo su origen en el diagnóstico de cáncer de mama, de acuerdo a la documentación médica remitida, donde se evidencia que fue tratada desde el año 2008 – antes de la fecha de afiliación del Seguro de Desgravamen en el año 2023; (2) la relación entre el tumor maligno secundario del encéfalo – cáncer secundario – y el cáncer de mama – cáncer primario – se encuentra debidamente detallado en la ficha médica de especialidad de Oncología remitida por el reclamante, en el cual el doctor relata que la asegurada</w:t>
      </w:r>
      <w:r w:rsidRPr="006F32CE">
        <w:rPr>
          <w:rFonts w:ascii="Times New Roman" w:eastAsia="Arial Unicode MS" w:hAnsi="Times New Roman" w:cs="Times New Roman"/>
          <w:b/>
          <w:bCs/>
          <w:sz w:val="24"/>
          <w:szCs w:val="24"/>
          <w:lang w:val="es-PE" w:eastAsia="ar-SA"/>
        </w:rPr>
        <w:t xml:space="preserve"> </w:t>
      </w:r>
      <w:r w:rsidRPr="006F32CE">
        <w:rPr>
          <w:rFonts w:ascii="Times New Roman" w:eastAsia="Arial Unicode MS" w:hAnsi="Times New Roman" w:cs="Times New Roman"/>
          <w:bCs/>
          <w:sz w:val="24"/>
          <w:szCs w:val="24"/>
          <w:lang w:val="es-PE" w:eastAsia="ar-SA"/>
        </w:rPr>
        <w:t>presentaba como antecedentes médicos</w:t>
      </w:r>
      <w:r w:rsidRPr="006F32CE">
        <w:rPr>
          <w:rFonts w:ascii="Times New Roman" w:eastAsia="Arial Unicode MS" w:hAnsi="Times New Roman" w:cs="Times New Roman"/>
          <w:b/>
          <w:bCs/>
          <w:sz w:val="24"/>
          <w:szCs w:val="24"/>
          <w:lang w:val="es-PE" w:eastAsia="ar-SA"/>
        </w:rPr>
        <w:t xml:space="preserve"> </w:t>
      </w:r>
      <w:r w:rsidRPr="006F32CE">
        <w:rPr>
          <w:rFonts w:ascii="Times New Roman" w:eastAsia="Arial Unicode MS" w:hAnsi="Times New Roman" w:cs="Times New Roman"/>
          <w:bCs/>
          <w:sz w:val="24"/>
          <w:szCs w:val="24"/>
          <w:lang w:val="es-PE" w:eastAsia="ar-SA"/>
        </w:rPr>
        <w:t>tumoración cerebral con metástasis en hígado y NM de mama desde el 2008; (3) en el Informe de Epicrisis de fecha 25 de enero de 2024, el doctor determinó como diagnóstico de ingreso de la asegurada el padecimiento de Tumor maligno de mama; (4) el rechazo se dio en concordancia con la opinión médica del doctor de consultoría de la aseguradora, quien, luego de analizar toda la documentación de la asegurada indicó que, si bien la causa de fallecimiento de la asegurada</w:t>
      </w:r>
      <w:r w:rsidRPr="006F32CE">
        <w:rPr>
          <w:rFonts w:ascii="Times New Roman" w:eastAsia="Arial Unicode MS" w:hAnsi="Times New Roman" w:cs="Times New Roman"/>
          <w:b/>
          <w:bCs/>
          <w:sz w:val="24"/>
          <w:szCs w:val="24"/>
          <w:lang w:val="es-PE" w:eastAsia="ar-SA"/>
        </w:rPr>
        <w:t xml:space="preserve"> </w:t>
      </w:r>
      <w:r w:rsidRPr="006F32CE">
        <w:rPr>
          <w:rFonts w:ascii="Times New Roman" w:eastAsia="Arial Unicode MS" w:hAnsi="Times New Roman" w:cs="Times New Roman"/>
          <w:bCs/>
          <w:sz w:val="24"/>
          <w:szCs w:val="24"/>
          <w:lang w:val="es-PE" w:eastAsia="ar-SA"/>
        </w:rPr>
        <w:t>fue Tumor maligno secundario del encéfalo, la causa real fue NM de mama diagnosticado en el año 2008, por lo cual se trata de una enfermedad preexistente; (5) no procede la cobertura, dado que la enfermedad que originó el fallecimiento de la asegurada</w:t>
      </w:r>
      <w:r w:rsidRPr="006F32CE">
        <w:rPr>
          <w:rFonts w:ascii="Times New Roman" w:eastAsia="Arial Unicode MS" w:hAnsi="Times New Roman" w:cs="Times New Roman"/>
          <w:b/>
          <w:bCs/>
          <w:sz w:val="24"/>
          <w:szCs w:val="24"/>
          <w:lang w:val="es-PE" w:eastAsia="ar-SA"/>
        </w:rPr>
        <w:t xml:space="preserve"> </w:t>
      </w:r>
      <w:r w:rsidRPr="006F32CE">
        <w:rPr>
          <w:rFonts w:ascii="Times New Roman" w:eastAsia="Arial Unicode MS" w:hAnsi="Times New Roman" w:cs="Times New Roman"/>
          <w:bCs/>
          <w:sz w:val="24"/>
          <w:szCs w:val="24"/>
          <w:lang w:val="es-PE" w:eastAsia="ar-SA"/>
        </w:rPr>
        <w:t xml:space="preserve">tiene sus orígenes en el cáncer de mama que fue tratado desde el año 2008 – antes de la fecha de afiliación del seguro en el año 2023, por lo cual recae en el supuesto de preexistencia regulado en la cláusula decimosegunda de las Condiciones Generales del seguro contratado; (6) la asegurada tenía pleno conocimiento de las condiciones generales y particulares de la póliza contratada, principalmente del condicionado sobre las exclusiones; ello, en la medida que consignó su firma en la Solicitud de Afiliación de dicha póliza. </w:t>
      </w:r>
    </w:p>
    <w:p w14:paraId="0EA655FC" w14:textId="6A1D0A3C" w:rsidR="006F32CE" w:rsidRPr="006F32CE" w:rsidRDefault="006F32CE" w:rsidP="006F32CE">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Que, el reclamante absolvió el traslado del recurso interpuesto, indicando en resumen lo siguiente: (1) la aseguradora insiste en querer demostrar sin pruebas científicas o medios probatorios, que la causa del fallecimiento de su cónyuge fue a causa de una enfermedad preexistente, basándose en una lectura mal intencionada de la Historia Clínica de la Clínica Jesús del ………………… el cual señala que como antecedentes médico se encontraba la Tumoración Cerebral, obviando la parte en que señala “refiere inicio de enfermedad hace 9 días por haber presentado pérdida de conciencia, cefalea, mareos, aparentes convulsiones…” (folios 57 de la Historia Clínica); (2) toda vez, que el tumor en el cerebro fue diagnosticado en octubre del año 2023, tal como lo señala el Informe Médico de la Unidad Oncológica Molecular Peruana S.A.C.; (3) la opinión del doctor de consultoría de la aseguradora es una postura subjetiva de los hechos, no siendo concluyente afirmar sin estudios o exámenes clínicos de laboratorio, los cuales la Historia Clínica no lo determina que se hayan realizado y menos haber efectuado una biopsia al Tumor encontrado en el cerebro, la cual fue la causa del deceso de la asegurada, para determinar que la causa real del fallecimiento fue el NM de mama diagnosticado el año 2008; (4) de acuerdo con el Informe Médico de la Unidad Oncológica Molecular Peruana S.A.C., de fecha 12/02/2024, las pruebas realizadas para el Tumor en el Cerebro (causa del fallecimiento) son Tomografía y Resonancia Magnética; (5) no se puede concluir que se trata del mismo cáncer o que el cáncer de mama haya hecho metástasis hasta esa zona;  (6) según publicaciones en revistas médicas entre el 30% y 50% de pacientes con cáncer de mama sufren metástasis cerebral, siendo estos datos simplemente estadísticos, no se puedesin exámenes (biopsia) determinar que la causa del fallecimiento fue por una enfermedad preexistente.</w:t>
      </w:r>
    </w:p>
    <w:p w14:paraId="30B4A362" w14:textId="2887824C" w:rsidR="006F32CE" w:rsidRPr="006F32CE" w:rsidRDefault="006F32CE" w:rsidP="006F32CE">
      <w:pPr>
        <w:spacing w:line="240" w:lineRule="auto"/>
        <w:jc w:val="both"/>
        <w:rPr>
          <w:rFonts w:ascii="Times New Roman" w:eastAsia="Arial Unicode MS" w:hAnsi="Times New Roman" w:cs="Times New Roman"/>
          <w:bCs/>
          <w:sz w:val="24"/>
          <w:szCs w:val="24"/>
          <w:lang w:val="es-MX" w:eastAsia="ar-SA"/>
        </w:rPr>
      </w:pPr>
      <w:r w:rsidRPr="006F32CE">
        <w:rPr>
          <w:rFonts w:ascii="Times New Roman" w:eastAsia="Arial Unicode MS" w:hAnsi="Times New Roman" w:cs="Times New Roman"/>
          <w:bCs/>
          <w:sz w:val="24"/>
          <w:szCs w:val="24"/>
          <w:lang w:val="es-MX" w:eastAsia="ar-SA"/>
        </w:rPr>
        <w:t>Que, atendiendo a lo expuesto, esta defensoría resuelve finalmente lo siguiente:</w:t>
      </w:r>
    </w:p>
    <w:p w14:paraId="3D13551A" w14:textId="6046DEC3" w:rsidR="006F32CE" w:rsidRPr="006F32CE" w:rsidRDefault="006F32CE" w:rsidP="006F32CE">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0E8D63B1" w14:textId="3C080D06" w:rsidR="006F32CE" w:rsidRPr="006F32CE" w:rsidRDefault="006F32CE" w:rsidP="006F32CE">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75E34082" w14:textId="780EDBA0" w:rsidR="006F32CE" w:rsidRPr="006F32CE" w:rsidRDefault="006F32CE" w:rsidP="006F32CE">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SEGUNDO: Atendiendo a los fundamentos de la impugnación interpuesta, se advierte que la aseguradora solicita la revaluación fáctica de Historia Clínica de la asegurada.</w:t>
      </w:r>
    </w:p>
    <w:p w14:paraId="5A7243D1" w14:textId="17308CDF" w:rsidR="006F32CE" w:rsidRPr="006F32CE" w:rsidRDefault="006F32CE" w:rsidP="006F32CE">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En ese sentido, corresponde evaluar si de la Historia Clínica que obra en autos se puede concluir objetivamente que la causa básica del fallecimiento de la asegurada, esto es, el tumor maligno secundario del encéfalo fue desencadenado o tuvo su origen en el diagnóstico de cáncer de mama.</w:t>
      </w:r>
    </w:p>
    <w:p w14:paraId="67DBE74F" w14:textId="40061DF2" w:rsidR="006F32CE" w:rsidRPr="006F32CE" w:rsidRDefault="006F32CE" w:rsidP="006F32CE">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A este efecto, es preciso resaltar que la Resolución Impugnada declaró fundada la reclamación por cuanto no se apreció que la aseguradora haya explicado, de existir, la correlación directa entre el diagnóstico del tumor maligno secundario del encéfalo y el cáncer de mama.</w:t>
      </w:r>
    </w:p>
    <w:p w14:paraId="5E01F10F" w14:textId="77B9E6C2" w:rsidR="006F32CE" w:rsidRPr="006F32CE" w:rsidRDefault="006F32CE" w:rsidP="006F32CE">
      <w:pPr>
        <w:spacing w:line="240" w:lineRule="auto"/>
        <w:jc w:val="both"/>
        <w:rPr>
          <w:rFonts w:ascii="Times New Roman" w:eastAsia="Arial Unicode MS" w:hAnsi="Times New Roman" w:cs="Times New Roman"/>
          <w:sz w:val="24"/>
          <w:szCs w:val="24"/>
          <w:lang w:val="es-PE" w:eastAsia="ar-SA"/>
        </w:rPr>
      </w:pPr>
      <w:r w:rsidRPr="006F32CE">
        <w:rPr>
          <w:rFonts w:ascii="Times New Roman" w:eastAsia="Arial Unicode MS" w:hAnsi="Times New Roman" w:cs="Times New Roman"/>
          <w:sz w:val="24"/>
          <w:szCs w:val="24"/>
          <w:lang w:val="es-MX" w:eastAsia="ar-SA"/>
        </w:rPr>
        <w:t xml:space="preserve">En el presente caso, </w:t>
      </w:r>
      <w:r w:rsidRPr="006F32CE">
        <w:rPr>
          <w:rFonts w:ascii="Times New Roman" w:eastAsia="Arial Unicode MS" w:hAnsi="Times New Roman" w:cs="Times New Roman"/>
          <w:sz w:val="24"/>
          <w:szCs w:val="24"/>
          <w:lang w:val="es-PE" w:eastAsia="ar-SA"/>
        </w:rPr>
        <w:t>el cáncer de mama de la asegurada era preexistente a la contratación del seguro en el año 2023.</w:t>
      </w:r>
    </w:p>
    <w:p w14:paraId="3C5B23EF" w14:textId="31162AAF" w:rsidR="006F32CE" w:rsidRPr="006F32CE" w:rsidRDefault="006F32CE" w:rsidP="006F32CE">
      <w:pPr>
        <w:spacing w:line="240" w:lineRule="auto"/>
        <w:jc w:val="center"/>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7BB2683E" w14:textId="16AB3634"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MX" w:eastAsia="ar-SA"/>
        </w:rPr>
        <w:t>La materia de discusión radica en establecer si tal circunstancia configura en los términos de la póliza contratada un supuesto de exclusión de cobertura.</w:t>
      </w:r>
    </w:p>
    <w:p w14:paraId="2BBAE21E" w14:textId="299A4719"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MX" w:eastAsia="ar-SA"/>
        </w:rPr>
        <w:t xml:space="preserve">A este efecto, corresponde analizar los términos convenidos por las partes al configurar el evento que determina un riesgo excluido de cobertura. </w:t>
      </w:r>
    </w:p>
    <w:p w14:paraId="6CA3564B" w14:textId="36868D65" w:rsidR="006F32CE" w:rsidRPr="006F32CE" w:rsidRDefault="006F32CE" w:rsidP="006F32CE">
      <w:pPr>
        <w:spacing w:line="240" w:lineRule="auto"/>
        <w:jc w:val="both"/>
        <w:rPr>
          <w:rFonts w:ascii="Times New Roman" w:eastAsia="Arial Unicode MS" w:hAnsi="Times New Roman" w:cs="Times New Roman"/>
          <w:bCs/>
          <w:sz w:val="24"/>
          <w:szCs w:val="24"/>
          <w:lang w:val="es-PE" w:eastAsia="ar-SA"/>
        </w:rPr>
      </w:pPr>
      <w:r w:rsidRPr="006F32CE">
        <w:rPr>
          <w:rFonts w:ascii="Times New Roman" w:eastAsia="Arial Unicode MS" w:hAnsi="Times New Roman" w:cs="Times New Roman"/>
          <w:bCs/>
          <w:sz w:val="24"/>
          <w:szCs w:val="24"/>
          <w:lang w:val="es-PE" w:eastAsia="ar-SA"/>
        </w:rPr>
        <w:t xml:space="preserve">De acuerdo con la Póliza contratada, el seguro de desgravamen no cubre el fallecimiento cuando se produjera como consecuencia de una enfermedad grave preexistente al inicio del seguro, siempre que haya sido de conocimiento de la asegurada: </w:t>
      </w:r>
    </w:p>
    <w:p w14:paraId="51325C0D" w14:textId="0718E9CE"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Pr>
          <w:rFonts w:ascii="Times New Roman" w:hAnsi="Times New Roman"/>
          <w:sz w:val="24"/>
        </w:rPr>
        <w:t xml:space="preserve">…………………</w:t>
      </w:r>
    </w:p>
    <w:p w14:paraId="140252A4" w14:textId="77777777"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p>
    <w:p w14:paraId="382910FB" w14:textId="77777777"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MX" w:eastAsia="ar-SA"/>
        </w:rPr>
        <w:t>Conforme a la cláusula sexta sobre exclusiones, dicho pacto muestra dos fases de delimitación:</w:t>
      </w:r>
    </w:p>
    <w:p w14:paraId="1A7D37E4" w14:textId="77777777"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MX" w:eastAsia="ar-SA"/>
        </w:rPr>
        <w:t xml:space="preserve"> </w:t>
      </w:r>
    </w:p>
    <w:p w14:paraId="50D5DCFA" w14:textId="77777777" w:rsidR="006F32CE" w:rsidRPr="006F32CE" w:rsidRDefault="006F32CE" w:rsidP="006F32CE">
      <w:pPr>
        <w:numPr>
          <w:ilvl w:val="0"/>
          <w:numId w:val="42"/>
        </w:num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MX" w:eastAsia="ar-SA"/>
        </w:rPr>
        <w:t xml:space="preserve">Una </w:t>
      </w:r>
      <w:r w:rsidRPr="006F32CE">
        <w:rPr>
          <w:rFonts w:ascii="Times New Roman" w:eastAsia="Arial Unicode MS" w:hAnsi="Times New Roman" w:cs="Times New Roman"/>
          <w:b/>
          <w:sz w:val="24"/>
          <w:szCs w:val="24"/>
          <w:lang w:val="es-MX" w:eastAsia="ar-SA"/>
        </w:rPr>
        <w:t>enunciativa</w:t>
      </w:r>
      <w:r w:rsidRPr="006F32CE">
        <w:rPr>
          <w:rFonts w:ascii="Times New Roman" w:eastAsia="Arial Unicode MS" w:hAnsi="Times New Roman" w:cs="Times New Roman"/>
          <w:sz w:val="24"/>
          <w:szCs w:val="24"/>
          <w:lang w:val="es-MX" w:eastAsia="ar-SA"/>
        </w:rPr>
        <w:t xml:space="preserve"> donde se individualiza en cada inciso, la naturaleza del evento que se considera un hecho que se coloca fuera del amparo, como ocurre al describir en el inciso a) enfermedad grave y/o crónica prexistente al inicio del seguro.</w:t>
      </w:r>
    </w:p>
    <w:p w14:paraId="378B30AC" w14:textId="77777777" w:rsidR="006F32CE" w:rsidRPr="006F32CE" w:rsidRDefault="006F32CE" w:rsidP="006F32CE">
      <w:pPr>
        <w:numPr>
          <w:ilvl w:val="0"/>
          <w:numId w:val="42"/>
        </w:num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MX" w:eastAsia="ar-SA"/>
        </w:rPr>
        <w:t xml:space="preserve">Una </w:t>
      </w:r>
      <w:r w:rsidRPr="006F32CE">
        <w:rPr>
          <w:rFonts w:ascii="Times New Roman" w:eastAsia="Arial Unicode MS" w:hAnsi="Times New Roman" w:cs="Times New Roman"/>
          <w:b/>
          <w:sz w:val="24"/>
          <w:szCs w:val="24"/>
          <w:lang w:val="es-MX" w:eastAsia="ar-SA"/>
        </w:rPr>
        <w:t>causal</w:t>
      </w:r>
      <w:r w:rsidRPr="006F32CE">
        <w:rPr>
          <w:rFonts w:ascii="Times New Roman" w:eastAsia="Arial Unicode MS" w:hAnsi="Times New Roman" w:cs="Times New Roman"/>
          <w:sz w:val="24"/>
          <w:szCs w:val="24"/>
          <w:lang w:val="es-MX" w:eastAsia="ar-SA"/>
        </w:rPr>
        <w:t>, donde se establece la condición que debe presentarse para que las situaciones individualizadas en cada inciso adquieran esencia como causal de no cobertura.</w:t>
      </w:r>
    </w:p>
    <w:p w14:paraId="6104C40F" w14:textId="410CBDB7"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MX" w:eastAsia="ar-SA"/>
        </w:rPr>
        <w:t xml:space="preserve">En este último caso, se trata de una delimitación causal de los supuestos de exclusión, consistente en la mención de la hipótesis de hecho que debe constituir la causa del siniestro (la materialización del riesgo), para que los eventos individualizados en cada inciso configuren una exclusión de cobertura. </w:t>
      </w:r>
    </w:p>
    <w:p w14:paraId="1B851881" w14:textId="061E81EC"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MX" w:eastAsia="ar-SA"/>
        </w:rPr>
        <w:t>De tal forma que es necesario establecer si el hecho excluido ha sido o no la causa que ha provocado el riesgo que configura la pretensión de siniestro bajo cobertura.</w:t>
      </w:r>
    </w:p>
    <w:p w14:paraId="7FD67C3C" w14:textId="0ED466CB" w:rsidR="006F32CE" w:rsidRPr="006F32CE" w:rsidRDefault="006F32CE" w:rsidP="006F32CE">
      <w:pPr>
        <w:spacing w:line="240" w:lineRule="auto"/>
        <w:jc w:val="both"/>
        <w:rPr>
          <w:rFonts w:ascii="Times New Roman" w:eastAsia="Arial Unicode MS" w:hAnsi="Times New Roman" w:cs="Times New Roman"/>
          <w:b/>
          <w:sz w:val="24"/>
          <w:szCs w:val="24"/>
          <w:lang w:val="es-MX" w:eastAsia="ar-SA"/>
        </w:rPr>
      </w:pPr>
      <w:r w:rsidRPr="006F32CE">
        <w:rPr>
          <w:rFonts w:ascii="Times New Roman" w:eastAsia="Arial Unicode MS" w:hAnsi="Times New Roman" w:cs="Times New Roman"/>
          <w:sz w:val="24"/>
          <w:szCs w:val="24"/>
          <w:lang w:val="es-MX" w:eastAsia="ar-SA"/>
        </w:rPr>
        <w:t>De acuerdo con la mencionada exclusión, la delimitación causal está prevista en los siguientes términos: “</w:t>
      </w:r>
      <w:r w:rsidRPr="006F32CE">
        <w:rPr>
          <w:rFonts w:ascii="Times New Roman" w:eastAsia="Arial Unicode MS" w:hAnsi="Times New Roman" w:cs="Times New Roman"/>
          <w:b/>
          <w:i/>
          <w:sz w:val="24"/>
          <w:szCs w:val="24"/>
          <w:lang w:val="es-MX" w:eastAsia="ar-SA"/>
        </w:rPr>
        <w:t>Este contrato de seguros no cubre el fallecimiento del Asegurado cuando el deceso se produjera como consecuencia de:(…)”</w:t>
      </w:r>
      <w:r w:rsidRPr="006F32CE">
        <w:rPr>
          <w:rFonts w:ascii="Times New Roman" w:eastAsia="Arial Unicode MS" w:hAnsi="Times New Roman" w:cs="Times New Roman"/>
          <w:b/>
          <w:sz w:val="24"/>
          <w:szCs w:val="24"/>
          <w:lang w:val="es-MX" w:eastAsia="ar-SA"/>
        </w:rPr>
        <w:t>.</w:t>
      </w:r>
    </w:p>
    <w:p w14:paraId="73E22609" w14:textId="0202B324"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MX" w:eastAsia="ar-SA"/>
        </w:rPr>
        <w:t xml:space="preserve">Para el Colegiado resulta claro que la Póliza contiene una delimitación causal de las exclusiones que no distingue entre consecuencia directa o indirecta. Ello importa que la cláusula considera causa tanto las directas como las indirectas, de manera que la redacción de la cláusula no limita </w:t>
      </w:r>
      <w:r w:rsidRPr="006F32CE">
        <w:rPr>
          <w:rFonts w:ascii="Times New Roman" w:eastAsia="Arial Unicode MS" w:hAnsi="Times New Roman" w:cs="Times New Roman"/>
          <w:sz w:val="24"/>
          <w:szCs w:val="24"/>
          <w:lang w:val="es-MX" w:eastAsia="ar-SA"/>
        </w:rPr>
        <w:lastRenderedPageBreak/>
        <w:t>como evento a sólo aquél que, con criterio temporal, se halla más próximo a la materialización del riesgo (fallecimiento).</w:t>
      </w:r>
    </w:p>
    <w:p w14:paraId="5BEA0CFC" w14:textId="397EDEDF" w:rsidR="006F32CE" w:rsidRPr="006F32CE" w:rsidRDefault="006F32CE" w:rsidP="006F32CE">
      <w:pPr>
        <w:spacing w:line="240" w:lineRule="auto"/>
        <w:jc w:val="both"/>
        <w:rPr>
          <w:rFonts w:ascii="Times New Roman" w:eastAsia="Arial Unicode MS" w:hAnsi="Times New Roman" w:cs="Times New Roman"/>
          <w:sz w:val="24"/>
          <w:szCs w:val="24"/>
          <w:lang w:val="es-PE" w:eastAsia="ar-SA"/>
        </w:rPr>
      </w:pPr>
      <w:r w:rsidRPr="006F32CE">
        <w:rPr>
          <w:rFonts w:ascii="Times New Roman" w:eastAsia="Arial Unicode MS" w:hAnsi="Times New Roman" w:cs="Times New Roman"/>
          <w:sz w:val="24"/>
          <w:szCs w:val="24"/>
          <w:lang w:val="es-PE" w:eastAsia="ar-SA"/>
        </w:rPr>
        <w:t xml:space="preserve">Es indudable que el cáncer de mama de la asegurada no constituye la causa próxima de su fallecimiento, como sí lo es el tumor maligno secundario del encéfalo. Pero el cáncer de mama sí es causa indirecta de éste. </w:t>
      </w:r>
    </w:p>
    <w:p w14:paraId="68EAC274" w14:textId="5088E0DF"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PE" w:eastAsia="ar-SA"/>
        </w:rPr>
        <w:t xml:space="preserve">En efecto, el cáncer de mama es una enfermedad que participa como condición en </w:t>
      </w:r>
      <w:r w:rsidRPr="006F32CE">
        <w:rPr>
          <w:rFonts w:ascii="Times New Roman" w:eastAsia="Arial Unicode MS" w:hAnsi="Times New Roman" w:cs="Times New Roman"/>
          <w:sz w:val="24"/>
          <w:szCs w:val="24"/>
          <w:lang w:val="es-MX" w:eastAsia="ar-SA"/>
        </w:rPr>
        <w:t>toda la cadena de eventos concurrentes o sucesivos que se presentan para desencadenar el lamentable fallecimiento de la asegurada. De manera que la participación de esa enfermedad (</w:t>
      </w:r>
      <w:r w:rsidRPr="006F32CE">
        <w:rPr>
          <w:rFonts w:ascii="Times New Roman" w:eastAsia="Arial Unicode MS" w:hAnsi="Times New Roman" w:cs="Times New Roman"/>
          <w:sz w:val="24"/>
          <w:szCs w:val="24"/>
          <w:lang w:val="es-PE" w:eastAsia="ar-SA"/>
        </w:rPr>
        <w:t>cáncer de mama</w:t>
      </w:r>
      <w:r w:rsidRPr="006F32CE">
        <w:rPr>
          <w:rFonts w:ascii="Times New Roman" w:eastAsia="Arial Unicode MS" w:hAnsi="Times New Roman" w:cs="Times New Roman"/>
          <w:sz w:val="24"/>
          <w:szCs w:val="24"/>
          <w:lang w:val="es-MX" w:eastAsia="ar-SA"/>
        </w:rPr>
        <w:t>) durante la generación del riesgo (muerte), es definida en el contrato de seguro como un supuesto de hecho que configura una exclusión de cobertura.</w:t>
      </w:r>
    </w:p>
    <w:p w14:paraId="1132D587" w14:textId="77777777"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MX" w:eastAsia="ar-SA"/>
        </w:rPr>
        <w:t xml:space="preserve">De manera que la cláusula no sujeta la validez de la exclusión a que un evento se presente como causa próxima, sino que basta que los hechos previstos (como el </w:t>
      </w:r>
      <w:r w:rsidRPr="006F32CE">
        <w:rPr>
          <w:rFonts w:ascii="Times New Roman" w:eastAsia="Arial Unicode MS" w:hAnsi="Times New Roman" w:cs="Times New Roman"/>
          <w:sz w:val="24"/>
          <w:szCs w:val="24"/>
          <w:lang w:val="es-PE" w:eastAsia="ar-SA"/>
        </w:rPr>
        <w:t>cáncer de mama</w:t>
      </w:r>
      <w:r w:rsidRPr="006F32CE">
        <w:rPr>
          <w:rFonts w:ascii="Times New Roman" w:eastAsia="Arial Unicode MS" w:hAnsi="Times New Roman" w:cs="Times New Roman"/>
          <w:sz w:val="24"/>
          <w:szCs w:val="24"/>
          <w:lang w:val="es-MX" w:eastAsia="ar-SA"/>
        </w:rPr>
        <w:t xml:space="preserve">) se presenten como simple condiciones. </w:t>
      </w:r>
    </w:p>
    <w:p w14:paraId="66365968" w14:textId="77777777"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p>
    <w:p w14:paraId="78B7C6DD" w14:textId="1E5B7D5E"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MX" w:eastAsia="ar-SA"/>
        </w:rPr>
        <w:t>Esto es, para que opere la exclusión es suficiente que la circunstancia contractualmente prevista como exclusión, preexista o coexista con las demás causas que son consideradas como las que directamente producen el riesgo cubierto (fallecimiento).</w:t>
      </w:r>
    </w:p>
    <w:p w14:paraId="02B8C9FE" w14:textId="4FB5B645"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Pr>
          <w:rFonts w:ascii="Times New Roman" w:hAnsi="Times New Roman"/>
          <w:sz w:val="24"/>
        </w:rPr>
        <w:t xml:space="preserve">Tal como consta en la Historia Clínica, la asegurada ingresó a la Clínica Jesús del ………………… el 25 de enero de 2024 con el diagnostico de Tumor Maligno de la Mama:</w:t>
      </w:r>
    </w:p>
    <w:p w14:paraId="4283FF29" w14:textId="4962CE48" w:rsidR="006F32CE" w:rsidRPr="006F32CE" w:rsidRDefault="006F32CE" w:rsidP="006F32CE">
      <w:pPr>
        <w:spacing w:line="240" w:lineRule="auto"/>
        <w:jc w:val="center"/>
        <w:rPr>
          <w:rFonts w:ascii="Times New Roman" w:eastAsia="Arial Unicode MS" w:hAnsi="Times New Roman" w:cs="Times New Roman"/>
          <w:sz w:val="24"/>
          <w:szCs w:val="24"/>
          <w:lang w:val="es-MX" w:eastAsia="ar-SA"/>
        </w:rPr>
      </w:pPr>
      <w:r>
        <w:rPr>
          <w:rFonts w:ascii="Times New Roman" w:hAnsi="Times New Roman"/>
          <w:sz w:val="24"/>
        </w:rPr>
        <w:t xml:space="preserve">…………………</w:t>
      </w:r>
    </w:p>
    <w:p w14:paraId="2F4EBE94" w14:textId="01636B13" w:rsidR="006F32CE" w:rsidRPr="006F32CE" w:rsidRDefault="006F32CE" w:rsidP="006F32CE">
      <w:pPr>
        <w:spacing w:line="240" w:lineRule="auto"/>
        <w:jc w:val="both"/>
        <w:rPr>
          <w:rFonts w:ascii="Times New Roman" w:eastAsia="Arial Unicode MS" w:hAnsi="Times New Roman" w:cs="Times New Roman"/>
          <w:sz w:val="24"/>
          <w:szCs w:val="24"/>
          <w:lang w:val="es-PE" w:eastAsia="ar-SA"/>
        </w:rPr>
      </w:pPr>
      <w:r w:rsidRPr="006F32CE">
        <w:rPr>
          <w:rFonts w:ascii="Times New Roman" w:eastAsia="Arial Unicode MS" w:hAnsi="Times New Roman" w:cs="Times New Roman"/>
          <w:sz w:val="24"/>
          <w:szCs w:val="24"/>
          <w:lang w:val="es-MX" w:eastAsia="ar-SA"/>
        </w:rPr>
        <w:t xml:space="preserve">Del Informe Médico emitido por el Dr. George </w:t>
      </w:r>
      <w:proofErr w:type="spellStart"/>
      <w:r w:rsidRPr="006F32CE">
        <w:rPr>
          <w:rFonts w:ascii="Times New Roman" w:eastAsia="Arial Unicode MS" w:hAnsi="Times New Roman" w:cs="Times New Roman"/>
          <w:sz w:val="24"/>
          <w:szCs w:val="24"/>
          <w:lang w:val="es-MX" w:eastAsia="ar-SA"/>
        </w:rPr>
        <w:t>Angelo</w:t>
      </w:r>
      <w:proofErr w:type="spellEnd"/>
      <w:r w:rsidRPr="006F32CE">
        <w:rPr>
          <w:rFonts w:ascii="Times New Roman" w:eastAsia="Arial Unicode MS" w:hAnsi="Times New Roman" w:cs="Times New Roman"/>
          <w:sz w:val="24"/>
          <w:szCs w:val="24"/>
          <w:lang w:val="es-MX" w:eastAsia="ar-SA"/>
        </w:rPr>
        <w:t xml:space="preserve"> Oblitas Alca se evidencia que el cáncer de mama es una enfermedad que participa como condición en toda la cadena de neoplasias que presentó la asegurada, incluyendo el </w:t>
      </w:r>
      <w:r w:rsidRPr="006F32CE">
        <w:rPr>
          <w:rFonts w:ascii="Times New Roman" w:eastAsia="Arial Unicode MS" w:hAnsi="Times New Roman" w:cs="Times New Roman"/>
          <w:sz w:val="24"/>
          <w:szCs w:val="24"/>
          <w:lang w:val="es-PE" w:eastAsia="ar-SA"/>
        </w:rPr>
        <w:t>tumor maligno secundario del encéfalo. En efecto, del diagnóstico de dicho profesional se aprecia que el Carcinoma ductal primerio de mama participa en la recaída hepática, ósea y de encéfalo de la asegurada:</w:t>
      </w:r>
    </w:p>
    <w:p w14:paraId="5B2B0C79" w14:textId="540B059D" w:rsidR="006F32CE" w:rsidRPr="006F32CE" w:rsidRDefault="006F32CE" w:rsidP="006F32CE">
      <w:pPr>
        <w:spacing w:line="240" w:lineRule="auto"/>
        <w:jc w:val="center"/>
        <w:rPr>
          <w:rFonts w:ascii="Times New Roman" w:eastAsia="Arial Unicode MS" w:hAnsi="Times New Roman" w:cs="Times New Roman"/>
          <w:sz w:val="24"/>
          <w:szCs w:val="24"/>
          <w:lang w:val="es-MX" w:eastAsia="ar-SA"/>
        </w:rPr>
      </w:pPr>
      <w:r>
        <w:rPr>
          <w:rFonts w:ascii="Times New Roman" w:hAnsi="Times New Roman"/>
          <w:sz w:val="24"/>
        </w:rPr>
        <w:t xml:space="preserve">…………………</w:t>
      </w:r>
    </w:p>
    <w:p w14:paraId="1D8A5421" w14:textId="77777777"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PE" w:eastAsia="ar-SA"/>
        </w:rPr>
        <w:t xml:space="preserve">Cabe recalcar que, en el Informe de la Unidad Oncológica Molecular, el citado oncólogo describe la </w:t>
      </w:r>
      <w:r w:rsidRPr="006F32CE">
        <w:rPr>
          <w:rFonts w:ascii="Times New Roman" w:eastAsia="Arial Unicode MS" w:hAnsi="Times New Roman" w:cs="Times New Roman"/>
          <w:sz w:val="24"/>
          <w:szCs w:val="24"/>
          <w:lang w:val="es-MX" w:eastAsia="ar-SA"/>
        </w:rPr>
        <w:t>cadena de neoplasias concurrentes o sucesivos que se presentan como desencadenadas por el cáncer primario de mama:</w:t>
      </w:r>
    </w:p>
    <w:p w14:paraId="5ECA251E" w14:textId="087C02DD" w:rsidR="006F32CE" w:rsidRPr="006F32CE" w:rsidRDefault="006F32CE" w:rsidP="006F32CE">
      <w:pPr>
        <w:spacing w:line="240" w:lineRule="auto"/>
        <w:jc w:val="center"/>
        <w:rPr>
          <w:rFonts w:ascii="Times New Roman" w:eastAsia="Arial Unicode MS" w:hAnsi="Times New Roman" w:cs="Times New Roman"/>
          <w:sz w:val="24"/>
          <w:szCs w:val="24"/>
          <w:lang w:val="es-MX" w:eastAsia="ar-SA"/>
        </w:rPr>
      </w:pPr>
      <w:r>
        <w:rPr>
          <w:rFonts w:ascii="Times New Roman" w:hAnsi="Times New Roman"/>
          <w:sz w:val="24"/>
        </w:rPr>
        <w:t xml:space="preserve">…………………</w:t>
      </w:r>
    </w:p>
    <w:p w14:paraId="0BFED368" w14:textId="77777777"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p>
    <w:p w14:paraId="4A00F8A6" w14:textId="77777777"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p>
    <w:p w14:paraId="13AE939A" w14:textId="4FAEAE05" w:rsidR="006F32CE" w:rsidRPr="006F32CE" w:rsidRDefault="006F32CE" w:rsidP="006F32CE">
      <w:pPr>
        <w:spacing w:line="240" w:lineRule="auto"/>
        <w:jc w:val="center"/>
        <w:rPr>
          <w:rFonts w:ascii="Times New Roman" w:eastAsia="Arial Unicode MS" w:hAnsi="Times New Roman" w:cs="Times New Roman"/>
          <w:sz w:val="24"/>
          <w:szCs w:val="24"/>
          <w:lang w:val="es-MX" w:eastAsia="ar-SA"/>
        </w:rPr>
      </w:pPr>
      <w:r>
        <w:rPr>
          <w:rFonts w:ascii="Times New Roman" w:hAnsi="Times New Roman"/>
          <w:sz w:val="24"/>
        </w:rPr>
        <w:t xml:space="preserve">…………………</w:t>
      </w:r>
    </w:p>
    <w:p w14:paraId="4C441FA1" w14:textId="1ECD08FE"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MX" w:eastAsia="ar-SA"/>
        </w:rPr>
        <w:t xml:space="preserve">En virtud de esos antecedentes médicos, este Colegiado tiene la convicción racional que, en el presente caso, el cáncer de mama que padecía la asegurada fue una condición que desencadenó las diversas neoplasias en otros órganos, en particular en el encéfalo, que finalmente provocó la muerte. </w:t>
      </w:r>
    </w:p>
    <w:p w14:paraId="4003E835" w14:textId="205BA41F" w:rsidR="006F32CE" w:rsidRPr="006F32CE" w:rsidRDefault="006F32CE" w:rsidP="006F32CE">
      <w:pPr>
        <w:spacing w:line="240" w:lineRule="auto"/>
        <w:jc w:val="both"/>
        <w:rPr>
          <w:rFonts w:ascii="Times New Roman" w:eastAsia="Arial Unicode MS" w:hAnsi="Times New Roman" w:cs="Times New Roman"/>
          <w:sz w:val="24"/>
          <w:szCs w:val="24"/>
          <w:lang w:val="es-MX" w:eastAsia="ar-SA"/>
        </w:rPr>
      </w:pPr>
      <w:r w:rsidRPr="006F32CE">
        <w:rPr>
          <w:rFonts w:ascii="Times New Roman" w:eastAsia="Arial Unicode MS" w:hAnsi="Times New Roman" w:cs="Times New Roman"/>
          <w:sz w:val="24"/>
          <w:szCs w:val="24"/>
          <w:lang w:val="es-MX" w:eastAsia="ar-SA"/>
        </w:rPr>
        <w:t>En ese sentido, tal como ha sido redactada la cláusula en la póliza, ésta no atribuye como única causa del siniestro (fallecimiento) al último suceso con el que aparece conectado dicho riesgo asegurado de manera directa (</w:t>
      </w:r>
      <w:r w:rsidRPr="006F32CE">
        <w:rPr>
          <w:rFonts w:ascii="Times New Roman" w:eastAsia="Arial Unicode MS" w:hAnsi="Times New Roman" w:cs="Times New Roman"/>
          <w:sz w:val="24"/>
          <w:szCs w:val="24"/>
          <w:lang w:val="es-PE" w:eastAsia="ar-SA"/>
        </w:rPr>
        <w:t>tumor maligno secundario del encéfalo)</w:t>
      </w:r>
      <w:r w:rsidRPr="006F32CE">
        <w:rPr>
          <w:rFonts w:ascii="Times New Roman" w:eastAsia="Arial Unicode MS" w:hAnsi="Times New Roman" w:cs="Times New Roman"/>
          <w:sz w:val="24"/>
          <w:szCs w:val="24"/>
          <w:lang w:val="es-MX" w:eastAsia="ar-SA"/>
        </w:rPr>
        <w:t>, sino que incluye también como exclusión a las causas indirectas que participan en la materialización del riesgo, como es el caso del cáncer primario de mama.</w:t>
      </w:r>
    </w:p>
    <w:p w14:paraId="45BA4A26" w14:textId="78AABE47" w:rsidR="006F32CE" w:rsidRPr="006F32CE" w:rsidRDefault="006F32CE" w:rsidP="006F32CE">
      <w:pPr>
        <w:spacing w:line="240" w:lineRule="auto"/>
        <w:jc w:val="both"/>
        <w:rPr>
          <w:rFonts w:ascii="Times New Roman" w:eastAsia="Arial Unicode MS" w:hAnsi="Times New Roman" w:cs="Times New Roman"/>
          <w:bCs/>
          <w:sz w:val="24"/>
          <w:szCs w:val="24"/>
          <w:lang w:val="es-PE" w:eastAsia="ar-SA"/>
        </w:rPr>
      </w:pPr>
      <w:r w:rsidRPr="006F32CE">
        <w:rPr>
          <w:rFonts w:ascii="Times New Roman" w:eastAsia="Arial Unicode MS" w:hAnsi="Times New Roman" w:cs="Times New Roman"/>
          <w:sz w:val="24"/>
          <w:szCs w:val="24"/>
          <w:lang w:val="es-PE" w:eastAsia="ar-SA"/>
        </w:rPr>
        <w:t>En ese estado de la impugnación, esta Defensoría forma convicción que</w:t>
      </w:r>
      <w:r w:rsidRPr="006F32CE">
        <w:rPr>
          <w:rFonts w:ascii="Times New Roman" w:eastAsia="Arial Unicode MS" w:hAnsi="Times New Roman" w:cs="Times New Roman"/>
          <w:bCs/>
          <w:sz w:val="24"/>
          <w:szCs w:val="24"/>
          <w:lang w:val="es-PE" w:eastAsia="ar-SA"/>
        </w:rPr>
        <w:t xml:space="preserve">, atendiendo a las pruebas existentes en autos, se encuentra que el rechazo de cobertura es legítimo y la reclamación es infundada. </w:t>
      </w:r>
    </w:p>
    <w:p w14:paraId="16BB6CBF" w14:textId="77777777" w:rsidR="006F32CE" w:rsidRPr="006F32CE" w:rsidRDefault="006F32CE" w:rsidP="006F32CE">
      <w:pPr>
        <w:spacing w:line="240" w:lineRule="auto"/>
        <w:jc w:val="both"/>
        <w:rPr>
          <w:rFonts w:ascii="Times New Roman" w:eastAsia="Arial Unicode MS" w:hAnsi="Times New Roman" w:cs="Times New Roman"/>
          <w:sz w:val="24"/>
          <w:szCs w:val="24"/>
          <w:lang w:val="es-ES" w:eastAsia="ar-SA"/>
        </w:rPr>
      </w:pPr>
      <w:r w:rsidRPr="006F32CE">
        <w:rPr>
          <w:rFonts w:ascii="Times New Roman" w:eastAsia="Arial Unicode MS" w:hAnsi="Times New Roman" w:cs="Times New Roman"/>
          <w:b/>
          <w:sz w:val="24"/>
          <w:szCs w:val="24"/>
          <w:u w:val="single"/>
          <w:lang w:val="es-ES" w:eastAsia="ar-SA"/>
        </w:rPr>
        <w:t>TERCERO</w:t>
      </w:r>
      <w:r w:rsidRPr="006F32CE">
        <w:rPr>
          <w:rFonts w:ascii="Times New Roman" w:eastAsia="Arial Unicode MS" w:hAnsi="Times New Roman" w:cs="Times New Roman"/>
          <w:b/>
          <w:sz w:val="24"/>
          <w:szCs w:val="24"/>
          <w:lang w:val="es-ES" w:eastAsia="ar-SA"/>
        </w:rPr>
        <w:t>:</w:t>
      </w:r>
      <w:r w:rsidRPr="006F32CE">
        <w:rPr>
          <w:rFonts w:ascii="Times New Roman" w:eastAsia="Arial Unicode MS" w:hAnsi="Times New Roman" w:cs="Times New Roman"/>
          <w:sz w:val="24"/>
          <w:szCs w:val="24"/>
          <w:lang w:val="es-ES" w:eastAsia="ar-SA"/>
        </w:rPr>
        <w:t xml:space="preserve"> </w:t>
      </w:r>
    </w:p>
    <w:p w14:paraId="6ABE7DBC" w14:textId="67EB33EE" w:rsidR="006F32CE" w:rsidRPr="006F32CE" w:rsidRDefault="006F32CE" w:rsidP="006F32CE">
      <w:pPr>
        <w:spacing w:line="240" w:lineRule="auto"/>
        <w:jc w:val="both"/>
        <w:rPr>
          <w:rFonts w:ascii="Times New Roman" w:eastAsia="Arial Unicode MS" w:hAnsi="Times New Roman" w:cs="Times New Roman"/>
          <w:sz w:val="24"/>
          <w:szCs w:val="24"/>
          <w:lang w:val="es-ES" w:eastAsia="ar-SA"/>
        </w:rPr>
      </w:pPr>
      <w:r w:rsidRPr="006F32CE">
        <w:rPr>
          <w:rFonts w:ascii="Times New Roman" w:eastAsia="Arial Unicode MS" w:hAnsi="Times New Roman" w:cs="Times New Roman"/>
          <w:sz w:val="24"/>
          <w:szCs w:val="24"/>
          <w:lang w:val="es-ES" w:eastAsia="ar-SA"/>
        </w:rPr>
        <w:t>En atención a las consideraciones precedentes, este Colegiado aprecia finalmente que existe mérito, prueba suficiente y razón objetiva para revocar la resolución recurrida.</w:t>
      </w:r>
    </w:p>
    <w:p w14:paraId="480C1CFA" w14:textId="765E4FF7" w:rsidR="006F32CE" w:rsidRPr="006F32CE" w:rsidRDefault="006F32CE" w:rsidP="006F32CE">
      <w:pPr>
        <w:spacing w:line="240" w:lineRule="auto"/>
        <w:jc w:val="both"/>
        <w:rPr>
          <w:rFonts w:ascii="Times New Roman" w:eastAsia="Arial Unicode MS" w:hAnsi="Times New Roman" w:cs="Times New Roman"/>
          <w:b/>
          <w:sz w:val="24"/>
          <w:szCs w:val="24"/>
          <w:lang w:val="es-PE" w:eastAsia="ar-SA"/>
        </w:rPr>
      </w:pPr>
      <w:r w:rsidRPr="006F32CE">
        <w:rPr>
          <w:rFonts w:ascii="Times New Roman" w:eastAsia="Arial Unicode MS" w:hAnsi="Times New Roman" w:cs="Times New Roman"/>
          <w:b/>
          <w:sz w:val="24"/>
          <w:szCs w:val="24"/>
          <w:lang w:val="es-PE" w:eastAsia="ar-SA"/>
        </w:rPr>
        <w:t>ATENDIENDO A LO EXPRESADO, CONFORME A SU REGLAMENTO, ESTE COLEGIADO RESUELVE:</w:t>
      </w:r>
    </w:p>
    <w:p w14:paraId="52ACFE4F" w14:textId="387198ED" w:rsidR="00766F0B" w:rsidRPr="006F32CE" w:rsidRDefault="006F32CE" w:rsidP="00516AF8">
      <w:pPr>
        <w:spacing w:line="240" w:lineRule="auto"/>
        <w:jc w:val="both"/>
        <w:rPr>
          <w:rFonts w:ascii="Times New Roman" w:eastAsia="Arial Unicode MS" w:hAnsi="Times New Roman" w:cs="Times New Roman"/>
          <w:sz w:val="24"/>
          <w:szCs w:val="24"/>
          <w:lang w:val="es-MX" w:eastAsia="ar-SA"/>
        </w:rPr>
      </w:pPr>
      <w:r>
        <w:rPr>
          <w:rFonts w:ascii="Times New Roman" w:hAnsi="Times New Roman"/>
          <w:sz w:val="24"/>
        </w:rPr>
        <w:t xml:space="preserve">DECLARAR FUNDADO el Recurso de Impugnación interpuesto por …………………, por consiguiente, REVOCAR la Resolución N° 003/25, por lo que se declara INFUNDADA la reclamación, quedando a salvo el derecho del reclamante de recurrir a las instancias que considere pertinentes. </w:t>
      </w:r>
    </w:p>
    <w:p w14:paraId="51EDAB4B" w14:textId="6B803FFD" w:rsidR="00B32E8A" w:rsidRPr="006F32CE" w:rsidRDefault="0091528B" w:rsidP="006F011C">
      <w:pPr>
        <w:spacing w:line="240" w:lineRule="auto"/>
        <w:jc w:val="right"/>
        <w:rPr>
          <w:rFonts w:ascii="Times New Roman" w:hAnsi="Times New Roman" w:cs="Times New Roman"/>
          <w:sz w:val="24"/>
          <w:szCs w:val="24"/>
          <w:lang w:val="es-PE"/>
        </w:rPr>
      </w:pPr>
      <w:r w:rsidRPr="006F32CE">
        <w:rPr>
          <w:rFonts w:ascii="Times New Roman" w:eastAsia="Arial Unicode MS" w:hAnsi="Times New Roman" w:cs="Times New Roman"/>
          <w:sz w:val="24"/>
          <w:szCs w:val="24"/>
          <w:lang w:val="es-PE" w:eastAsia="ar-SA"/>
        </w:rPr>
        <w:t>Lima,</w:t>
      </w:r>
      <w:r w:rsidR="00774D05" w:rsidRPr="006F32CE">
        <w:rPr>
          <w:rFonts w:ascii="Times New Roman" w:eastAsia="Arial Unicode MS" w:hAnsi="Times New Roman" w:cs="Times New Roman"/>
          <w:sz w:val="24"/>
          <w:szCs w:val="24"/>
          <w:lang w:val="es-PE" w:eastAsia="ar-SA"/>
        </w:rPr>
        <w:t xml:space="preserve"> </w:t>
      </w:r>
      <w:r w:rsidR="00682D7A" w:rsidRPr="006F32CE">
        <w:rPr>
          <w:rFonts w:ascii="Times New Roman" w:eastAsia="Arial Unicode MS" w:hAnsi="Times New Roman" w:cs="Times New Roman"/>
          <w:sz w:val="24"/>
          <w:szCs w:val="24"/>
          <w:lang w:val="es-PE" w:eastAsia="ar-SA"/>
        </w:rPr>
        <w:t>2</w:t>
      </w:r>
      <w:r w:rsidR="009A5501" w:rsidRPr="006F32CE">
        <w:rPr>
          <w:rFonts w:ascii="Times New Roman" w:eastAsia="Arial Unicode MS" w:hAnsi="Times New Roman" w:cs="Times New Roman"/>
          <w:sz w:val="24"/>
          <w:szCs w:val="24"/>
          <w:lang w:val="es-PE" w:eastAsia="ar-SA"/>
        </w:rPr>
        <w:t>2</w:t>
      </w:r>
      <w:r w:rsidR="00B8209E" w:rsidRPr="006F32CE">
        <w:rPr>
          <w:rFonts w:ascii="Times New Roman" w:eastAsia="Arial Unicode MS" w:hAnsi="Times New Roman" w:cs="Times New Roman"/>
          <w:sz w:val="24"/>
          <w:szCs w:val="24"/>
          <w:lang w:val="es-PE" w:eastAsia="ar-SA"/>
        </w:rPr>
        <w:t xml:space="preserve"> </w:t>
      </w:r>
      <w:r w:rsidR="00707C99" w:rsidRPr="006F32CE">
        <w:rPr>
          <w:rFonts w:ascii="Times New Roman" w:eastAsia="Arial Unicode MS" w:hAnsi="Times New Roman" w:cs="Times New Roman"/>
          <w:sz w:val="24"/>
          <w:szCs w:val="24"/>
          <w:lang w:val="es-PE" w:eastAsia="ar-SA"/>
        </w:rPr>
        <w:t xml:space="preserve">de </w:t>
      </w:r>
      <w:r w:rsidR="009A5501" w:rsidRPr="006F32CE">
        <w:rPr>
          <w:rFonts w:ascii="Times New Roman" w:eastAsia="Arial Unicode MS" w:hAnsi="Times New Roman" w:cs="Times New Roman"/>
          <w:sz w:val="24"/>
          <w:szCs w:val="24"/>
          <w:lang w:val="es-PE" w:eastAsia="ar-SA"/>
        </w:rPr>
        <w:t>septiembre</w:t>
      </w:r>
      <w:r w:rsidR="002756B9" w:rsidRPr="006F32CE">
        <w:rPr>
          <w:rFonts w:ascii="Times New Roman" w:eastAsia="Arial Unicode MS" w:hAnsi="Times New Roman" w:cs="Times New Roman"/>
          <w:sz w:val="24"/>
          <w:szCs w:val="24"/>
          <w:lang w:val="es-PE" w:eastAsia="ar-SA"/>
        </w:rPr>
        <w:t xml:space="preserve"> </w:t>
      </w:r>
      <w:r w:rsidR="00F06498" w:rsidRPr="006F32CE">
        <w:rPr>
          <w:rFonts w:ascii="Times New Roman" w:eastAsia="Arial Unicode MS" w:hAnsi="Times New Roman" w:cs="Times New Roman"/>
          <w:sz w:val="24"/>
          <w:szCs w:val="24"/>
          <w:lang w:val="es-PE" w:eastAsia="ar-SA"/>
        </w:rPr>
        <w:t>de 202</w:t>
      </w:r>
      <w:r w:rsidR="00AE4D37" w:rsidRPr="006F32CE">
        <w:rPr>
          <w:rFonts w:ascii="Times New Roman" w:eastAsia="Arial Unicode MS" w:hAnsi="Times New Roman" w:cs="Times New Roman"/>
          <w:sz w:val="24"/>
          <w:szCs w:val="24"/>
          <w:lang w:val="es-PE" w:eastAsia="ar-SA"/>
        </w:rPr>
        <w:t>5</w:t>
      </w:r>
      <w:r w:rsidR="00707C99" w:rsidRPr="006F32CE">
        <w:rPr>
          <w:rFonts w:ascii="Times New Roman" w:eastAsia="Times New Roman" w:hAnsi="Times New Roman" w:cs="Times New Roman"/>
          <w:sz w:val="24"/>
          <w:szCs w:val="24"/>
          <w:lang w:val="es-PE" w:eastAsia="ar-SA"/>
        </w:rPr>
        <w:t xml:space="preserve"> </w:t>
      </w:r>
    </w:p>
    <w:p w14:paraId="1B6988F6" w14:textId="77777777" w:rsidR="00A323F4" w:rsidRPr="006F32CE" w:rsidRDefault="00A323F4" w:rsidP="00657814">
      <w:pPr>
        <w:spacing w:after="0" w:line="240" w:lineRule="auto"/>
        <w:jc w:val="both"/>
        <w:rPr>
          <w:rFonts w:ascii="Times New Roman" w:hAnsi="Times New Roman" w:cs="Times New Roman"/>
          <w:b/>
          <w:bCs/>
          <w:i/>
          <w:iCs/>
          <w:sz w:val="24"/>
          <w:szCs w:val="24"/>
          <w:lang w:val="es-PE"/>
        </w:rPr>
      </w:pPr>
      <w:r w:rsidRPr="006F32C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6F32CE" w:rsidRDefault="008D26BA" w:rsidP="00657814">
      <w:pPr>
        <w:spacing w:after="0" w:line="360" w:lineRule="auto"/>
        <w:jc w:val="both"/>
        <w:rPr>
          <w:rFonts w:ascii="Times New Roman" w:hAnsi="Times New Roman" w:cs="Times New Roman"/>
          <w:b/>
          <w:bCs/>
          <w:i/>
          <w:iCs/>
          <w:sz w:val="24"/>
          <w:szCs w:val="24"/>
          <w:lang w:val="es-PE"/>
        </w:rPr>
      </w:pPr>
    </w:p>
    <w:p w14:paraId="11595A43" w14:textId="7E7674DD" w:rsidR="009A5501" w:rsidRPr="006F32CE" w:rsidRDefault="009A5501" w:rsidP="009A5501">
      <w:pPr>
        <w:spacing w:after="0" w:line="360" w:lineRule="auto"/>
        <w:jc w:val="center"/>
        <w:rPr>
          <w:rFonts w:ascii="Times New Roman" w:hAnsi="Times New Roman" w:cs="Times New Roman"/>
          <w:sz w:val="24"/>
          <w:szCs w:val="24"/>
          <w:lang w:val="es-PE"/>
        </w:rPr>
      </w:pPr>
      <w:r w:rsidRPr="006F32CE">
        <w:rPr>
          <w:rFonts w:ascii="Times New Roman" w:hAnsi="Times New Roman" w:cs="Times New Roman"/>
          <w:b/>
          <w:bCs/>
          <w:sz w:val="24"/>
          <w:szCs w:val="24"/>
        </w:rPr>
        <w:t>Antonio José Rodríguez Lobatón</w:t>
      </w:r>
      <w:r w:rsidRPr="006F32CE">
        <w:rPr>
          <w:rFonts w:ascii="Times New Roman" w:hAnsi="Times New Roman" w:cs="Times New Roman"/>
          <w:b/>
          <w:bCs/>
          <w:sz w:val="24"/>
          <w:szCs w:val="24"/>
          <w:lang w:val="es-PE"/>
        </w:rPr>
        <w:t xml:space="preserve"> – Presidente</w:t>
      </w:r>
    </w:p>
    <w:p w14:paraId="5A48D78D" w14:textId="77777777" w:rsidR="0066633A" w:rsidRPr="006F32CE" w:rsidRDefault="0066633A" w:rsidP="0066633A">
      <w:pPr>
        <w:spacing w:after="0" w:line="360" w:lineRule="auto"/>
        <w:jc w:val="center"/>
        <w:rPr>
          <w:rFonts w:ascii="Times New Roman" w:hAnsi="Times New Roman" w:cs="Times New Roman"/>
          <w:b/>
          <w:bCs/>
          <w:sz w:val="24"/>
          <w:szCs w:val="24"/>
          <w:lang w:val="es-PE"/>
        </w:rPr>
      </w:pPr>
      <w:r w:rsidRPr="006F32CE">
        <w:rPr>
          <w:rFonts w:ascii="Times New Roman" w:hAnsi="Times New Roman" w:cs="Times New Roman"/>
          <w:b/>
          <w:bCs/>
          <w:sz w:val="24"/>
          <w:szCs w:val="24"/>
          <w:lang w:val="es-PE"/>
        </w:rPr>
        <w:t>María Eugenia Valdez Fernández Baca – Vocal</w:t>
      </w:r>
    </w:p>
    <w:p w14:paraId="3DBDCF59" w14:textId="6C051CAD" w:rsidR="009A5501" w:rsidRPr="00516AF8" w:rsidRDefault="009A5501" w:rsidP="006F32CE">
      <w:pPr>
        <w:spacing w:after="0" w:line="360" w:lineRule="auto"/>
        <w:jc w:val="center"/>
        <w:rPr>
          <w:rFonts w:ascii="Times New Roman" w:hAnsi="Times New Roman" w:cs="Times New Roman"/>
          <w:b/>
          <w:bCs/>
          <w:sz w:val="24"/>
          <w:szCs w:val="24"/>
          <w:lang w:val="es-PE"/>
        </w:rPr>
      </w:pPr>
      <w:r w:rsidRPr="006F32CE">
        <w:rPr>
          <w:rFonts w:ascii="Times New Roman" w:hAnsi="Times New Roman" w:cs="Times New Roman"/>
          <w:b/>
          <w:bCs/>
          <w:sz w:val="24"/>
          <w:szCs w:val="24"/>
          <w:lang w:val="es-PE"/>
        </w:rPr>
        <w:t xml:space="preserve">Rolando Eyzaguirre </w:t>
      </w:r>
      <w:proofErr w:type="spellStart"/>
      <w:r w:rsidRPr="006F32CE">
        <w:rPr>
          <w:rFonts w:ascii="Times New Roman" w:hAnsi="Times New Roman" w:cs="Times New Roman"/>
          <w:b/>
          <w:bCs/>
          <w:sz w:val="24"/>
          <w:szCs w:val="24"/>
          <w:lang w:val="es-PE"/>
        </w:rPr>
        <w:t>Maccan</w:t>
      </w:r>
      <w:proofErr w:type="spellEnd"/>
      <w:r w:rsidRPr="006F32CE">
        <w:rPr>
          <w:rFonts w:ascii="Times New Roman" w:hAnsi="Times New Roman" w:cs="Times New Roman"/>
          <w:b/>
          <w:bCs/>
          <w:sz w:val="24"/>
          <w:szCs w:val="24"/>
          <w:lang w:val="es-PE"/>
        </w:rPr>
        <w:t xml:space="preserve"> – Vocal</w:t>
      </w: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14"/>
      <w:footerReference w:type="default" r:id="rId15"/>
      <w:headerReference w:type="first" r:id="rId18"/>
      <w:footerReference w:type="first" r:id="rId1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5B7FD" w14:textId="77777777" w:rsidR="00606B29" w:rsidRDefault="00606B29" w:rsidP="00784355">
      <w:pPr>
        <w:spacing w:after="0" w:line="240" w:lineRule="auto"/>
      </w:pPr>
      <w:r>
        <w:separator/>
      </w:r>
    </w:p>
  </w:endnote>
  <w:endnote w:type="continuationSeparator" w:id="0">
    <w:p w14:paraId="34EEDA0F" w14:textId="77777777" w:rsidR="00606B29" w:rsidRDefault="00606B29"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E6F1F" w14:textId="77777777" w:rsidR="00606B29" w:rsidRDefault="00606B29" w:rsidP="00784355">
      <w:pPr>
        <w:spacing w:after="0" w:line="240" w:lineRule="auto"/>
      </w:pPr>
      <w:r>
        <w:separator/>
      </w:r>
    </w:p>
  </w:footnote>
  <w:footnote w:type="continuationSeparator" w:id="0">
    <w:p w14:paraId="20D1214E" w14:textId="77777777" w:rsidR="00606B29" w:rsidRDefault="00606B29"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E5B6544"/>
    <w:multiLevelType w:val="hybridMultilevel"/>
    <w:tmpl w:val="7980BE00"/>
    <w:lvl w:ilvl="0" w:tplc="C4A0C4CE">
      <w:start w:val="1"/>
      <w:numFmt w:val="bullet"/>
      <w:lvlText w:val=""/>
      <w:lvlJc w:val="left"/>
      <w:pPr>
        <w:tabs>
          <w:tab w:val="num" w:pos="720"/>
        </w:tabs>
        <w:ind w:left="720" w:hanging="360"/>
      </w:pPr>
      <w:rPr>
        <w:rFonts w:ascii="Wingdings" w:hAnsi="Wingdings" w:hint="default"/>
      </w:rPr>
    </w:lvl>
    <w:lvl w:ilvl="1" w:tplc="080A0003">
      <w:start w:val="1"/>
      <w:numFmt w:val="bullet"/>
      <w:lvlText w:val="o"/>
      <w:lvlJc w:val="left"/>
      <w:pPr>
        <w:tabs>
          <w:tab w:val="num" w:pos="1440"/>
        </w:tabs>
        <w:ind w:left="1440" w:hanging="360"/>
      </w:pPr>
      <w:rPr>
        <w:rFonts w:ascii="Courier New" w:hAnsi="Courier New" w:cs="Courier New"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55456087">
    <w:abstractNumId w:val="3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7B9"/>
    <w:rsid w:val="00007954"/>
    <w:rsid w:val="00007C03"/>
    <w:rsid w:val="00010987"/>
    <w:rsid w:val="00011995"/>
    <w:rsid w:val="00013057"/>
    <w:rsid w:val="000159CC"/>
    <w:rsid w:val="00015C22"/>
    <w:rsid w:val="00015E3B"/>
    <w:rsid w:val="000167E0"/>
    <w:rsid w:val="00017572"/>
    <w:rsid w:val="000235E9"/>
    <w:rsid w:val="0002637D"/>
    <w:rsid w:val="0002733C"/>
    <w:rsid w:val="00027978"/>
    <w:rsid w:val="00027DA7"/>
    <w:rsid w:val="00030A55"/>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84A75"/>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E79B7"/>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87"/>
    <w:rsid w:val="001B75E0"/>
    <w:rsid w:val="001C052B"/>
    <w:rsid w:val="001C0A05"/>
    <w:rsid w:val="001C3A70"/>
    <w:rsid w:val="001C4A47"/>
    <w:rsid w:val="001D0EED"/>
    <w:rsid w:val="001D59D9"/>
    <w:rsid w:val="001D6136"/>
    <w:rsid w:val="001E119C"/>
    <w:rsid w:val="001E1C8C"/>
    <w:rsid w:val="001E6657"/>
    <w:rsid w:val="001F0F3A"/>
    <w:rsid w:val="001F11AB"/>
    <w:rsid w:val="001F32A4"/>
    <w:rsid w:val="00201C0D"/>
    <w:rsid w:val="00204407"/>
    <w:rsid w:val="00204C30"/>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1BA0"/>
    <w:rsid w:val="0027261F"/>
    <w:rsid w:val="00272F4F"/>
    <w:rsid w:val="0027301E"/>
    <w:rsid w:val="00274985"/>
    <w:rsid w:val="002756B9"/>
    <w:rsid w:val="002768C6"/>
    <w:rsid w:val="00276A92"/>
    <w:rsid w:val="00277667"/>
    <w:rsid w:val="002809AB"/>
    <w:rsid w:val="002830BC"/>
    <w:rsid w:val="00283E79"/>
    <w:rsid w:val="00286C15"/>
    <w:rsid w:val="002905EB"/>
    <w:rsid w:val="00290CA4"/>
    <w:rsid w:val="00294D98"/>
    <w:rsid w:val="00295828"/>
    <w:rsid w:val="0029673E"/>
    <w:rsid w:val="002A31D3"/>
    <w:rsid w:val="002A3798"/>
    <w:rsid w:val="002A3D36"/>
    <w:rsid w:val="002A4AE6"/>
    <w:rsid w:val="002A7E2E"/>
    <w:rsid w:val="002B1654"/>
    <w:rsid w:val="002B726E"/>
    <w:rsid w:val="002C2A0F"/>
    <w:rsid w:val="002C2CEC"/>
    <w:rsid w:val="002C50F4"/>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0D97"/>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0045"/>
    <w:rsid w:val="0042236E"/>
    <w:rsid w:val="00425ACB"/>
    <w:rsid w:val="00425F75"/>
    <w:rsid w:val="00426C11"/>
    <w:rsid w:val="00440BC2"/>
    <w:rsid w:val="00442879"/>
    <w:rsid w:val="00444232"/>
    <w:rsid w:val="00444DE9"/>
    <w:rsid w:val="004551A3"/>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358C"/>
    <w:rsid w:val="004B51ED"/>
    <w:rsid w:val="004C1C34"/>
    <w:rsid w:val="004C34ED"/>
    <w:rsid w:val="004C51EC"/>
    <w:rsid w:val="004C5A91"/>
    <w:rsid w:val="004C6A9B"/>
    <w:rsid w:val="004D05F2"/>
    <w:rsid w:val="004E0A1D"/>
    <w:rsid w:val="004E65DD"/>
    <w:rsid w:val="004F0319"/>
    <w:rsid w:val="004F1255"/>
    <w:rsid w:val="004F3501"/>
    <w:rsid w:val="004F549E"/>
    <w:rsid w:val="004F7CF6"/>
    <w:rsid w:val="00502368"/>
    <w:rsid w:val="00504C79"/>
    <w:rsid w:val="005112A3"/>
    <w:rsid w:val="00516293"/>
    <w:rsid w:val="00516AF8"/>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4974"/>
    <w:rsid w:val="00605902"/>
    <w:rsid w:val="00606105"/>
    <w:rsid w:val="00606B29"/>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633A"/>
    <w:rsid w:val="006664AB"/>
    <w:rsid w:val="00667A13"/>
    <w:rsid w:val="00671DB5"/>
    <w:rsid w:val="00675A80"/>
    <w:rsid w:val="006764A9"/>
    <w:rsid w:val="006768BB"/>
    <w:rsid w:val="0067765F"/>
    <w:rsid w:val="00680D8A"/>
    <w:rsid w:val="00682D7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C6A0B"/>
    <w:rsid w:val="006D2BA9"/>
    <w:rsid w:val="006D397E"/>
    <w:rsid w:val="006E2366"/>
    <w:rsid w:val="006E4547"/>
    <w:rsid w:val="006E5BE6"/>
    <w:rsid w:val="006F011C"/>
    <w:rsid w:val="006F300D"/>
    <w:rsid w:val="006F32CE"/>
    <w:rsid w:val="006F36EF"/>
    <w:rsid w:val="006F47A8"/>
    <w:rsid w:val="006F4986"/>
    <w:rsid w:val="006F646A"/>
    <w:rsid w:val="006F6CBD"/>
    <w:rsid w:val="0070030F"/>
    <w:rsid w:val="00701598"/>
    <w:rsid w:val="00701639"/>
    <w:rsid w:val="00701893"/>
    <w:rsid w:val="00703430"/>
    <w:rsid w:val="00704A95"/>
    <w:rsid w:val="00706392"/>
    <w:rsid w:val="00706A28"/>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66F0B"/>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790"/>
    <w:rsid w:val="007A7E93"/>
    <w:rsid w:val="007A7F95"/>
    <w:rsid w:val="007B1018"/>
    <w:rsid w:val="007B2721"/>
    <w:rsid w:val="007B3518"/>
    <w:rsid w:val="007B3958"/>
    <w:rsid w:val="007C14D0"/>
    <w:rsid w:val="007C213D"/>
    <w:rsid w:val="007C4D67"/>
    <w:rsid w:val="007C4E10"/>
    <w:rsid w:val="007C62D6"/>
    <w:rsid w:val="007C69FE"/>
    <w:rsid w:val="007D13E3"/>
    <w:rsid w:val="007D13F3"/>
    <w:rsid w:val="007D2A4B"/>
    <w:rsid w:val="007D39D3"/>
    <w:rsid w:val="007D5BB1"/>
    <w:rsid w:val="007D7213"/>
    <w:rsid w:val="007E47CA"/>
    <w:rsid w:val="007E4E23"/>
    <w:rsid w:val="007E5917"/>
    <w:rsid w:val="007E7310"/>
    <w:rsid w:val="007F2000"/>
    <w:rsid w:val="007F22B6"/>
    <w:rsid w:val="007F38DF"/>
    <w:rsid w:val="007F74F1"/>
    <w:rsid w:val="008010D0"/>
    <w:rsid w:val="008020A1"/>
    <w:rsid w:val="0080698B"/>
    <w:rsid w:val="00812473"/>
    <w:rsid w:val="00816B3F"/>
    <w:rsid w:val="0081754D"/>
    <w:rsid w:val="008177B9"/>
    <w:rsid w:val="00817F65"/>
    <w:rsid w:val="00821801"/>
    <w:rsid w:val="008246F7"/>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764B2"/>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0335B"/>
    <w:rsid w:val="009117F7"/>
    <w:rsid w:val="009127A6"/>
    <w:rsid w:val="0091528B"/>
    <w:rsid w:val="009157B1"/>
    <w:rsid w:val="00916028"/>
    <w:rsid w:val="00917CAF"/>
    <w:rsid w:val="009200AC"/>
    <w:rsid w:val="009271BE"/>
    <w:rsid w:val="009272D7"/>
    <w:rsid w:val="009305A8"/>
    <w:rsid w:val="00933532"/>
    <w:rsid w:val="00933FD4"/>
    <w:rsid w:val="00942733"/>
    <w:rsid w:val="00942B53"/>
    <w:rsid w:val="00943343"/>
    <w:rsid w:val="00946694"/>
    <w:rsid w:val="00950AD3"/>
    <w:rsid w:val="00951B99"/>
    <w:rsid w:val="00951CDB"/>
    <w:rsid w:val="00952F86"/>
    <w:rsid w:val="00955C03"/>
    <w:rsid w:val="00956309"/>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501"/>
    <w:rsid w:val="009A5B27"/>
    <w:rsid w:val="009A6404"/>
    <w:rsid w:val="009A701F"/>
    <w:rsid w:val="009A7E68"/>
    <w:rsid w:val="009B29C9"/>
    <w:rsid w:val="009B4291"/>
    <w:rsid w:val="009B4F3F"/>
    <w:rsid w:val="009B559E"/>
    <w:rsid w:val="009C0809"/>
    <w:rsid w:val="009C09EF"/>
    <w:rsid w:val="009C0D47"/>
    <w:rsid w:val="009C1066"/>
    <w:rsid w:val="009C1372"/>
    <w:rsid w:val="009C29C6"/>
    <w:rsid w:val="009C4779"/>
    <w:rsid w:val="009C4791"/>
    <w:rsid w:val="009C5373"/>
    <w:rsid w:val="009C6404"/>
    <w:rsid w:val="009D3B98"/>
    <w:rsid w:val="009D56D8"/>
    <w:rsid w:val="009D6055"/>
    <w:rsid w:val="009D63E7"/>
    <w:rsid w:val="009D7BF6"/>
    <w:rsid w:val="009E05BF"/>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D7BB3"/>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4366"/>
    <w:rsid w:val="00C8675B"/>
    <w:rsid w:val="00C86CD7"/>
    <w:rsid w:val="00C86F17"/>
    <w:rsid w:val="00C9376B"/>
    <w:rsid w:val="00C9581A"/>
    <w:rsid w:val="00C960BE"/>
    <w:rsid w:val="00C9791B"/>
    <w:rsid w:val="00CA27CB"/>
    <w:rsid w:val="00CA3682"/>
    <w:rsid w:val="00CA718D"/>
    <w:rsid w:val="00CB44BB"/>
    <w:rsid w:val="00CB7DDC"/>
    <w:rsid w:val="00CC4AEF"/>
    <w:rsid w:val="00CC6C0C"/>
    <w:rsid w:val="00CC719D"/>
    <w:rsid w:val="00CD4BE8"/>
    <w:rsid w:val="00CE2834"/>
    <w:rsid w:val="00CF158B"/>
    <w:rsid w:val="00CF31C5"/>
    <w:rsid w:val="00CF51E2"/>
    <w:rsid w:val="00CF55D6"/>
    <w:rsid w:val="00CF6484"/>
    <w:rsid w:val="00CF7839"/>
    <w:rsid w:val="00CF78D3"/>
    <w:rsid w:val="00CF7F8C"/>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185"/>
    <w:rsid w:val="00D76C43"/>
    <w:rsid w:val="00D810EC"/>
    <w:rsid w:val="00D835B6"/>
    <w:rsid w:val="00D84464"/>
    <w:rsid w:val="00D9001E"/>
    <w:rsid w:val="00D95CD0"/>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E75CC"/>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3817"/>
    <w:rsid w:val="00E64057"/>
    <w:rsid w:val="00E66AFF"/>
    <w:rsid w:val="00E6771C"/>
    <w:rsid w:val="00E70381"/>
    <w:rsid w:val="00E70F8F"/>
    <w:rsid w:val="00E73DEF"/>
    <w:rsid w:val="00E7512C"/>
    <w:rsid w:val="00E80D65"/>
    <w:rsid w:val="00E91723"/>
    <w:rsid w:val="00E93A0B"/>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4B4D"/>
    <w:rsid w:val="00EE556A"/>
    <w:rsid w:val="00EE6211"/>
    <w:rsid w:val="00EE6D21"/>
    <w:rsid w:val="00EF011B"/>
    <w:rsid w:val="00EF1116"/>
    <w:rsid w:val="00F0089C"/>
    <w:rsid w:val="00F01B55"/>
    <w:rsid w:val="00F0237B"/>
    <w:rsid w:val="00F02E9B"/>
    <w:rsid w:val="00F03708"/>
    <w:rsid w:val="00F04C50"/>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3F34"/>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293"/>
    <w:rsid w:val="00F87C6C"/>
    <w:rsid w:val="00F87E38"/>
    <w:rsid w:val="00F91A73"/>
    <w:rsid w:val="00F97EA2"/>
    <w:rsid w:val="00FA1290"/>
    <w:rsid w:val="00FA155E"/>
    <w:rsid w:val="00FA2322"/>
    <w:rsid w:val="00FA31B9"/>
    <w:rsid w:val="00FA5102"/>
    <w:rsid w:val="00FA6756"/>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534">
      <w:bodyDiv w:val="1"/>
      <w:marLeft w:val="0"/>
      <w:marRight w:val="0"/>
      <w:marTop w:val="0"/>
      <w:marBottom w:val="0"/>
      <w:divBdr>
        <w:top w:val="none" w:sz="0" w:space="0" w:color="auto"/>
        <w:left w:val="none" w:sz="0" w:space="0" w:color="auto"/>
        <w:bottom w:val="none" w:sz="0" w:space="0" w:color="auto"/>
        <w:right w:val="none" w:sz="0" w:space="0" w:color="auto"/>
      </w:divBdr>
    </w:div>
    <w:div w:id="19740497">
      <w:bodyDiv w:val="1"/>
      <w:marLeft w:val="0"/>
      <w:marRight w:val="0"/>
      <w:marTop w:val="0"/>
      <w:marBottom w:val="0"/>
      <w:divBdr>
        <w:top w:val="none" w:sz="0" w:space="0" w:color="auto"/>
        <w:left w:val="none" w:sz="0" w:space="0" w:color="auto"/>
        <w:bottom w:val="none" w:sz="0" w:space="0" w:color="auto"/>
        <w:right w:val="none" w:sz="0" w:space="0" w:color="auto"/>
      </w:divBdr>
    </w:div>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2969213">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8065478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5CC62BE-7BC0-4724-932A-6824A703F3C3}"/>
</file>

<file path=customXml/itemProps3.xml><?xml version="1.0" encoding="utf-8"?>
<ds:datastoreItem xmlns:ds="http://schemas.openxmlformats.org/officeDocument/2006/customXml" ds:itemID="{6579E94E-A842-4CAF-9AF4-30619463B51D}"/>
</file>

<file path=customXml/itemProps4.xml><?xml version="1.0" encoding="utf-8"?>
<ds:datastoreItem xmlns:ds="http://schemas.openxmlformats.org/officeDocument/2006/customXml" ds:itemID="{3F45EA7D-9978-4D1C-B4E7-0341BD62E2F2}"/>
</file>

<file path=docProps/app.xml><?xml version="1.0" encoding="utf-8"?>
<Properties xmlns="http://schemas.openxmlformats.org/officeDocument/2006/extended-properties" xmlns:vt="http://schemas.openxmlformats.org/officeDocument/2006/docPropsVTypes">
  <Template>Normal</Template>
  <TotalTime>410</TotalTime>
  <Pages>6</Pages>
  <Words>1782</Words>
  <Characters>9803</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459</cp:revision>
  <cp:lastPrinted>2025-09-23T22:07:00Z</cp:lastPrinted>
  <dcterms:created xsi:type="dcterms:W3CDTF">2023-02-14T22:37:00Z</dcterms:created>
  <dcterms:modified xsi:type="dcterms:W3CDTF">2025-09-23T22:07:00Z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