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CA6640" w:rsidRDefault="00D12B6B" w:rsidP="00CA6640">
      <w:pPr>
        <w:spacing w:after="0" w:line="240" w:lineRule="auto"/>
        <w:jc w:val="center"/>
        <w:rPr>
          <w:rFonts w:ascii="Times New Roman" w:hAnsi="Times New Roman" w:cs="Times New Roman"/>
          <w:b/>
          <w:sz w:val="24"/>
          <w:szCs w:val="24"/>
          <w:lang w:val="es-PE" w:eastAsia="ar-SA"/>
        </w:rPr>
      </w:pPr>
    </w:p>
    <w:p w14:paraId="2E2FA649" w14:textId="0D8C2004" w:rsidR="00D12B6B" w:rsidRDefault="00201C0D" w:rsidP="008D0FAF">
      <w:pPr>
        <w:spacing w:after="0" w:line="240" w:lineRule="auto"/>
        <w:jc w:val="center"/>
        <w:rPr>
          <w:rFonts w:ascii="Times New Roman" w:hAnsi="Times New Roman" w:cs="Times New Roman"/>
          <w:b/>
          <w:sz w:val="24"/>
          <w:szCs w:val="24"/>
          <w:lang w:val="es-PE" w:eastAsia="ar-SA"/>
        </w:rPr>
      </w:pPr>
      <w:r w:rsidRPr="00CA6640">
        <w:rPr>
          <w:rFonts w:ascii="Times New Roman" w:hAnsi="Times New Roman" w:cs="Times New Roman"/>
          <w:b/>
          <w:sz w:val="24"/>
          <w:szCs w:val="24"/>
          <w:lang w:val="es-PE" w:eastAsia="ar-SA"/>
        </w:rPr>
        <w:t>RESOLUCIÓN</w:t>
      </w:r>
      <w:r w:rsidR="009D55E8" w:rsidRPr="00CA6640">
        <w:rPr>
          <w:rFonts w:ascii="Times New Roman" w:hAnsi="Times New Roman" w:cs="Times New Roman"/>
          <w:b/>
          <w:sz w:val="24"/>
          <w:szCs w:val="24"/>
          <w:lang w:val="es-PE" w:eastAsia="ar-SA"/>
        </w:rPr>
        <w:t xml:space="preserve"> DE IMPUGNACIÓN</w:t>
      </w:r>
      <w:r w:rsidRPr="00CA6640">
        <w:rPr>
          <w:rFonts w:ascii="Times New Roman" w:hAnsi="Times New Roman" w:cs="Times New Roman"/>
          <w:b/>
          <w:sz w:val="24"/>
          <w:szCs w:val="24"/>
          <w:lang w:val="es-PE" w:eastAsia="ar-SA"/>
        </w:rPr>
        <w:t xml:space="preserve"> </w:t>
      </w:r>
      <w:r w:rsidR="00D12B6B" w:rsidRPr="00CA6640">
        <w:rPr>
          <w:rFonts w:ascii="Times New Roman" w:hAnsi="Times New Roman" w:cs="Times New Roman"/>
          <w:b/>
          <w:sz w:val="24"/>
          <w:szCs w:val="24"/>
          <w:lang w:val="es-PE" w:eastAsia="ar-SA"/>
        </w:rPr>
        <w:t>N</w:t>
      </w:r>
      <w:r w:rsidR="00AC7800" w:rsidRPr="00CA6640">
        <w:rPr>
          <w:rFonts w:ascii="Times New Roman" w:hAnsi="Times New Roman" w:cs="Times New Roman"/>
          <w:b/>
          <w:sz w:val="24"/>
          <w:szCs w:val="24"/>
          <w:lang w:val="es-PE" w:eastAsia="ar-SA"/>
        </w:rPr>
        <w:t>°051</w:t>
      </w:r>
      <w:r w:rsidR="00AA2AA2" w:rsidRPr="00CA6640">
        <w:rPr>
          <w:rFonts w:ascii="Times New Roman" w:hAnsi="Times New Roman" w:cs="Times New Roman"/>
          <w:b/>
          <w:sz w:val="24"/>
          <w:szCs w:val="24"/>
          <w:lang w:val="es-PE" w:eastAsia="ar-SA"/>
        </w:rPr>
        <w:t>/25</w:t>
      </w:r>
    </w:p>
    <w:p w14:paraId="60650773" w14:textId="77777777" w:rsidR="008D0FAF" w:rsidRPr="008D0FAF" w:rsidRDefault="008D0FAF" w:rsidP="008D0FAF">
      <w:pPr>
        <w:spacing w:after="0" w:line="240" w:lineRule="auto"/>
        <w:jc w:val="center"/>
        <w:rPr>
          <w:rFonts w:ascii="Times New Roman" w:hAnsi="Times New Roman" w:cs="Times New Roman"/>
          <w:b/>
          <w:sz w:val="24"/>
          <w:szCs w:val="24"/>
          <w:lang w:val="es-PE" w:eastAsia="ar-SA"/>
        </w:rPr>
      </w:pPr>
    </w:p>
    <w:p w14:paraId="01A76CCD" w14:textId="025912B7" w:rsidR="009117F7" w:rsidRPr="00CA6640" w:rsidRDefault="009117F7" w:rsidP="00CA6640">
      <w:pPr>
        <w:spacing w:after="200" w:line="240" w:lineRule="auto"/>
        <w:jc w:val="both"/>
        <w:outlineLvl w:val="0"/>
        <w:rPr>
          <w:rFonts w:ascii="Times New Roman" w:hAnsi="Times New Roman" w:cs="Times New Roman"/>
          <w:b/>
          <w:bCs/>
          <w:sz w:val="24"/>
          <w:szCs w:val="24"/>
          <w:lang w:val="es-MX"/>
        </w:rPr>
      </w:pPr>
      <w:r w:rsidRPr="00CA6640">
        <w:rPr>
          <w:rFonts w:ascii="Times New Roman" w:hAnsi="Times New Roman" w:cs="Times New Roman"/>
          <w:b/>
          <w:bCs/>
          <w:sz w:val="24"/>
          <w:szCs w:val="24"/>
          <w:lang w:val="es-MX"/>
        </w:rPr>
        <w:t>VISTOS:</w:t>
      </w:r>
    </w:p>
    <w:p w14:paraId="5F3A1741" w14:textId="75100003" w:rsidR="00915DC7" w:rsidRPr="00CA6640" w:rsidRDefault="00D12B6B"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11 de agosto de 2025, ………………… (“…………………”) interpuso Recurso de Impugnación ante la Defensoría del Asegurado (“…………………”) contra la Resolución n.° 116/25 (la “Resolución Impugnada”) de fecha 21 de julio de 2025 expedida por la Sala Colegiada a través de la cual se declara FUNDADO el reclamo presentado por ………………… (“…………………”) contra ………………… para que cumpla con brindarle cobertura de acuerdo con la Póliza ………………… (la “Póliza”), respecto del siniestro ocurrido el 5 de febrero del 2024 en el que intervino el vehículo de placa de rodaje ………………… (“vehículo asegurado”).</w:t>
      </w:r>
    </w:p>
    <w:p w14:paraId="38550F60" w14:textId="694736FD" w:rsidR="00952E95" w:rsidRPr="00CA6640" w:rsidRDefault="003D1A7E"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solicita que se revoque la Resolución Impugnada sobre la base de los siguientes argumentos: a) que, reitera su postura de no brindar cobertura sobre el siniestro, toda vez que el asegurado no cumplió con realizar el pago de las primas correspondientes dentro de los plazos establecidos; b) que, conforme a lo previsto en el artículo 21 de la Ley del Contrato de Seguro, la suspensión de la cobertura por falta de pago requiere que la empresa ………………… consecuencias de no subsanar la deuda; c) que, en el presente caso, la empresa …………………, enviando oportunamente comunicaciones escritas que advertían sobre la deuda pendiente de pago al asegurado; d) que, a la fecha del siniestro la Póliza ya se encontraba en periodo de suspensión por falta de pago; e) que, a dicha fecha el asegurado había sido advertido en múltiples oportunidades sobre la situación de mora y las implicancias que ello tendría en la vigencia de su póliza, por lo que contaba con pleno conocimiento de que, de no regularizar su obligación, la Compañía no estaría en condiciones de cubrir un eventual siniestro; f) que, cumplió con todas sus obligaciones para advertir al asegurado sobre su situación: (a) comunicó oportunamente que existía una deuda pendiente por el pago de la prima, informándole por medio del correo electrónico, y, (b) estas comunicaciones no solo fueron un recordatorio del saldo pendiente, sino de un aviso completo que explicaba las consecuencias inmediatas que se producirían en caso de persistir el incumplimiento; g) que, dichos plazos de suspensión no fueron establecidos arbitrariamente, sino que responden a lo dispuesto en el artículo 7 de la Resolución SBS n.° 3198-2013, y, en el artículo 21 de la Ley del Contrato de Seguro que regulan expresamente la suspensión automática de cobertura por falta de pago y la exoneración de responsabilidad de la empresa …………………; h) que, ………………… no solo cumplió con informar, sino que lo hizo de manera exhaustiva, detallada y con suficiente anticipación, permitiéndole al asegurado conocer con exactitud el alcance de su incumplimiento y las etapas que llevarían a la suspensión y posterior cancelación de la póliza; i) que, estas comunicaciones no fueron enviadas a último momento ni en un contexto en que el asegurado no pudiera hacer frente al impago, sino que se realizaron con la debida anticipación para que este pudiera tomar las medidas necesarias para regularizar su situación; j) que, todas las comunicaciones fueron emitidas con suficiente claridad y con antelación a la fecha del siniestro, por lo que el asegurado pudo conocer el estado de su póliza y disponer del tiempo necesario para tomar las medidas que evitaran la suspensión de la cobertura; k) que, este conjunto de comunicaciones refleja la diligencia y el cumplimiento estricto por parte de la empresa …………………, demostrando que actuó de manera correcta y responsable para que el asegurado mantuviera su protección; y, l) que, no corresponde exigir a la empresa …………………, toda vez que el asegurado no cumplió con los pagos correspondientes, lo que originó la suspensión automática de la póliza, haciendo además la Compañía informado oportunamente sobre dicha situación y consecuencias.</w:t>
      </w:r>
    </w:p>
    <w:p w14:paraId="1D39BF9E" w14:textId="4951DBBA" w:rsidR="00F73A95" w:rsidRPr="00CA6640" w:rsidRDefault="002333AB"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absolvió el recurso impugnativo presentado por ………………… argumentando lo siguiente: a) que, ………………… no cumplió con su deber de informar de manera cierta la suspensión de la cobertura de la Póliza, el aviso de cobranza que la aseguradora presenta como prueba fue enviado a la dirección de correo electrónico de su anterior corredor de seguros, …………………; b) que, este medio de comunicación no solo era obsoleto, sino que además no constituía el medio acordado para tales fines, lo que contraviene la normativa vinculante sobre los avisos de cobranza; c) que, desde el 23 de abril de 2023, ………………… tenía pleno conocimiento de nuestro nuevo corredor de seguros, “Consorcio JP &amp; Asociados”, a quien se le había enviado la carta de nombramiento y las direcciones de correo electrónico para las comunicaciones pertinentes; d) que, el artículo 25 del Reglamento de transparencia de información y contratación de seguros es claro al establecer que todas las comunicaciones, referidas a la póliza intermediada, que corresponda cursar al contratante y/o asegurado deben remitirse en copia al corredor de seguros que haya sido designado a través de la carta de nombramiento; e) que, al enviar el aviso a una dirección desactualizada, ………………… incumplió la normativa vigente y el principio de máxima buena fe que rige los contratos de seguros; f) que, …………………, no ha presentado prueba que verifique la remisión de los avisos de cobranza a la dirección domiciliaria establecida en la Póliza, omisión que contraviene lo dispuesto en el artículo 21 de la Ley del Contrato de Seguro, en concordancia con lo establecido en el artículo 7 del Reglamento de pago de primas de pólizas de seguro, que exige a la aseguradora comunicar de manera cierta al asegurado la suspensión de la cobertura utilizando los medios y la dirección previamente acordados; g) que, ………………… no realizó una comunicación válida y cierta sobre la suspensión de la cobertura, contradiciendo su afirmación sobre que “informó de manera exhaustiva, detallada y con suficiente anticipación” como han sustentado en su recurso; h) que, la Póliza se encontraba plenamente vigente al momento del siniestro, por lo tanto, la decisión de ………………… de rechazar la cobertura no fue legítima, y el reclamo fue correctamente declarado fundado; e, i) solicita que se mantenga el fallo de la Resolución n.° 116/25 en todos sus extremos, se declare infundado el Recurso de Impugnación de la aseguradora, y se ordene a ………………… el pago de PEN 36,000 (treinta y seis mil soles y 00/100) por concepto de transacciones extrajudiciales para indemnizar a los ocupantes del vehículo tercero.</w:t>
      </w:r>
    </w:p>
    <w:p w14:paraId="7441012C" w14:textId="79DB9370" w:rsidR="00A90707" w:rsidRPr="00CA6640" w:rsidRDefault="00A90707" w:rsidP="00CA6640">
      <w:pPr>
        <w:spacing w:after="200" w:line="240" w:lineRule="auto"/>
        <w:jc w:val="both"/>
        <w:outlineLvl w:val="0"/>
        <w:rPr>
          <w:rFonts w:ascii="Times New Roman" w:hAnsi="Times New Roman" w:cs="Times New Roman"/>
          <w:b/>
          <w:bCs/>
          <w:sz w:val="24"/>
          <w:szCs w:val="24"/>
          <w:lang w:val="es-MX"/>
        </w:rPr>
      </w:pPr>
      <w:r w:rsidRPr="00CA6640">
        <w:rPr>
          <w:rFonts w:ascii="Times New Roman" w:hAnsi="Times New Roman" w:cs="Times New Roman"/>
          <w:b/>
          <w:bCs/>
          <w:sz w:val="24"/>
          <w:szCs w:val="24"/>
          <w:lang w:val="es-MX"/>
        </w:rPr>
        <w:t>CONSIDERANDO:</w:t>
      </w:r>
    </w:p>
    <w:p w14:paraId="5B38040C" w14:textId="22707AE1" w:rsidR="00142F5B" w:rsidRPr="00CA6640" w:rsidRDefault="00A90707"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  </w:t>
      </w:r>
    </w:p>
    <w:p w14:paraId="7918B6A4" w14:textId="03751DBF" w:rsidR="00142F5B" w:rsidRPr="00CA6640" w:rsidRDefault="00142F5B"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empresa ………………… resuelto por la Sala Colegiada de esta Defensoría.</w:t>
      </w:r>
    </w:p>
    <w:p w14:paraId="07084239" w14:textId="21AD1E84" w:rsidR="007906F7" w:rsidRPr="00CA6640" w:rsidRDefault="00206378"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Que, a través del recurso impugnativo, la empresa ………………… Sala Colegiada, pues considera que la Resolución Impugnada debió tomar en cuenta de forma resumida lo siguiente: (i) que el asegurado no cumplió con realizar el pago de las primas correspondientes dentro de los plazos establecidos; y, (ii) que ………………… cumplió con enviar oportunamente una serie de comunicaciones escritas que advertían sobre la deuda pendiente de pago al asegurado, de acuerdo con lo dispuesto en el artículo 21 de la Ley del Contrato de Seguro y el artículo 7 del Reglamento del pago de primas de pólizas de seguros, normas aplicables a la suspensión automática de cobertura por falta de pago y la exoneración de responsabilidad de la empresa …………………. </w:t>
      </w:r>
    </w:p>
    <w:p w14:paraId="6037E805" w14:textId="0F221B87" w:rsidR="007413BB" w:rsidRPr="00CA6640" w:rsidRDefault="00192535" w:rsidP="00CA6640">
      <w:pPr>
        <w:spacing w:after="200" w:line="240" w:lineRule="auto"/>
        <w:jc w:val="both"/>
        <w:rPr>
          <w:rFonts w:ascii="Times New Roman" w:hAnsi="Times New Roman" w:cs="Times New Roman"/>
          <w:sz w:val="24"/>
          <w:szCs w:val="24"/>
          <w:lang w:val="es-PE"/>
        </w:rPr>
      </w:pPr>
      <w:r w:rsidRPr="00CA6640">
        <w:rPr>
          <w:rFonts w:ascii="Times New Roman" w:hAnsi="Times New Roman" w:cs="Times New Roman"/>
          <w:b/>
          <w:bCs/>
          <w:sz w:val="24"/>
          <w:szCs w:val="24"/>
          <w:u w:val="single"/>
          <w:lang w:val="es-PE"/>
        </w:rPr>
        <w:t>TERCERO:</w:t>
      </w:r>
      <w:r w:rsidRPr="00CA6640">
        <w:rPr>
          <w:rFonts w:ascii="Times New Roman" w:hAnsi="Times New Roman" w:cs="Times New Roman"/>
          <w:sz w:val="24"/>
          <w:szCs w:val="24"/>
          <w:lang w:val="es-PE"/>
        </w:rPr>
        <w:t xml:space="preserve"> </w:t>
      </w:r>
      <w:r w:rsidR="00E4442B" w:rsidRPr="00CA6640">
        <w:rPr>
          <w:rFonts w:ascii="Times New Roman" w:hAnsi="Times New Roman" w:cs="Times New Roman"/>
          <w:sz w:val="24"/>
          <w:szCs w:val="24"/>
          <w:lang w:val="es-PE"/>
        </w:rPr>
        <w:t xml:space="preserve">Que, </w:t>
      </w:r>
      <w:r w:rsidR="00766200" w:rsidRPr="00CA6640">
        <w:rPr>
          <w:rFonts w:ascii="Times New Roman" w:hAnsi="Times New Roman" w:cs="Times New Roman"/>
          <w:sz w:val="24"/>
          <w:szCs w:val="24"/>
          <w:lang w:val="es-PE"/>
        </w:rPr>
        <w:t>este Colegiado considera que el pago puntual de las primas pactadas en un contrato de seguro es una condición fundamental</w:t>
      </w:r>
      <w:r w:rsidR="005152C7" w:rsidRPr="00CA6640">
        <w:rPr>
          <w:rFonts w:ascii="Times New Roman" w:hAnsi="Times New Roman" w:cs="Times New Roman"/>
          <w:sz w:val="24"/>
          <w:szCs w:val="24"/>
          <w:lang w:val="es-PE"/>
        </w:rPr>
        <w:t xml:space="preserve">, </w:t>
      </w:r>
      <w:r w:rsidR="007413BB" w:rsidRPr="00CA6640">
        <w:rPr>
          <w:rFonts w:ascii="Times New Roman" w:hAnsi="Times New Roman" w:cs="Times New Roman"/>
          <w:sz w:val="24"/>
          <w:szCs w:val="24"/>
          <w:lang w:val="es-PE"/>
        </w:rPr>
        <w:t xml:space="preserve">que en su defecto puede provocar la </w:t>
      </w:r>
      <w:r w:rsidR="00116708" w:rsidRPr="00CA6640">
        <w:rPr>
          <w:rFonts w:ascii="Times New Roman" w:hAnsi="Times New Roman" w:cs="Times New Roman"/>
          <w:sz w:val="24"/>
          <w:szCs w:val="24"/>
          <w:lang w:val="es-PE"/>
        </w:rPr>
        <w:t xml:space="preserve">extinción </w:t>
      </w:r>
      <w:r w:rsidR="00766200" w:rsidRPr="00CA6640">
        <w:rPr>
          <w:rFonts w:ascii="Times New Roman" w:hAnsi="Times New Roman" w:cs="Times New Roman"/>
          <w:sz w:val="24"/>
          <w:szCs w:val="24"/>
          <w:lang w:val="es-PE"/>
        </w:rPr>
        <w:t>de la póliza y</w:t>
      </w:r>
      <w:r w:rsidR="007413BB" w:rsidRPr="00CA6640">
        <w:rPr>
          <w:rFonts w:ascii="Times New Roman" w:hAnsi="Times New Roman" w:cs="Times New Roman"/>
          <w:sz w:val="24"/>
          <w:szCs w:val="24"/>
          <w:lang w:val="es-PE"/>
        </w:rPr>
        <w:t xml:space="preserve">, por lo tanto, </w:t>
      </w:r>
      <w:r w:rsidR="00766200" w:rsidRPr="00CA6640">
        <w:rPr>
          <w:rFonts w:ascii="Times New Roman" w:hAnsi="Times New Roman" w:cs="Times New Roman"/>
          <w:sz w:val="24"/>
          <w:szCs w:val="24"/>
          <w:lang w:val="es-PE"/>
        </w:rPr>
        <w:t>la pérdida de</w:t>
      </w:r>
      <w:r w:rsidR="00116708" w:rsidRPr="00CA6640">
        <w:rPr>
          <w:rFonts w:ascii="Times New Roman" w:hAnsi="Times New Roman" w:cs="Times New Roman"/>
          <w:sz w:val="24"/>
          <w:szCs w:val="24"/>
          <w:lang w:val="es-PE"/>
        </w:rPr>
        <w:t xml:space="preserve"> las</w:t>
      </w:r>
      <w:r w:rsidR="00766200" w:rsidRPr="00CA6640">
        <w:rPr>
          <w:rFonts w:ascii="Times New Roman" w:hAnsi="Times New Roman" w:cs="Times New Roman"/>
          <w:sz w:val="24"/>
          <w:szCs w:val="24"/>
          <w:lang w:val="es-PE"/>
        </w:rPr>
        <w:t xml:space="preserve"> cobertura</w:t>
      </w:r>
      <w:r w:rsidR="00116708" w:rsidRPr="00CA6640">
        <w:rPr>
          <w:rFonts w:ascii="Times New Roman" w:hAnsi="Times New Roman" w:cs="Times New Roman"/>
          <w:sz w:val="24"/>
          <w:szCs w:val="24"/>
          <w:lang w:val="es-PE"/>
        </w:rPr>
        <w:t>s</w:t>
      </w:r>
      <w:r w:rsidR="005152C7" w:rsidRPr="00CA6640">
        <w:rPr>
          <w:rFonts w:ascii="Times New Roman" w:hAnsi="Times New Roman" w:cs="Times New Roman"/>
          <w:sz w:val="24"/>
          <w:szCs w:val="24"/>
          <w:lang w:val="es-PE"/>
        </w:rPr>
        <w:t xml:space="preserve"> contenidas en la Póliza</w:t>
      </w:r>
      <w:r w:rsidR="00766200" w:rsidRPr="00CA6640">
        <w:rPr>
          <w:rFonts w:ascii="Times New Roman" w:hAnsi="Times New Roman" w:cs="Times New Roman"/>
          <w:sz w:val="24"/>
          <w:szCs w:val="24"/>
          <w:lang w:val="es-PE"/>
        </w:rPr>
        <w:t xml:space="preserve">. </w:t>
      </w:r>
      <w:r w:rsidR="007413BB" w:rsidRPr="00CA6640">
        <w:rPr>
          <w:rFonts w:ascii="Times New Roman" w:hAnsi="Times New Roman" w:cs="Times New Roman"/>
          <w:sz w:val="24"/>
          <w:szCs w:val="24"/>
          <w:lang w:val="es-PE"/>
        </w:rPr>
        <w:t xml:space="preserve">Así, este Colegiado no duda que la obligación de honrar los pagos de las primas puntualmente es una responsabilidad </w:t>
      </w:r>
      <w:r w:rsidR="00116708" w:rsidRPr="00CA6640">
        <w:rPr>
          <w:rFonts w:ascii="Times New Roman" w:hAnsi="Times New Roman" w:cs="Times New Roman"/>
          <w:sz w:val="24"/>
          <w:szCs w:val="24"/>
          <w:lang w:val="es-PE"/>
        </w:rPr>
        <w:t>exclusiva de</w:t>
      </w:r>
      <w:r w:rsidR="007413BB" w:rsidRPr="00CA6640">
        <w:rPr>
          <w:rFonts w:ascii="Times New Roman" w:hAnsi="Times New Roman" w:cs="Times New Roman"/>
          <w:sz w:val="24"/>
          <w:szCs w:val="24"/>
          <w:lang w:val="es-PE"/>
        </w:rPr>
        <w:t>l asegurado, sin embargo, las autoridades sectoriales han establecido un régimen tuitivo especial para el caso de atraso en el pago de estas contraprestaciones.</w:t>
      </w:r>
    </w:p>
    <w:p w14:paraId="13A2621D" w14:textId="07CB68C6" w:rsidR="007413BB" w:rsidRPr="00CA6640" w:rsidRDefault="007413BB"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Efectivamente, tal como se señala en la Resolución Impugnada, de conformidad con lo establecido en el artículo 21 de la Ley del Contrato de Seguro y el artículo 7 de la Resolución SBS n° 3198-2013, Reglamento de pago de primas de pólizas de seguros (“Reglamento de pago de primas”) vigente al momento del incumplimiento del pago dela prima por parte de la asegurada, se tiene lo siguiente con relación a la suspensión de la cobertura pactada por falta de pago: (i) la suspensión requiere de la materialización de una comunicación previa, sujeta a ciertos requisitos de fondo y forma; y, (ii) la suspensión opera automáticamente transcurridos treinta (30) días desde la fecha del vencimiento de la obligación, sólo si se remite la comunicación a la que hacen mención las normas citadas. </w:t>
      </w:r>
    </w:p>
    <w:p w14:paraId="6321AFC9" w14:textId="0944FC43" w:rsidR="007413BB" w:rsidRPr="00CA6640" w:rsidRDefault="006829E6"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el presente caso, no está en discusión que ………………… incumplió con su obligación consistente en el pago oportuno de las primas a su cargo, lo que es materia de debate es si la empresa ………………… al asegurado la suspensión de la cobertura por incumplimiento de dicha obligación. Es decir, la presente controversia debe determinar si obra en el expediente, material probatorio suficiente para que este Colegiado tenga la convicción que la empresa ………………… la suspensión de la cobertura de la póliza pudiera materializarse.    </w:t>
      </w:r>
    </w:p>
    <w:p w14:paraId="720D438F" w14:textId="37EE6FD2" w:rsidR="00961D32" w:rsidRPr="00CA6640" w:rsidRDefault="00E4442B"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CUARTO: Sobre el particular, ………………… ha señalado en su Recurso impugnativo que a la fecha del siniestro, la Póliza se encontraba suspendida por falta de pago, ello en la medida que cumplió con todas sus obligaciones para advertir al asegurado sobre su situación, específicamente que: (i) comunicó oportunamente que existía una deuda pendiente por el pago de la prima, informándole por medio del correo electrónico, y, (ii) estas comunicaciones no solo fueron un recordatorio del saldo pendiente, sino de un aviso completo que explicaba las consecuencias inmediatas que se producirían en caso de persistir el incumplimiento. </w:t>
      </w:r>
    </w:p>
    <w:p w14:paraId="1AD2CB67" w14:textId="4E1D3423" w:rsidR="00BC1799" w:rsidRPr="00CA6640" w:rsidRDefault="00961D32"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Cabe entonces analizar si con su escrito e impugnación, la empresa ………………… sus dichos.  </w:t>
      </w:r>
    </w:p>
    <w:p w14:paraId="29FB73D2" w14:textId="2D070184" w:rsidR="00961D32" w:rsidRPr="00CA6640" w:rsidRDefault="00961D32"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su recurso impugnativo la empresa …………………: (i) que comunicó oportunamente que existía una deuda pendiente por el pago de la prima, informando al asegurado por medio del correo electrónico lo siguiente: </w:t>
      </w:r>
    </w:p>
    <w:p w14:paraId="00D1DD61" w14:textId="7A1F62EC" w:rsidR="00961D32" w:rsidRPr="00CA6640" w:rsidRDefault="00961D32" w:rsidP="00CA6640">
      <w:pPr>
        <w:spacing w:after="200" w:line="240" w:lineRule="auto"/>
        <w:jc w:val="center"/>
        <w:rPr>
          <w:rFonts w:ascii="Times New Roman" w:hAnsi="Times New Roman" w:cs="Times New Roman"/>
          <w:sz w:val="24"/>
          <w:szCs w:val="24"/>
          <w:lang w:val="es-PE"/>
        </w:rPr>
      </w:pPr>
      <w:r>
        <w:rPr>
          <w:rFonts w:ascii="Times New Roman" w:hAnsi="Times New Roman"/>
          <w:sz w:val="24"/>
        </w:rPr>
        <w:t xml:space="preserve">…………………</w:t>
      </w:r>
    </w:p>
    <w:p w14:paraId="5BADD646" w14:textId="77777777" w:rsidR="005E6329" w:rsidRPr="00CA6640" w:rsidRDefault="005E6329" w:rsidP="00CA6640">
      <w:pPr>
        <w:spacing w:after="200" w:line="240" w:lineRule="auto"/>
        <w:jc w:val="both"/>
        <w:rPr>
          <w:rFonts w:ascii="Times New Roman" w:hAnsi="Times New Roman" w:cs="Times New Roman"/>
          <w:sz w:val="24"/>
          <w:szCs w:val="24"/>
          <w:lang w:val="es-PE"/>
        </w:rPr>
      </w:pPr>
      <w:r w:rsidRPr="00CA6640">
        <w:rPr>
          <w:rFonts w:ascii="Times New Roman" w:hAnsi="Times New Roman" w:cs="Times New Roman"/>
          <w:b/>
          <w:bCs/>
          <w:i/>
          <w:iCs/>
          <w:sz w:val="24"/>
          <w:szCs w:val="24"/>
          <w:lang w:val="es-PE"/>
        </w:rPr>
        <w:lastRenderedPageBreak/>
        <w:t>(ii)</w:t>
      </w:r>
      <w:r w:rsidRPr="00CA6640">
        <w:rPr>
          <w:rFonts w:ascii="Times New Roman" w:hAnsi="Times New Roman" w:cs="Times New Roman"/>
          <w:sz w:val="24"/>
          <w:szCs w:val="24"/>
          <w:lang w:val="es-PE"/>
        </w:rPr>
        <w:t xml:space="preserve"> </w:t>
      </w:r>
      <w:r w:rsidR="00961D32" w:rsidRPr="00CA6640">
        <w:rPr>
          <w:rFonts w:ascii="Times New Roman" w:hAnsi="Times New Roman" w:cs="Times New Roman"/>
          <w:sz w:val="24"/>
          <w:szCs w:val="24"/>
          <w:lang w:val="es-PE"/>
        </w:rPr>
        <w:t>que estas comunicaciones no solo fueron un recordatorio del</w:t>
      </w:r>
      <w:r w:rsidRPr="00CA6640">
        <w:rPr>
          <w:rFonts w:ascii="Times New Roman" w:hAnsi="Times New Roman" w:cs="Times New Roman"/>
          <w:sz w:val="24"/>
          <w:szCs w:val="24"/>
          <w:lang w:val="es-PE"/>
        </w:rPr>
        <w:t xml:space="preserve"> s</w:t>
      </w:r>
      <w:r w:rsidR="00961D32" w:rsidRPr="00CA6640">
        <w:rPr>
          <w:rFonts w:ascii="Times New Roman" w:hAnsi="Times New Roman" w:cs="Times New Roman"/>
          <w:sz w:val="24"/>
          <w:szCs w:val="24"/>
          <w:lang w:val="es-PE"/>
        </w:rPr>
        <w:t>aldo pendiente, sino un aviso completo que explicaba las consecuencias inmediatas que se</w:t>
      </w:r>
      <w:r w:rsidRPr="00CA6640">
        <w:rPr>
          <w:rFonts w:ascii="Times New Roman" w:hAnsi="Times New Roman" w:cs="Times New Roman"/>
          <w:sz w:val="24"/>
          <w:szCs w:val="24"/>
          <w:lang w:val="es-PE"/>
        </w:rPr>
        <w:t xml:space="preserve"> </w:t>
      </w:r>
      <w:r w:rsidR="00961D32" w:rsidRPr="00CA6640">
        <w:rPr>
          <w:rFonts w:ascii="Times New Roman" w:hAnsi="Times New Roman" w:cs="Times New Roman"/>
          <w:sz w:val="24"/>
          <w:szCs w:val="24"/>
          <w:lang w:val="es-PE"/>
        </w:rPr>
        <w:t>producirían en caso de persistir el incumplimiento</w:t>
      </w:r>
      <w:r w:rsidRPr="00CA6640">
        <w:rPr>
          <w:rFonts w:ascii="Times New Roman" w:hAnsi="Times New Roman" w:cs="Times New Roman"/>
          <w:sz w:val="24"/>
          <w:szCs w:val="24"/>
          <w:lang w:val="es-PE"/>
        </w:rPr>
        <w:t xml:space="preserve"> con el siguiente texto: </w:t>
      </w:r>
    </w:p>
    <w:p w14:paraId="68DF483E" w14:textId="03998FBB" w:rsidR="005E6329" w:rsidRPr="00CA6640" w:rsidRDefault="005E6329" w:rsidP="00CA6640">
      <w:pPr>
        <w:spacing w:after="200" w:line="240" w:lineRule="auto"/>
        <w:jc w:val="center"/>
        <w:rPr>
          <w:rFonts w:ascii="Times New Roman" w:hAnsi="Times New Roman" w:cs="Times New Roman"/>
          <w:sz w:val="24"/>
          <w:szCs w:val="24"/>
          <w:lang w:val="es-PE"/>
        </w:rPr>
      </w:pPr>
      <w:r>
        <w:rPr>
          <w:rFonts w:ascii="Times New Roman" w:hAnsi="Times New Roman"/>
          <w:sz w:val="24"/>
        </w:rPr>
        <w:t xml:space="preserve">…………………</w:t>
      </w:r>
    </w:p>
    <w:p w14:paraId="6FD6197A" w14:textId="3BDBD2BE" w:rsidR="005E6329" w:rsidRPr="00CA6640" w:rsidRDefault="005E6329"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(iii) Finalmente, la empresa ………………… asegurado un único aviso, sino que remitió al asegurado hasta tres comunicaciones buscando que este se mantenga plenamente informado sobre el estado de su póliza, para lo cual presenta un pantallazo de la carpeta de correos enviados de una casilla de correo electrónico donde aparecen señalados tres envíos a la dirección ………………… con el asunto JOO2_COBRANZAS_SUSPENSIÓN_PJ-V2  enviados posiblemente los días 25 de junio, 23 y 27 de octubre de 2023. </w:t>
      </w:r>
    </w:p>
    <w:p w14:paraId="6FC6746F" w14:textId="37E248CE" w:rsidR="00B23F78" w:rsidRPr="00CA6640" w:rsidRDefault="004B32A9"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QUINTO: En la Resolución Impugnada, este colegiado advirtió que ………………… no ha cumplido con presentar copia de las comunicaciones remitidas a la asegurada que permitieran la suspensión de la cobertura por falta de pago, lo que hubiera permitido verificar el cumplimiento de las obligaciones a que hacen referencia tanto el artículo 21 de la Ley del Contrato de Seguro, como del artículo 7 de Reglamento de pago de primas. </w:t>
      </w:r>
    </w:p>
    <w:p w14:paraId="62FE2B66" w14:textId="01E08052" w:rsidR="00304C79" w:rsidRPr="00CA6640" w:rsidRDefault="008D426D"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Cabe destacar sobre el particular, que la doctora………………… señala que los documentos electrónicos -como es el caso de los correos electrónicos- deben apreciarse por el juzgador bajo la libre apreciación de la prueba, tomando en cuenta la seguridad y la fiabilidad de los medios con los cuales se la envió, recibió, verificó, almacenó o comprobó si fuese el caso. </w:t>
      </w:r>
    </w:p>
    <w:p w14:paraId="6A8FB264" w14:textId="78514A4C" w:rsidR="00C55704" w:rsidRPr="00CA6640" w:rsidRDefault="00C55704"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Es decir, para que este Colegiado pueda pronunciarse respecto del nivel de cumplimiento de las obligaciones legales impuestas por la legislación para que opere la suspensión de la cobertura de la póliza por falta de pago, debe estar en la capacidad de apreciar en su integridad los documentos electrónicos enviados por la empresa …………………, pudiendo emplear para ello el auxilio de servicios de certificación legal o similares, tal como hacen diversos agentes del mercado de seguros nacional.</w:t>
      </w:r>
    </w:p>
    <w:p w14:paraId="3BE838B1" w14:textId="619C3553" w:rsidR="00586159" w:rsidRPr="00CA6640" w:rsidRDefault="004858EC"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Este Colegiado aprecia que con su recurso de apelación, ………………… se ha limitado a presentar imágenes de las comunicaciones que se habrían remitido al asegurado como consecuencia de su impago, así como una lista de los tres mensajes enviados al corredor de la asegurada, sin embargo, estos extractos no permiten comprobar en su totalidad la veracidad de las afirmaciones de ………………… en el sentido que cumplió plenamente con los requisitos de ley para la suspensión de la cobertura de la Póliza por falta de pago. </w:t>
      </w:r>
    </w:p>
    <w:p w14:paraId="40B6AAC3" w14:textId="039FF0C6" w:rsidR="008D426D" w:rsidRPr="00CA6640" w:rsidRDefault="008D426D"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lo tanto, en la medida que ………………… no ha presentado los correos electrónicos que afirma haber enviado al asegurado en sintonía con lo regulado por el artículo 21 de la Ley del Contrato de Seguro y el artículo 7 de Reglamento de pago de primas, esta Defensoría considera que su impugnación no puede ser amparada.</w:t>
      </w:r>
    </w:p>
    <w:p w14:paraId="27498C64" w14:textId="39C30533" w:rsidR="00586159" w:rsidRPr="00CA6640" w:rsidRDefault="00586159" w:rsidP="00CA6640">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SEXTO: Que, con la absolución del recurso impugnativo presentado por …………………, la asegurada solicitó a esta Defensoría que ordene a ………………… el pago de PEN 36,000 (treinta y seis mil soles y 00/100) por concepto de las transacciones extrajudiciales que habría tenido que pactar para indemnizar a los ocupantes del vehículo tercero afectado con el siniestro. </w:t>
      </w:r>
    </w:p>
    <w:p w14:paraId="42BCB7FC" w14:textId="435197B0" w:rsidR="00586159" w:rsidRPr="00CA6640" w:rsidRDefault="004F42A8" w:rsidP="00CA6640">
      <w:pPr>
        <w:spacing w:after="200" w:line="240" w:lineRule="auto"/>
        <w:jc w:val="both"/>
        <w:rPr>
          <w:rFonts w:ascii="Times New Roman" w:hAnsi="Times New Roman" w:cs="Times New Roman"/>
          <w:sz w:val="24"/>
          <w:szCs w:val="24"/>
          <w:lang w:val="es-PE"/>
        </w:rPr>
      </w:pPr>
      <w:r w:rsidRPr="00CA6640">
        <w:rPr>
          <w:rFonts w:ascii="Times New Roman" w:hAnsi="Times New Roman" w:cs="Times New Roman"/>
          <w:sz w:val="24"/>
          <w:szCs w:val="24"/>
          <w:lang w:val="es-PE"/>
        </w:rPr>
        <w:t>C</w:t>
      </w:r>
      <w:r w:rsidR="00586159" w:rsidRPr="00CA6640">
        <w:rPr>
          <w:rFonts w:ascii="Times New Roman" w:hAnsi="Times New Roman" w:cs="Times New Roman"/>
          <w:sz w:val="24"/>
          <w:szCs w:val="24"/>
          <w:lang w:val="es-PE"/>
        </w:rPr>
        <w:t>omo ha señalado esta Defensoría en numerosas oportunidades, el Reglamento resulta bastante claro en lo que respecta a l</w:t>
      </w:r>
      <w:r w:rsidR="00001989" w:rsidRPr="00CA6640">
        <w:rPr>
          <w:rFonts w:ascii="Times New Roman" w:hAnsi="Times New Roman" w:cs="Times New Roman"/>
          <w:sz w:val="24"/>
          <w:szCs w:val="24"/>
          <w:lang w:val="es-PE"/>
        </w:rPr>
        <w:t xml:space="preserve">os alcances de la </w:t>
      </w:r>
      <w:r w:rsidR="00586159" w:rsidRPr="00CA6640">
        <w:rPr>
          <w:rFonts w:ascii="Times New Roman" w:hAnsi="Times New Roman" w:cs="Times New Roman"/>
          <w:sz w:val="24"/>
          <w:szCs w:val="24"/>
          <w:lang w:val="es-PE"/>
        </w:rPr>
        <w:t>competencia de esta Defensoría, siendo que se limita a aquellas controversias que versan respecto del rechazo o liquidación de cobertura de siniestros</w:t>
      </w:r>
      <w:r w:rsidR="00CA71C3" w:rsidRPr="00CA6640">
        <w:rPr>
          <w:rStyle w:val="Refdenotaalpie"/>
          <w:rFonts w:ascii="Times New Roman" w:hAnsi="Times New Roman" w:cs="Times New Roman"/>
          <w:sz w:val="24"/>
          <w:szCs w:val="24"/>
          <w:lang w:val="es-PE"/>
        </w:rPr>
        <w:footnoteReference w:id="7"/>
      </w:r>
      <w:r w:rsidR="00586159" w:rsidRPr="00CA6640">
        <w:rPr>
          <w:rFonts w:ascii="Times New Roman" w:hAnsi="Times New Roman" w:cs="Times New Roman"/>
          <w:sz w:val="24"/>
          <w:szCs w:val="24"/>
          <w:lang w:val="es-PE"/>
        </w:rPr>
        <w:t xml:space="preserve">. </w:t>
      </w:r>
      <w:r w:rsidR="00CA71C3" w:rsidRPr="00CA6640">
        <w:rPr>
          <w:rFonts w:ascii="Times New Roman" w:hAnsi="Times New Roman" w:cs="Times New Roman"/>
          <w:sz w:val="24"/>
          <w:szCs w:val="24"/>
          <w:lang w:val="es-PE"/>
        </w:rPr>
        <w:t>Por lo tanto</w:t>
      </w:r>
      <w:r w:rsidR="00586159" w:rsidRPr="00CA6640">
        <w:rPr>
          <w:rFonts w:ascii="Times New Roman" w:hAnsi="Times New Roman" w:cs="Times New Roman"/>
          <w:sz w:val="24"/>
          <w:szCs w:val="24"/>
          <w:lang w:val="es-PE"/>
        </w:rPr>
        <w:t xml:space="preserve">, esta Defensoría </w:t>
      </w:r>
      <w:r w:rsidR="00001989" w:rsidRPr="00CA6640">
        <w:rPr>
          <w:rFonts w:ascii="Times New Roman" w:hAnsi="Times New Roman" w:cs="Times New Roman"/>
          <w:sz w:val="24"/>
          <w:szCs w:val="24"/>
          <w:lang w:val="es-PE"/>
        </w:rPr>
        <w:t xml:space="preserve">carece de </w:t>
      </w:r>
      <w:r w:rsidR="00586159" w:rsidRPr="00CA6640">
        <w:rPr>
          <w:rFonts w:ascii="Times New Roman" w:hAnsi="Times New Roman" w:cs="Times New Roman"/>
          <w:sz w:val="24"/>
          <w:szCs w:val="24"/>
          <w:lang w:val="es-PE"/>
        </w:rPr>
        <w:t>competencia respecto de pretensiones indemnizatorias por daños y perjuicios, por reembolso de gastos</w:t>
      </w:r>
      <w:r w:rsidR="00001989" w:rsidRPr="00CA6640">
        <w:rPr>
          <w:rFonts w:ascii="Times New Roman" w:hAnsi="Times New Roman" w:cs="Times New Roman"/>
          <w:sz w:val="24"/>
          <w:szCs w:val="24"/>
          <w:lang w:val="es-PE"/>
        </w:rPr>
        <w:t xml:space="preserve"> cualquiera sea su naturaleza</w:t>
      </w:r>
      <w:r w:rsidR="00586159" w:rsidRPr="00CA6640">
        <w:rPr>
          <w:rFonts w:ascii="Times New Roman" w:hAnsi="Times New Roman" w:cs="Times New Roman"/>
          <w:sz w:val="24"/>
          <w:szCs w:val="24"/>
          <w:lang w:val="es-PE"/>
        </w:rPr>
        <w:t xml:space="preserve"> o</w:t>
      </w:r>
      <w:r w:rsidR="00001989" w:rsidRPr="00CA6640">
        <w:rPr>
          <w:rFonts w:ascii="Times New Roman" w:hAnsi="Times New Roman" w:cs="Times New Roman"/>
          <w:sz w:val="24"/>
          <w:szCs w:val="24"/>
          <w:lang w:val="es-PE"/>
        </w:rPr>
        <w:t xml:space="preserve"> por la</w:t>
      </w:r>
      <w:r w:rsidR="00586159" w:rsidRPr="00CA6640">
        <w:rPr>
          <w:rFonts w:ascii="Times New Roman" w:hAnsi="Times New Roman" w:cs="Times New Roman"/>
          <w:sz w:val="24"/>
          <w:szCs w:val="24"/>
          <w:lang w:val="es-PE"/>
        </w:rPr>
        <w:t xml:space="preserve"> idoneidad de los servicios</w:t>
      </w:r>
      <w:r w:rsidR="00001989" w:rsidRPr="00CA6640">
        <w:rPr>
          <w:rFonts w:ascii="Times New Roman" w:hAnsi="Times New Roman" w:cs="Times New Roman"/>
          <w:sz w:val="24"/>
          <w:szCs w:val="24"/>
          <w:lang w:val="es-PE"/>
        </w:rPr>
        <w:t xml:space="preserve"> prestado por la empresa aseguradora</w:t>
      </w:r>
      <w:r w:rsidR="00586159" w:rsidRPr="00CA6640">
        <w:rPr>
          <w:rFonts w:ascii="Times New Roman" w:hAnsi="Times New Roman" w:cs="Times New Roman"/>
          <w:sz w:val="24"/>
          <w:szCs w:val="24"/>
          <w:lang w:val="es-PE"/>
        </w:rPr>
        <w:t xml:space="preserve">. En tal sentido, cualquier pretensión indemnizatoria </w:t>
      </w:r>
      <w:r w:rsidR="005B187B" w:rsidRPr="00CA6640">
        <w:rPr>
          <w:rFonts w:ascii="Times New Roman" w:hAnsi="Times New Roman" w:cs="Times New Roman"/>
          <w:sz w:val="24"/>
          <w:szCs w:val="24"/>
          <w:lang w:val="es-PE"/>
        </w:rPr>
        <w:t>a la que la asegurada cre</w:t>
      </w:r>
      <w:r w:rsidR="00001989" w:rsidRPr="00CA6640">
        <w:rPr>
          <w:rFonts w:ascii="Times New Roman" w:hAnsi="Times New Roman" w:cs="Times New Roman"/>
          <w:sz w:val="24"/>
          <w:szCs w:val="24"/>
          <w:lang w:val="es-PE"/>
        </w:rPr>
        <w:t>a</w:t>
      </w:r>
      <w:r w:rsidR="005B187B" w:rsidRPr="00CA6640">
        <w:rPr>
          <w:rFonts w:ascii="Times New Roman" w:hAnsi="Times New Roman" w:cs="Times New Roman"/>
          <w:sz w:val="24"/>
          <w:szCs w:val="24"/>
          <w:lang w:val="es-PE"/>
        </w:rPr>
        <w:t xml:space="preserve"> tener derecho</w:t>
      </w:r>
      <w:r w:rsidR="00001989" w:rsidRPr="00CA6640">
        <w:rPr>
          <w:rFonts w:ascii="Times New Roman" w:hAnsi="Times New Roman" w:cs="Times New Roman"/>
          <w:sz w:val="24"/>
          <w:szCs w:val="24"/>
          <w:lang w:val="es-PE"/>
        </w:rPr>
        <w:t>,</w:t>
      </w:r>
      <w:r w:rsidR="005B187B" w:rsidRPr="00CA6640">
        <w:rPr>
          <w:rFonts w:ascii="Times New Roman" w:hAnsi="Times New Roman" w:cs="Times New Roman"/>
          <w:sz w:val="24"/>
          <w:szCs w:val="24"/>
          <w:lang w:val="es-PE"/>
        </w:rPr>
        <w:t xml:space="preserve"> debe hacerse valer ante las instancias competentes. </w:t>
      </w:r>
      <w:r w:rsidR="00586159" w:rsidRPr="00CA6640">
        <w:rPr>
          <w:rFonts w:ascii="Times New Roman" w:hAnsi="Times New Roman" w:cs="Times New Roman"/>
          <w:sz w:val="24"/>
          <w:szCs w:val="24"/>
          <w:lang w:val="es-PE"/>
        </w:rPr>
        <w:t xml:space="preserve"> </w:t>
      </w:r>
    </w:p>
    <w:p w14:paraId="3356E798" w14:textId="67A5001F" w:rsidR="006E1CCD" w:rsidRDefault="004858EC" w:rsidP="00CA6640">
      <w:pPr>
        <w:spacing w:after="200" w:line="240" w:lineRule="auto"/>
        <w:jc w:val="both"/>
        <w:rPr>
          <w:rFonts w:ascii="Times New Roman" w:hAnsi="Times New Roman" w:cs="Times New Roman"/>
          <w:sz w:val="24"/>
          <w:szCs w:val="24"/>
          <w:lang w:val="es-PE"/>
        </w:rPr>
      </w:pPr>
      <w:r w:rsidRPr="00CA6640">
        <w:rPr>
          <w:rFonts w:ascii="Times New Roman" w:hAnsi="Times New Roman" w:cs="Times New Roman"/>
          <w:sz w:val="24"/>
          <w:szCs w:val="24"/>
          <w:lang w:val="es-PE"/>
        </w:rPr>
        <w:t>Q</w:t>
      </w:r>
      <w:r w:rsidR="006E1CCD" w:rsidRPr="00CA6640">
        <w:rPr>
          <w:rFonts w:ascii="Times New Roman" w:hAnsi="Times New Roman" w:cs="Times New Roman"/>
          <w:sz w:val="24"/>
          <w:szCs w:val="24"/>
          <w:lang w:val="es-PE"/>
        </w:rPr>
        <w:t>ue, en consecuencia, esta Defensoría del Asegurado concluye su apreciación razonada y conjunta al amparo de lo establecido en su Reglamento, por lo que:</w:t>
      </w:r>
    </w:p>
    <w:p w14:paraId="015BC13B" w14:textId="77777777" w:rsidR="00605614" w:rsidRDefault="00605614" w:rsidP="00CA6640">
      <w:pPr>
        <w:spacing w:after="200" w:line="240" w:lineRule="auto"/>
        <w:jc w:val="both"/>
        <w:rPr>
          <w:rFonts w:ascii="Times New Roman" w:hAnsi="Times New Roman" w:cs="Times New Roman"/>
          <w:sz w:val="24"/>
          <w:szCs w:val="24"/>
          <w:lang w:val="es-PE"/>
        </w:rPr>
      </w:pPr>
    </w:p>
    <w:p w14:paraId="73C11366" w14:textId="77777777" w:rsidR="00605614" w:rsidRPr="00CA6640" w:rsidRDefault="00605614" w:rsidP="00CA6640">
      <w:pPr>
        <w:spacing w:after="200" w:line="240" w:lineRule="auto"/>
        <w:jc w:val="both"/>
        <w:rPr>
          <w:rFonts w:ascii="Times New Roman" w:hAnsi="Times New Roman" w:cs="Times New Roman"/>
          <w:sz w:val="24"/>
          <w:szCs w:val="24"/>
          <w:lang w:val="es-PE"/>
        </w:rPr>
      </w:pPr>
    </w:p>
    <w:p w14:paraId="27FF9234" w14:textId="77777777" w:rsidR="006E1CCD" w:rsidRPr="00CA6640" w:rsidRDefault="006E1CCD" w:rsidP="00CA6640">
      <w:pPr>
        <w:spacing w:after="200" w:line="240" w:lineRule="auto"/>
        <w:jc w:val="both"/>
        <w:rPr>
          <w:rFonts w:ascii="Times New Roman" w:hAnsi="Times New Roman" w:cs="Times New Roman"/>
          <w:b/>
          <w:bCs/>
          <w:sz w:val="24"/>
          <w:szCs w:val="24"/>
          <w:u w:val="single"/>
          <w:lang w:val="es-PE"/>
        </w:rPr>
      </w:pPr>
      <w:r w:rsidRPr="00CA6640">
        <w:rPr>
          <w:rFonts w:ascii="Times New Roman" w:hAnsi="Times New Roman" w:cs="Times New Roman"/>
          <w:b/>
          <w:bCs/>
          <w:sz w:val="24"/>
          <w:szCs w:val="24"/>
          <w:lang w:val="es-PE"/>
        </w:rPr>
        <w:lastRenderedPageBreak/>
        <w:t>RESUELVE:</w:t>
      </w:r>
    </w:p>
    <w:p w14:paraId="042695AA" w14:textId="0F01ABD3" w:rsidR="00586159" w:rsidRPr="00CA6640" w:rsidRDefault="006E1CCD" w:rsidP="008D0FAF">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INFUNDADA la impugnación presentada por ………………… contra la Resolución n.° 116/25 de fecha 21 de julio de 2025.</w:t>
      </w:r>
    </w:p>
    <w:p w14:paraId="10ECF88E" w14:textId="23D06DCA" w:rsidR="00033B9E" w:rsidRPr="00605614" w:rsidRDefault="00033B9E" w:rsidP="00605614">
      <w:pPr>
        <w:spacing w:after="200" w:line="240" w:lineRule="auto"/>
        <w:jc w:val="right"/>
        <w:rPr>
          <w:rFonts w:ascii="Times New Roman" w:hAnsi="Times New Roman" w:cs="Times New Roman"/>
          <w:sz w:val="24"/>
          <w:szCs w:val="24"/>
          <w:lang w:val="es-PE"/>
        </w:rPr>
      </w:pPr>
      <w:r w:rsidRPr="00CA6640">
        <w:rPr>
          <w:rFonts w:ascii="Times New Roman" w:hAnsi="Times New Roman" w:cs="Times New Roman"/>
          <w:sz w:val="24"/>
          <w:szCs w:val="24"/>
          <w:lang w:val="es-PE"/>
        </w:rPr>
        <w:t xml:space="preserve">Lima, </w:t>
      </w:r>
      <w:r w:rsidR="00970A20">
        <w:rPr>
          <w:rFonts w:ascii="Times New Roman" w:hAnsi="Times New Roman" w:cs="Times New Roman"/>
          <w:sz w:val="24"/>
          <w:szCs w:val="24"/>
          <w:lang w:val="es-PE"/>
        </w:rPr>
        <w:t>10</w:t>
      </w:r>
      <w:r w:rsidRPr="00CA6640">
        <w:rPr>
          <w:rFonts w:ascii="Times New Roman" w:hAnsi="Times New Roman" w:cs="Times New Roman"/>
          <w:sz w:val="24"/>
          <w:szCs w:val="24"/>
          <w:lang w:val="es-PE"/>
        </w:rPr>
        <w:t xml:space="preserve"> de </w:t>
      </w:r>
      <w:r w:rsidR="00970A20">
        <w:rPr>
          <w:rFonts w:ascii="Times New Roman" w:hAnsi="Times New Roman" w:cs="Times New Roman"/>
          <w:sz w:val="24"/>
          <w:szCs w:val="24"/>
          <w:lang w:val="es-PE"/>
        </w:rPr>
        <w:t>octubre</w:t>
      </w:r>
      <w:r w:rsidR="00304C79" w:rsidRPr="00CA6640">
        <w:rPr>
          <w:rFonts w:ascii="Times New Roman" w:hAnsi="Times New Roman" w:cs="Times New Roman"/>
          <w:sz w:val="24"/>
          <w:szCs w:val="24"/>
          <w:lang w:val="es-PE"/>
        </w:rPr>
        <w:t xml:space="preserve"> </w:t>
      </w:r>
      <w:r w:rsidRPr="00CA6640">
        <w:rPr>
          <w:rFonts w:ascii="Times New Roman" w:hAnsi="Times New Roman" w:cs="Times New Roman"/>
          <w:sz w:val="24"/>
          <w:szCs w:val="24"/>
          <w:lang w:val="es-PE"/>
        </w:rPr>
        <w:t xml:space="preserve">de 2025 </w:t>
      </w:r>
    </w:p>
    <w:p w14:paraId="6E081B4D" w14:textId="77777777" w:rsidR="00033B9E" w:rsidRPr="00CA6640" w:rsidRDefault="00033B9E" w:rsidP="00CA6640">
      <w:pPr>
        <w:spacing w:after="200" w:line="240" w:lineRule="auto"/>
        <w:jc w:val="both"/>
        <w:rPr>
          <w:rFonts w:ascii="Times New Roman" w:hAnsi="Times New Roman" w:cs="Times New Roman"/>
          <w:b/>
          <w:bCs/>
          <w:i/>
          <w:iCs/>
          <w:sz w:val="24"/>
          <w:szCs w:val="24"/>
          <w:lang w:val="es-PE"/>
        </w:rPr>
      </w:pPr>
      <w:r w:rsidRPr="00CA6640">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3542BE72" w14:textId="77777777" w:rsidR="001B6661" w:rsidRPr="00CA6640" w:rsidRDefault="001B6661" w:rsidP="00CA6640">
      <w:pPr>
        <w:spacing w:after="0" w:line="360" w:lineRule="auto"/>
        <w:jc w:val="both"/>
        <w:rPr>
          <w:rFonts w:ascii="Times New Roman" w:hAnsi="Times New Roman" w:cs="Times New Roman"/>
          <w:b/>
          <w:bCs/>
          <w:i/>
          <w:iCs/>
          <w:sz w:val="24"/>
          <w:szCs w:val="24"/>
          <w:lang w:val="es-PE"/>
        </w:rPr>
      </w:pPr>
    </w:p>
    <w:p w14:paraId="480C5042" w14:textId="1A2AF43E" w:rsidR="00033B9E" w:rsidRPr="00CA6640" w:rsidRDefault="001B6661" w:rsidP="00CA6640">
      <w:pPr>
        <w:spacing w:after="0" w:line="360" w:lineRule="auto"/>
        <w:jc w:val="center"/>
        <w:rPr>
          <w:rFonts w:ascii="Times New Roman" w:hAnsi="Times New Roman" w:cs="Times New Roman"/>
          <w:b/>
          <w:bCs/>
          <w:sz w:val="24"/>
          <w:szCs w:val="24"/>
          <w:lang w:val="es-PE"/>
        </w:rPr>
      </w:pPr>
      <w:r w:rsidRPr="00CA6640">
        <w:rPr>
          <w:rFonts w:ascii="Times New Roman" w:hAnsi="Times New Roman" w:cs="Times New Roman"/>
          <w:b/>
          <w:bCs/>
          <w:sz w:val="24"/>
          <w:szCs w:val="24"/>
          <w:lang w:val="es-PE"/>
        </w:rPr>
        <w:t>Antonio Rodriguez Lobatón –</w:t>
      </w:r>
      <w:r w:rsidR="0021039A" w:rsidRPr="00CA6640">
        <w:rPr>
          <w:rFonts w:ascii="Times New Roman" w:hAnsi="Times New Roman" w:cs="Times New Roman"/>
          <w:b/>
          <w:bCs/>
          <w:sz w:val="24"/>
          <w:szCs w:val="24"/>
          <w:lang w:val="es-PE"/>
        </w:rPr>
        <w:t xml:space="preserve"> Presidente</w:t>
      </w:r>
    </w:p>
    <w:p w14:paraId="1B6FD469" w14:textId="636108CA" w:rsidR="00033B9E" w:rsidRPr="00CA6640" w:rsidRDefault="00033B9E" w:rsidP="00CA6640">
      <w:pPr>
        <w:spacing w:after="0" w:line="360" w:lineRule="auto"/>
        <w:jc w:val="center"/>
        <w:rPr>
          <w:rFonts w:ascii="Times New Roman" w:hAnsi="Times New Roman" w:cs="Times New Roman"/>
          <w:b/>
          <w:bCs/>
          <w:sz w:val="24"/>
          <w:szCs w:val="24"/>
          <w:lang w:val="es-PE"/>
        </w:rPr>
      </w:pPr>
      <w:r w:rsidRPr="00CA6640">
        <w:rPr>
          <w:rFonts w:ascii="Times New Roman" w:hAnsi="Times New Roman" w:cs="Times New Roman"/>
          <w:b/>
          <w:bCs/>
          <w:sz w:val="24"/>
          <w:szCs w:val="24"/>
          <w:lang w:val="es-PE"/>
        </w:rPr>
        <w:t xml:space="preserve">María Eugenia Valdez Fernández Baca </w:t>
      </w:r>
      <w:r w:rsidR="001B6661" w:rsidRPr="00CA6640">
        <w:rPr>
          <w:rFonts w:ascii="Times New Roman" w:hAnsi="Times New Roman" w:cs="Times New Roman"/>
          <w:b/>
          <w:bCs/>
          <w:sz w:val="24"/>
          <w:szCs w:val="24"/>
          <w:lang w:val="es-PE"/>
        </w:rPr>
        <w:t>–</w:t>
      </w:r>
      <w:r w:rsidRPr="00CA6640">
        <w:rPr>
          <w:rFonts w:ascii="Times New Roman" w:hAnsi="Times New Roman" w:cs="Times New Roman"/>
          <w:b/>
          <w:bCs/>
          <w:sz w:val="24"/>
          <w:szCs w:val="24"/>
          <w:lang w:val="es-PE"/>
        </w:rPr>
        <w:t xml:space="preserve"> Vocal</w:t>
      </w:r>
    </w:p>
    <w:p w14:paraId="48F3BFD6" w14:textId="04E61235" w:rsidR="001B6661" w:rsidRPr="00CA6640" w:rsidRDefault="001B6661" w:rsidP="00CA6640">
      <w:pPr>
        <w:spacing w:after="0" w:line="360" w:lineRule="auto"/>
        <w:jc w:val="center"/>
        <w:rPr>
          <w:rFonts w:ascii="Times New Roman" w:hAnsi="Times New Roman" w:cs="Times New Roman"/>
          <w:b/>
          <w:bCs/>
          <w:sz w:val="24"/>
          <w:szCs w:val="24"/>
          <w:lang w:val="es-PE"/>
        </w:rPr>
      </w:pPr>
      <w:r w:rsidRPr="00CA6640">
        <w:rPr>
          <w:rFonts w:ascii="Times New Roman" w:hAnsi="Times New Roman" w:cs="Times New Roman"/>
          <w:b/>
          <w:bCs/>
          <w:sz w:val="24"/>
          <w:szCs w:val="24"/>
          <w:lang w:val="es-PE"/>
        </w:rPr>
        <w:t>Rolando Eyzaguirre Maccan -</w:t>
      </w:r>
      <w:r w:rsidR="0021039A" w:rsidRPr="00CA6640">
        <w:rPr>
          <w:rFonts w:ascii="Times New Roman" w:hAnsi="Times New Roman" w:cs="Times New Roman"/>
          <w:b/>
          <w:bCs/>
          <w:sz w:val="24"/>
          <w:szCs w:val="24"/>
          <w:lang w:val="es-PE"/>
        </w:rPr>
        <w:t xml:space="preserve"> Vocal</w:t>
      </w:r>
    </w:p>
    <w:bookmarkEnd w:id="1"/>
    <w:p w14:paraId="39CA59B6" w14:textId="7F4A5968" w:rsidR="00543E68" w:rsidRDefault="00543E68" w:rsidP="00F92849">
      <w:pPr>
        <w:spacing w:after="200" w:line="240" w:lineRule="auto"/>
        <w:jc w:val="center"/>
        <w:rPr>
          <w:rFonts w:ascii="Georgia" w:hAnsi="Georgia" w:cs="Times New Roman"/>
          <w:b/>
          <w:bCs/>
          <w:sz w:val="24"/>
          <w:szCs w:val="24"/>
          <w:lang w:val="es-PE"/>
        </w:rPr>
      </w:pPr>
    </w:p>
    <w:p w14:paraId="6B1C9E8E" w14:textId="77777777" w:rsidR="00CA6640" w:rsidRDefault="00CA6640" w:rsidP="00F92849">
      <w:pPr>
        <w:spacing w:after="200" w:line="240" w:lineRule="auto"/>
        <w:jc w:val="center"/>
        <w:rPr>
          <w:rFonts w:ascii="Georgia" w:hAnsi="Georgia" w:cs="Times New Roman"/>
          <w:b/>
          <w:bCs/>
          <w:sz w:val="24"/>
          <w:szCs w:val="24"/>
          <w:lang w:val="es-PE"/>
        </w:rPr>
      </w:pPr>
    </w:p>
    <w:p w14:paraId="2F5F1A85" w14:textId="2C350904" w:rsidR="00B96782" w:rsidRDefault="00B96782" w:rsidP="00F92849">
      <w:pPr>
        <w:spacing w:after="200" w:line="240" w:lineRule="auto"/>
        <w:jc w:val="center"/>
        <w:rPr>
          <w:rFonts w:ascii="Georgia" w:hAnsi="Georgia" w:cs="Times New Roman"/>
          <w:b/>
          <w:bCs/>
          <w:sz w:val="24"/>
          <w:szCs w:val="24"/>
          <w:lang w:val="es-PE"/>
        </w:rPr>
      </w:pPr>
    </w:p>
    <w:p w14:paraId="09A7A7BD" w14:textId="7FDAA37F" w:rsidR="00001989" w:rsidRDefault="00001989" w:rsidP="00F92849">
      <w:pPr>
        <w:spacing w:after="200" w:line="240" w:lineRule="auto"/>
        <w:jc w:val="center"/>
        <w:rPr>
          <w:rFonts w:ascii="Georgia" w:hAnsi="Georgia" w:cs="Times New Roman"/>
          <w:b/>
          <w:bCs/>
          <w:sz w:val="24"/>
          <w:szCs w:val="24"/>
          <w:lang w:val="es-PE"/>
        </w:rPr>
      </w:pPr>
    </w:p>
    <w:p w14:paraId="01BF34EE" w14:textId="77777777" w:rsidR="00001989" w:rsidRPr="00F92849" w:rsidRDefault="00001989" w:rsidP="00F92849">
      <w:pPr>
        <w:spacing w:after="200" w:line="240" w:lineRule="auto"/>
        <w:jc w:val="center"/>
        <w:rPr>
          <w:rFonts w:ascii="Georgia" w:hAnsi="Georgia" w:cs="Times New Roman"/>
          <w:b/>
          <w:bCs/>
          <w:sz w:val="24"/>
          <w:szCs w:val="24"/>
          <w:lang w:val="es-PE"/>
        </w:rPr>
      </w:pPr>
    </w:p>
    <w:sectPr w:rsidR="00001989" w:rsidRPr="00F92849" w:rsidSect="002019FA">
      <w:headerReference w:type="default" r:id="rId12"/>
      <w:footerReference w:type="default" r:id="rId13"/>
      <w:headerReference w:type="first" r:id="rId16"/>
      <w:footerReference w:type="first" r:id="rId17"/>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C5598" w14:textId="77777777" w:rsidR="00621406" w:rsidRDefault="00621406" w:rsidP="00784355">
      <w:pPr>
        <w:spacing w:after="0" w:line="240" w:lineRule="auto"/>
      </w:pPr>
      <w:r>
        <w:separator/>
      </w:r>
    </w:p>
  </w:endnote>
  <w:endnote w:type="continuationSeparator" w:id="0">
    <w:p w14:paraId="6815C897" w14:textId="77777777" w:rsidR="00621406" w:rsidRDefault="0062140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rPr>
    </w:sdtEnd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13C38AB9" w:rsidR="00C671F5" w:rsidRPr="008D0FAF" w:rsidRDefault="00C671F5">
            <w:pPr>
              <w:pStyle w:val="Piedepgina"/>
              <w:jc w:val="right"/>
              <w:rPr>
                <w:rFonts w:ascii="Times New Roman" w:hAnsi="Times New Roman" w:cs="Times New Roman"/>
                <w:sz w:val="18"/>
                <w:szCs w:val="18"/>
              </w:rPr>
            </w:pPr>
            <w:r w:rsidRPr="008D0FAF">
              <w:rPr>
                <w:rFonts w:ascii="Times New Roman" w:hAnsi="Times New Roman" w:cs="Times New Roman"/>
                <w:sz w:val="18"/>
                <w:szCs w:val="18"/>
                <w:lang w:val="es-ES"/>
              </w:rPr>
              <w:t xml:space="preserve">Página </w:t>
            </w:r>
            <w:r w:rsidRPr="008D0FAF">
              <w:rPr>
                <w:rFonts w:ascii="Times New Roman" w:hAnsi="Times New Roman" w:cs="Times New Roman"/>
                <w:b/>
                <w:bCs/>
                <w:sz w:val="18"/>
                <w:szCs w:val="18"/>
              </w:rPr>
              <w:fldChar w:fldCharType="begin"/>
            </w:r>
            <w:r w:rsidRPr="008D0FAF">
              <w:rPr>
                <w:rFonts w:ascii="Times New Roman" w:hAnsi="Times New Roman" w:cs="Times New Roman"/>
                <w:b/>
                <w:bCs/>
                <w:sz w:val="18"/>
                <w:szCs w:val="18"/>
              </w:rPr>
              <w:instrText>PAGE</w:instrText>
            </w:r>
            <w:r w:rsidRPr="008D0FAF">
              <w:rPr>
                <w:rFonts w:ascii="Times New Roman" w:hAnsi="Times New Roman" w:cs="Times New Roman"/>
                <w:b/>
                <w:bCs/>
                <w:sz w:val="18"/>
                <w:szCs w:val="18"/>
              </w:rPr>
              <w:fldChar w:fldCharType="separate"/>
            </w:r>
            <w:r w:rsidRPr="008D0FAF">
              <w:rPr>
                <w:rFonts w:ascii="Times New Roman" w:hAnsi="Times New Roman" w:cs="Times New Roman"/>
                <w:b/>
                <w:bCs/>
                <w:sz w:val="18"/>
                <w:szCs w:val="18"/>
                <w:lang w:val="es-ES"/>
              </w:rPr>
              <w:t>2</w:t>
            </w:r>
            <w:r w:rsidRPr="008D0FAF">
              <w:rPr>
                <w:rFonts w:ascii="Times New Roman" w:hAnsi="Times New Roman" w:cs="Times New Roman"/>
                <w:b/>
                <w:bCs/>
                <w:sz w:val="18"/>
                <w:szCs w:val="18"/>
              </w:rPr>
              <w:fldChar w:fldCharType="end"/>
            </w:r>
            <w:r w:rsidRPr="008D0FAF">
              <w:rPr>
                <w:rFonts w:ascii="Times New Roman" w:hAnsi="Times New Roman" w:cs="Times New Roman"/>
                <w:sz w:val="18"/>
                <w:szCs w:val="18"/>
                <w:lang w:val="es-ES"/>
              </w:rPr>
              <w:t xml:space="preserve"> de </w:t>
            </w:r>
            <w:r w:rsidRPr="008D0FAF">
              <w:rPr>
                <w:rFonts w:ascii="Times New Roman" w:hAnsi="Times New Roman" w:cs="Times New Roman"/>
                <w:b/>
                <w:bCs/>
                <w:sz w:val="18"/>
                <w:szCs w:val="18"/>
              </w:rPr>
              <w:fldChar w:fldCharType="begin"/>
            </w:r>
            <w:r w:rsidRPr="008D0FAF">
              <w:rPr>
                <w:rFonts w:ascii="Times New Roman" w:hAnsi="Times New Roman" w:cs="Times New Roman"/>
                <w:b/>
                <w:bCs/>
                <w:sz w:val="18"/>
                <w:szCs w:val="18"/>
              </w:rPr>
              <w:instrText>NUMPAGES</w:instrText>
            </w:r>
            <w:r w:rsidRPr="008D0FAF">
              <w:rPr>
                <w:rFonts w:ascii="Times New Roman" w:hAnsi="Times New Roman" w:cs="Times New Roman"/>
                <w:b/>
                <w:bCs/>
                <w:sz w:val="18"/>
                <w:szCs w:val="18"/>
              </w:rPr>
              <w:fldChar w:fldCharType="separate"/>
            </w:r>
            <w:r w:rsidRPr="008D0FAF">
              <w:rPr>
                <w:rFonts w:ascii="Times New Roman" w:hAnsi="Times New Roman" w:cs="Times New Roman"/>
                <w:b/>
                <w:bCs/>
                <w:sz w:val="18"/>
                <w:szCs w:val="18"/>
                <w:lang w:val="es-ES"/>
              </w:rPr>
              <w:t>2</w:t>
            </w:r>
            <w:r w:rsidRPr="008D0FAF">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F72BD" w14:textId="77777777" w:rsidR="00621406" w:rsidRDefault="00621406" w:rsidP="00784355">
      <w:pPr>
        <w:spacing w:after="0" w:line="240" w:lineRule="auto"/>
      </w:pPr>
      <w:r>
        <w:separator/>
      </w:r>
    </w:p>
  </w:footnote>
  <w:footnote w:type="continuationSeparator" w:id="0">
    <w:p w14:paraId="729ECE01" w14:textId="77777777" w:rsidR="00621406" w:rsidRDefault="00621406" w:rsidP="00784355">
      <w:pPr>
        <w:spacing w:after="0" w:line="240" w:lineRule="auto"/>
      </w:pPr>
      <w:r>
        <w:continuationSeparator/>
      </w:r>
    </w:p>
  </w:footnote>
  <w:footnote w:id="1">
    <w:p w14:paraId="5026D32B" w14:textId="77777777" w:rsidR="001035ED" w:rsidRPr="00CA6640" w:rsidRDefault="001035ED" w:rsidP="00CA6640">
      <w:pPr>
        <w:pStyle w:val="Textonotapie"/>
        <w:tabs>
          <w:tab w:val="left" w:pos="284"/>
        </w:tabs>
        <w:spacing w:after="60"/>
        <w:ind w:left="284" w:hanging="284"/>
        <w:jc w:val="both"/>
        <w:rPr>
          <w:rFonts w:ascii="Times New Roman" w:hAnsi="Times New Roman" w:cs="Times New Roman"/>
          <w:b/>
          <w:bCs/>
          <w:sz w:val="18"/>
          <w:szCs w:val="18"/>
          <w:lang w:val="es-PE"/>
        </w:rPr>
      </w:pPr>
      <w:r w:rsidRPr="00CA6640">
        <w:rPr>
          <w:rStyle w:val="Refdenotaalpie"/>
          <w:rFonts w:ascii="Times New Roman" w:hAnsi="Times New Roman" w:cs="Times New Roman"/>
          <w:sz w:val="18"/>
          <w:szCs w:val="18"/>
          <w:lang w:val="es-PE"/>
        </w:rPr>
        <w:footnoteRef/>
      </w:r>
      <w:r w:rsidRPr="00CA6640">
        <w:rPr>
          <w:rFonts w:ascii="Times New Roman" w:hAnsi="Times New Roman" w:cs="Times New Roman"/>
          <w:sz w:val="18"/>
          <w:szCs w:val="18"/>
          <w:lang w:val="es-PE"/>
        </w:rPr>
        <w:t xml:space="preserve"> </w:t>
      </w:r>
      <w:r w:rsidRPr="00CA6640">
        <w:rPr>
          <w:rFonts w:ascii="Times New Roman" w:hAnsi="Times New Roman" w:cs="Times New Roman"/>
          <w:sz w:val="18"/>
          <w:szCs w:val="18"/>
          <w:lang w:val="es-PE"/>
        </w:rPr>
        <w:tab/>
      </w:r>
      <w:r w:rsidRPr="00CA6640">
        <w:rPr>
          <w:rFonts w:ascii="Times New Roman" w:hAnsi="Times New Roman" w:cs="Times New Roman"/>
          <w:b/>
          <w:bCs/>
          <w:sz w:val="18"/>
          <w:szCs w:val="18"/>
          <w:lang w:val="es-PE"/>
        </w:rPr>
        <w:t>Reglamento de DEFASEG</w:t>
      </w:r>
    </w:p>
    <w:p w14:paraId="7C7FF2C2" w14:textId="77777777" w:rsidR="001035ED" w:rsidRPr="00CA6640" w:rsidRDefault="001035ED" w:rsidP="00CA6640">
      <w:pPr>
        <w:pStyle w:val="Textonotapie"/>
        <w:tabs>
          <w:tab w:val="left" w:pos="284"/>
        </w:tabs>
        <w:spacing w:after="60"/>
        <w:ind w:left="284" w:hanging="284"/>
        <w:jc w:val="both"/>
        <w:rPr>
          <w:rFonts w:ascii="Times New Roman" w:hAnsi="Times New Roman" w:cs="Times New Roman"/>
          <w:b/>
          <w:bCs/>
          <w:sz w:val="18"/>
          <w:szCs w:val="18"/>
          <w:lang w:val="es-PE"/>
        </w:rPr>
      </w:pPr>
      <w:r w:rsidRPr="00CA6640">
        <w:rPr>
          <w:rFonts w:ascii="Times New Roman" w:hAnsi="Times New Roman" w:cs="Times New Roman"/>
          <w:sz w:val="18"/>
          <w:szCs w:val="18"/>
          <w:lang w:val="es-PE"/>
        </w:rPr>
        <w:tab/>
      </w:r>
      <w:r w:rsidRPr="00CA6640">
        <w:rPr>
          <w:rFonts w:ascii="Times New Roman" w:hAnsi="Times New Roman" w:cs="Times New Roman"/>
          <w:b/>
          <w:bCs/>
          <w:sz w:val="18"/>
          <w:szCs w:val="18"/>
          <w:lang w:val="es-PE"/>
        </w:rPr>
        <w:t>10. Procedimiento</w:t>
      </w:r>
    </w:p>
    <w:p w14:paraId="5390EA05" w14:textId="77777777" w:rsidR="001035ED" w:rsidRPr="00CA6640" w:rsidRDefault="001035ED"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t>(…)</w:t>
      </w:r>
    </w:p>
    <w:p w14:paraId="796EB13B" w14:textId="77777777" w:rsidR="001035ED" w:rsidRPr="00CA6640" w:rsidRDefault="001035ED"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CA6640" w:rsidRDefault="001035ED" w:rsidP="00CA6640">
      <w:pPr>
        <w:pStyle w:val="Textonotapie"/>
        <w:tabs>
          <w:tab w:val="left" w:pos="284"/>
        </w:tabs>
        <w:spacing w:after="12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04DE0498" w14:textId="7784311D" w:rsidR="004B32A9" w:rsidRPr="00CA6640" w:rsidRDefault="004B32A9" w:rsidP="00CA6640">
      <w:pPr>
        <w:pStyle w:val="Textonotapie"/>
        <w:tabs>
          <w:tab w:val="left" w:pos="284"/>
        </w:tabs>
        <w:spacing w:after="60"/>
        <w:ind w:left="284" w:hanging="284"/>
        <w:jc w:val="both"/>
        <w:rPr>
          <w:rFonts w:ascii="Times New Roman" w:hAnsi="Times New Roman" w:cs="Times New Roman"/>
          <w:b/>
          <w:bCs/>
          <w:sz w:val="18"/>
          <w:szCs w:val="18"/>
          <w:lang w:val="es-PE"/>
        </w:rPr>
      </w:pPr>
      <w:r w:rsidRPr="00CA6640">
        <w:rPr>
          <w:rStyle w:val="Refdenotaalpie"/>
          <w:rFonts w:ascii="Times New Roman" w:hAnsi="Times New Roman" w:cs="Times New Roman"/>
          <w:sz w:val="18"/>
          <w:szCs w:val="18"/>
        </w:rPr>
        <w:footnoteRef/>
      </w:r>
      <w:r w:rsidRPr="00CA6640">
        <w:rPr>
          <w:rFonts w:ascii="Times New Roman" w:hAnsi="Times New Roman" w:cs="Times New Roman"/>
          <w:sz w:val="18"/>
          <w:szCs w:val="18"/>
        </w:rPr>
        <w:t xml:space="preserve"> </w:t>
      </w:r>
      <w:r w:rsidR="00B23F78" w:rsidRPr="00CA6640">
        <w:rPr>
          <w:rFonts w:ascii="Times New Roman" w:hAnsi="Times New Roman" w:cs="Times New Roman"/>
          <w:sz w:val="18"/>
          <w:szCs w:val="18"/>
        </w:rPr>
        <w:tab/>
      </w:r>
      <w:r w:rsidRPr="00CA6640">
        <w:rPr>
          <w:rFonts w:ascii="Times New Roman" w:hAnsi="Times New Roman" w:cs="Times New Roman"/>
          <w:b/>
          <w:bCs/>
          <w:sz w:val="18"/>
          <w:szCs w:val="18"/>
          <w:lang w:val="es-PE"/>
        </w:rPr>
        <w:t xml:space="preserve">Ley del contrato de seguro señala lo siguiente: </w:t>
      </w:r>
    </w:p>
    <w:p w14:paraId="6F7DB616" w14:textId="7FF6A6FE" w:rsidR="004B32A9" w:rsidRPr="00CA6640" w:rsidRDefault="00B23F78" w:rsidP="00CA6640">
      <w:pPr>
        <w:pStyle w:val="Textonotapie"/>
        <w:tabs>
          <w:tab w:val="left" w:pos="284"/>
        </w:tabs>
        <w:spacing w:after="60"/>
        <w:ind w:left="284" w:hanging="284"/>
        <w:jc w:val="both"/>
        <w:rPr>
          <w:rFonts w:ascii="Times New Roman" w:hAnsi="Times New Roman" w:cs="Times New Roman"/>
          <w:b/>
          <w:bCs/>
          <w:sz w:val="18"/>
          <w:szCs w:val="18"/>
          <w:lang w:val="es-PE"/>
        </w:rPr>
      </w:pPr>
      <w:r w:rsidRPr="00CA6640">
        <w:rPr>
          <w:rFonts w:ascii="Times New Roman" w:hAnsi="Times New Roman" w:cs="Times New Roman"/>
          <w:b/>
          <w:bCs/>
          <w:sz w:val="18"/>
          <w:szCs w:val="18"/>
          <w:lang w:val="es-PE"/>
        </w:rPr>
        <w:tab/>
      </w:r>
      <w:r w:rsidR="004B32A9" w:rsidRPr="00CA6640">
        <w:rPr>
          <w:rFonts w:ascii="Times New Roman" w:hAnsi="Times New Roman" w:cs="Times New Roman"/>
          <w:b/>
          <w:bCs/>
          <w:sz w:val="18"/>
          <w:szCs w:val="18"/>
          <w:lang w:val="es-PE"/>
        </w:rPr>
        <w:t>Artículo 21.- Suspensión de la cobertura por incumplimiento de pago</w:t>
      </w:r>
    </w:p>
    <w:p w14:paraId="44BF6B2B" w14:textId="34715603" w:rsidR="004B32A9" w:rsidRPr="00CA6640" w:rsidRDefault="00B23F78"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sz w:val="18"/>
          <w:szCs w:val="18"/>
          <w:lang w:val="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14:paraId="706738B5" w14:textId="7AFD6EC1" w:rsidR="004B32A9" w:rsidRPr="00CA6640" w:rsidRDefault="00B23F78"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sz w:val="18"/>
          <w:szCs w:val="18"/>
          <w:lang w:val="es-PE"/>
        </w:rPr>
        <w:t>La suspensión de cobertura no es aplicable en los casos en que el contratante ha pagado, proporcionalmente, una prima igual o mayor al período corrido del contrato.</w:t>
      </w:r>
    </w:p>
    <w:p w14:paraId="58D8727F" w14:textId="23C4D5C0" w:rsidR="004B32A9" w:rsidRPr="00CA6640" w:rsidRDefault="00B23F78"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sz w:val="18"/>
          <w:szCs w:val="18"/>
          <w:lang w:val="es-PE"/>
        </w:rPr>
        <w:t>Si el asegurador no reclama el pago de la prima dentro de los noventa (90) días siguientes al vencimiento del plazo, se entiende que el contrato queda extinguido.</w:t>
      </w:r>
    </w:p>
  </w:footnote>
  <w:footnote w:id="3">
    <w:p w14:paraId="59EAB7F3" w14:textId="6736A8CB" w:rsidR="004B32A9" w:rsidRPr="00CA6640" w:rsidRDefault="004B32A9" w:rsidP="00CA6640">
      <w:pPr>
        <w:pStyle w:val="Textonotapie"/>
        <w:tabs>
          <w:tab w:val="left" w:pos="284"/>
        </w:tabs>
        <w:spacing w:after="60"/>
        <w:ind w:left="284" w:hanging="284"/>
        <w:jc w:val="both"/>
        <w:rPr>
          <w:rFonts w:ascii="Times New Roman" w:hAnsi="Times New Roman" w:cs="Times New Roman"/>
          <w:b/>
          <w:bCs/>
          <w:sz w:val="18"/>
          <w:szCs w:val="18"/>
          <w:lang w:val="es-PE"/>
        </w:rPr>
      </w:pPr>
      <w:r w:rsidRPr="00CA6640">
        <w:rPr>
          <w:rStyle w:val="Refdenotaalpie"/>
          <w:rFonts w:ascii="Times New Roman" w:hAnsi="Times New Roman" w:cs="Times New Roman"/>
          <w:sz w:val="18"/>
          <w:szCs w:val="18"/>
        </w:rPr>
        <w:footnoteRef/>
      </w:r>
      <w:r w:rsidRPr="00CA6640">
        <w:rPr>
          <w:rFonts w:ascii="Times New Roman" w:hAnsi="Times New Roman" w:cs="Times New Roman"/>
          <w:sz w:val="18"/>
          <w:szCs w:val="18"/>
        </w:rPr>
        <w:t xml:space="preserve"> </w:t>
      </w:r>
      <w:r w:rsidR="00B23F78" w:rsidRPr="00CA6640">
        <w:rPr>
          <w:rFonts w:ascii="Times New Roman" w:hAnsi="Times New Roman" w:cs="Times New Roman"/>
          <w:sz w:val="18"/>
          <w:szCs w:val="18"/>
        </w:rPr>
        <w:tab/>
      </w:r>
      <w:r w:rsidRPr="00CA6640">
        <w:rPr>
          <w:rFonts w:ascii="Times New Roman" w:hAnsi="Times New Roman" w:cs="Times New Roman"/>
          <w:b/>
          <w:bCs/>
          <w:sz w:val="18"/>
          <w:szCs w:val="18"/>
          <w:lang w:val="es-PE"/>
        </w:rPr>
        <w:t>Reglamento de pago de primas</w:t>
      </w:r>
    </w:p>
    <w:p w14:paraId="1C9FDB24" w14:textId="36F67200" w:rsidR="004B32A9" w:rsidRPr="00CA6640" w:rsidRDefault="00B23F78" w:rsidP="00CA6640">
      <w:pPr>
        <w:pStyle w:val="Textonotapie"/>
        <w:tabs>
          <w:tab w:val="left" w:pos="284"/>
        </w:tabs>
        <w:spacing w:after="60"/>
        <w:ind w:left="284" w:hanging="284"/>
        <w:jc w:val="both"/>
        <w:rPr>
          <w:rFonts w:ascii="Times New Roman" w:hAnsi="Times New Roman" w:cs="Times New Roman"/>
          <w:b/>
          <w:bCs/>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b/>
          <w:bCs/>
          <w:sz w:val="18"/>
          <w:szCs w:val="18"/>
          <w:lang w:val="es-PE"/>
        </w:rPr>
        <w:t>Artículo 7.- Suspensión de la cobertura por incumplimiento de pago</w:t>
      </w:r>
    </w:p>
    <w:p w14:paraId="3BA6C334" w14:textId="27804650" w:rsidR="004B32A9" w:rsidRPr="00CA6640" w:rsidRDefault="00B23F78"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sz w:val="18"/>
          <w:szCs w:val="18"/>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14:paraId="71D29305" w14:textId="131C3214" w:rsidR="004B32A9" w:rsidRPr="00CA6640" w:rsidRDefault="00B23F78"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sz w:val="18"/>
          <w:szCs w:val="18"/>
          <w:lang w:val="es-PE"/>
        </w:rPr>
        <w:t>Antes del vencimiento de dicho plazo, la empresa de seguros deberá comunicar de manera cierta al asegurado a través de los medios y en la dirección previamente acordada, la suspensión de la cobertura como consecuencia del incumplimiento del pago de la prima. Asimismo, indicará el plazo que el contratante dispone para pagar la prima antes de la suspensión de la cobertura del seguro.</w:t>
      </w:r>
    </w:p>
    <w:p w14:paraId="7763AADC" w14:textId="01A23AB7" w:rsidR="004B32A9" w:rsidRPr="00CA6640" w:rsidRDefault="00B23F78"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sz w:val="18"/>
          <w:szCs w:val="18"/>
          <w:lang w:val="es-PE"/>
        </w:rPr>
        <w:t>Debe señalarse que una comunicación se realiza de manera cierta cuando se utiliza cualquier mecanismo de comunicación que las partes pacten de común acuerdo, siempre que esta sea susceptible de verificación, conforme a lo dispuesto al artículo 24 del Reglamento de Transparencia de Información y Contratación de Seguros.</w:t>
      </w:r>
    </w:p>
    <w:p w14:paraId="3D486E60" w14:textId="400C1BA0" w:rsidR="004B32A9" w:rsidRPr="00CA6640" w:rsidRDefault="00B23F78" w:rsidP="00CA6640">
      <w:pPr>
        <w:pStyle w:val="Textonotapie"/>
        <w:tabs>
          <w:tab w:val="left" w:pos="284"/>
        </w:tabs>
        <w:spacing w:after="60"/>
        <w:ind w:left="284" w:hanging="284"/>
        <w:jc w:val="both"/>
        <w:rPr>
          <w:rFonts w:ascii="Times New Roman" w:hAnsi="Times New Roman" w:cs="Times New Roman"/>
          <w:sz w:val="18"/>
          <w:szCs w:val="18"/>
          <w:lang w:val="es-PE"/>
        </w:rPr>
      </w:pPr>
      <w:r w:rsidRPr="00CA6640">
        <w:rPr>
          <w:rFonts w:ascii="Times New Roman" w:hAnsi="Times New Roman" w:cs="Times New Roman"/>
          <w:sz w:val="18"/>
          <w:szCs w:val="18"/>
          <w:lang w:val="es-PE"/>
        </w:rPr>
        <w:tab/>
      </w:r>
      <w:r w:rsidR="004B32A9" w:rsidRPr="00CA6640">
        <w:rPr>
          <w:rFonts w:ascii="Times New Roman" w:hAnsi="Times New Roman" w:cs="Times New Roman"/>
          <w:sz w:val="18"/>
          <w:szCs w:val="18"/>
          <w:lang w:val="es-PE"/>
        </w:rPr>
        <w:t>La suspensión de cobertura no es aplicable en los casos en que el contratante ha pagado, proporcionalmente, una prima igual o mayor al período corrido del contrato.</w:t>
      </w:r>
    </w:p>
  </w:footnote>
  <w:footnote w:id="4">
    <w:p w14:paraId="1DA6328D" w14:textId="4A09C4EB" w:rsidR="004B32A9" w:rsidRPr="00CA6640" w:rsidRDefault="004B32A9" w:rsidP="00CA6640">
      <w:pPr>
        <w:pStyle w:val="Textonotapie"/>
        <w:tabs>
          <w:tab w:val="left" w:pos="284"/>
        </w:tabs>
        <w:spacing w:after="60"/>
        <w:ind w:left="284" w:hanging="284"/>
        <w:jc w:val="both"/>
        <w:rPr>
          <w:rFonts w:ascii="Times New Roman" w:hAnsi="Times New Roman" w:cs="Times New Roman"/>
          <w:sz w:val="18"/>
          <w:szCs w:val="18"/>
          <w:lang w:val="es-MX"/>
        </w:rPr>
      </w:pPr>
      <w:r w:rsidRPr="00CA6640">
        <w:rPr>
          <w:rStyle w:val="Refdenotaalpie"/>
          <w:rFonts w:ascii="Times New Roman" w:hAnsi="Times New Roman" w:cs="Times New Roman"/>
          <w:sz w:val="18"/>
          <w:szCs w:val="18"/>
        </w:rPr>
        <w:footnoteRef/>
      </w:r>
      <w:r w:rsidRPr="00CA6640">
        <w:rPr>
          <w:rFonts w:ascii="Times New Roman" w:hAnsi="Times New Roman" w:cs="Times New Roman"/>
          <w:sz w:val="18"/>
          <w:szCs w:val="18"/>
        </w:rPr>
        <w:t xml:space="preserve"> </w:t>
      </w:r>
      <w:r w:rsidRPr="00CA6640">
        <w:rPr>
          <w:rFonts w:ascii="Times New Roman" w:hAnsi="Times New Roman" w:cs="Times New Roman"/>
          <w:sz w:val="18"/>
          <w:szCs w:val="18"/>
        </w:rPr>
        <w:tab/>
      </w:r>
      <w:r w:rsidRPr="00CA6640">
        <w:rPr>
          <w:rFonts w:ascii="Times New Roman" w:hAnsi="Times New Roman" w:cs="Times New Roman"/>
          <w:sz w:val="18"/>
          <w:szCs w:val="18"/>
          <w:lang w:val="es-MX"/>
        </w:rPr>
        <w:t xml:space="preserve">Cabe señalar que la imagen de la carpeta de correos enviados no es clara, por ello no se puede determinar con total certeza la fecha de envío de dichas comunicaciones. </w:t>
      </w:r>
    </w:p>
  </w:footnote>
  <w:footnote w:id="5">
    <w:p w14:paraId="1E0C2028" w14:textId="47EDF4C0" w:rsidR="00304C79" w:rsidRPr="00CA6640" w:rsidRDefault="00304C79" w:rsidP="00CA6640">
      <w:pPr>
        <w:pStyle w:val="Textonotapie"/>
        <w:tabs>
          <w:tab w:val="left" w:pos="284"/>
        </w:tabs>
        <w:spacing w:after="60"/>
        <w:ind w:left="284" w:hanging="284"/>
        <w:jc w:val="both"/>
        <w:rPr>
          <w:rFonts w:ascii="Times New Roman" w:hAnsi="Times New Roman" w:cs="Times New Roman"/>
          <w:sz w:val="18"/>
          <w:szCs w:val="18"/>
          <w:lang w:val="es-MX"/>
        </w:rPr>
      </w:pPr>
      <w:r w:rsidRPr="00CA6640">
        <w:rPr>
          <w:rStyle w:val="Refdenotaalpie"/>
          <w:rFonts w:ascii="Times New Roman" w:hAnsi="Times New Roman" w:cs="Times New Roman"/>
          <w:sz w:val="18"/>
          <w:szCs w:val="18"/>
        </w:rPr>
        <w:footnoteRef/>
      </w:r>
      <w:r w:rsidRPr="00CA6640">
        <w:rPr>
          <w:rFonts w:ascii="Times New Roman" w:hAnsi="Times New Roman" w:cs="Times New Roman"/>
          <w:sz w:val="18"/>
          <w:szCs w:val="18"/>
        </w:rPr>
        <w:t xml:space="preserve"> </w:t>
      </w:r>
      <w:r w:rsidR="00C55704" w:rsidRPr="00CA6640">
        <w:rPr>
          <w:rFonts w:ascii="Times New Roman" w:hAnsi="Times New Roman" w:cs="Times New Roman"/>
          <w:sz w:val="18"/>
          <w:szCs w:val="18"/>
        </w:rPr>
        <w:tab/>
      </w:r>
      <w:r w:rsidRPr="00CA6640">
        <w:rPr>
          <w:rFonts w:ascii="Times New Roman" w:hAnsi="Times New Roman" w:cs="Times New Roman"/>
          <w:sz w:val="18"/>
          <w:szCs w:val="18"/>
          <w:lang w:val="es-MX"/>
        </w:rPr>
        <w:t>LEDESMA NARVÁEZ, Marianella (2016) «</w:t>
      </w:r>
      <w:r w:rsidR="00C55704" w:rsidRPr="00CA6640">
        <w:rPr>
          <w:rFonts w:ascii="Times New Roman" w:hAnsi="Times New Roman" w:cs="Times New Roman"/>
          <w:sz w:val="18"/>
          <w:szCs w:val="18"/>
          <w:lang w:val="es-MX"/>
        </w:rPr>
        <w:t>La prueba documental electrónica</w:t>
      </w:r>
      <w:r w:rsidRPr="00CA6640">
        <w:rPr>
          <w:rFonts w:ascii="Times New Roman" w:hAnsi="Times New Roman" w:cs="Times New Roman"/>
          <w:sz w:val="18"/>
          <w:szCs w:val="18"/>
          <w:lang w:val="es-MX"/>
        </w:rPr>
        <w:t>»</w:t>
      </w:r>
      <w:r w:rsidR="00C55704" w:rsidRPr="00CA6640">
        <w:rPr>
          <w:rFonts w:ascii="Times New Roman" w:hAnsi="Times New Roman" w:cs="Times New Roman"/>
          <w:sz w:val="18"/>
          <w:szCs w:val="18"/>
          <w:lang w:val="es-MX"/>
        </w:rPr>
        <w:t xml:space="preserve">. En: Revista Foro Jurídico, 15. Pág. 21. </w:t>
      </w:r>
    </w:p>
  </w:footnote>
  <w:footnote w:id="6">
    <w:p w14:paraId="26AB7D1F" w14:textId="77777777" w:rsidR="004858EC" w:rsidRPr="00CA6640" w:rsidRDefault="004858EC" w:rsidP="00CA6640">
      <w:pPr>
        <w:pStyle w:val="Textonotapie"/>
        <w:tabs>
          <w:tab w:val="left" w:pos="284"/>
        </w:tabs>
        <w:spacing w:after="60"/>
        <w:ind w:left="284" w:hanging="284"/>
        <w:jc w:val="both"/>
        <w:rPr>
          <w:rFonts w:ascii="Times New Roman" w:hAnsi="Times New Roman" w:cs="Times New Roman"/>
          <w:sz w:val="18"/>
          <w:szCs w:val="18"/>
          <w:lang w:val="es-MX"/>
        </w:rPr>
      </w:pPr>
      <w:r w:rsidRPr="00CA6640">
        <w:rPr>
          <w:rStyle w:val="Refdenotaalpie"/>
          <w:rFonts w:ascii="Times New Roman" w:hAnsi="Times New Roman" w:cs="Times New Roman"/>
          <w:sz w:val="18"/>
          <w:szCs w:val="18"/>
        </w:rPr>
        <w:footnoteRef/>
      </w:r>
      <w:r w:rsidRPr="00CA6640">
        <w:rPr>
          <w:rFonts w:ascii="Times New Roman" w:hAnsi="Times New Roman" w:cs="Times New Roman"/>
          <w:sz w:val="18"/>
          <w:szCs w:val="18"/>
        </w:rPr>
        <w:t xml:space="preserve"> </w:t>
      </w:r>
      <w:r w:rsidRPr="00CA6640">
        <w:rPr>
          <w:rFonts w:ascii="Times New Roman" w:hAnsi="Times New Roman" w:cs="Times New Roman"/>
          <w:sz w:val="18"/>
          <w:szCs w:val="18"/>
        </w:rPr>
        <w:tab/>
      </w:r>
      <w:r w:rsidRPr="00CA6640">
        <w:rPr>
          <w:rFonts w:ascii="Times New Roman" w:hAnsi="Times New Roman" w:cs="Times New Roman"/>
          <w:sz w:val="18"/>
          <w:szCs w:val="18"/>
          <w:lang w:val="es-MX"/>
        </w:rPr>
        <w:t>ANDREU, Alejandro y Pol MARINÉ. « Cómo acreditar el contenido de un Email en un procedimiento judicial. Certificación legal preventiva de correos electrónicos.» Café jurídico. 10 de noviembre de 2020. Podcast. https://cafejuridico.es/como-acreditar-el-contenido-de-un-email-en-un-procedimiento-judicial-certificacion-legal-preventiva-de-correos-electronicos/.</w:t>
      </w:r>
    </w:p>
  </w:footnote>
  <w:footnote w:id="7">
    <w:p w14:paraId="6394CD57" w14:textId="27177415" w:rsidR="00CA71C3" w:rsidRPr="00CA71C3" w:rsidRDefault="00CA71C3" w:rsidP="00CA6640">
      <w:pPr>
        <w:pStyle w:val="Textonotapie"/>
        <w:tabs>
          <w:tab w:val="left" w:pos="284"/>
        </w:tabs>
        <w:spacing w:after="60"/>
        <w:ind w:left="284" w:hanging="284"/>
        <w:jc w:val="both"/>
        <w:rPr>
          <w:lang w:val="es-MX"/>
        </w:rPr>
      </w:pPr>
      <w:r w:rsidRPr="00CA6640">
        <w:rPr>
          <w:rStyle w:val="Refdenotaalpie"/>
          <w:rFonts w:ascii="Times New Roman" w:hAnsi="Times New Roman" w:cs="Times New Roman"/>
          <w:sz w:val="18"/>
          <w:szCs w:val="18"/>
        </w:rPr>
        <w:footnoteRef/>
      </w:r>
      <w:r w:rsidRPr="00CA6640">
        <w:rPr>
          <w:rFonts w:ascii="Times New Roman" w:hAnsi="Times New Roman" w:cs="Times New Roman"/>
          <w:sz w:val="18"/>
          <w:szCs w:val="18"/>
        </w:rPr>
        <w:t xml:space="preserve"> </w:t>
      </w:r>
      <w:r w:rsidRPr="00CA6640">
        <w:rPr>
          <w:rFonts w:ascii="Times New Roman" w:hAnsi="Times New Roman" w:cs="Times New Roman"/>
          <w:sz w:val="18"/>
          <w:szCs w:val="18"/>
        </w:rPr>
        <w:tab/>
      </w:r>
      <w:r w:rsidRPr="00CA6640">
        <w:rPr>
          <w:rFonts w:ascii="Times New Roman" w:hAnsi="Times New Roman" w:cs="Times New Roman"/>
          <w:sz w:val="18"/>
          <w:szCs w:val="18"/>
          <w:lang w:val="es-MX"/>
        </w:rPr>
        <w:t>Véase Resolución DEFASEG n.° 101/25 (</w:t>
      </w:r>
      <w:r w:rsidRPr="00CA6640">
        <w:rPr>
          <w:rFonts w:ascii="Times New Roman" w:hAnsi="Times New Roman" w:cs="Times New Roman"/>
          <w:i/>
          <w:iCs/>
          <w:sz w:val="18"/>
          <w:szCs w:val="18"/>
          <w:u w:val="single"/>
          <w:lang w:val="es-MX"/>
        </w:rPr>
        <w:t>Expediente n.° 6189, Caso Silvestre Reyes v. Pacífico</w:t>
      </w:r>
      <w:r w:rsidRPr="00CA6640">
        <w:rPr>
          <w:rFonts w:ascii="Times New Roman" w:hAnsi="Times New Roman" w:cs="Times New Roman"/>
          <w:sz w:val="18"/>
          <w:szCs w:val="18"/>
          <w:lang w:val="es-MX"/>
        </w:rPr>
        <w:t>) del 27 de junio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0772492">
    <w:abstractNumId w:val="2"/>
  </w:num>
  <w:num w:numId="2" w16cid:durableId="239759553">
    <w:abstractNumId w:val="20"/>
  </w:num>
  <w:num w:numId="3" w16cid:durableId="1076517653">
    <w:abstractNumId w:val="12"/>
  </w:num>
  <w:num w:numId="4" w16cid:durableId="175921732">
    <w:abstractNumId w:val="10"/>
  </w:num>
  <w:num w:numId="5" w16cid:durableId="69814149">
    <w:abstractNumId w:val="0"/>
  </w:num>
  <w:num w:numId="6" w16cid:durableId="279456155">
    <w:abstractNumId w:val="26"/>
  </w:num>
  <w:num w:numId="7" w16cid:durableId="996111771">
    <w:abstractNumId w:val="13"/>
  </w:num>
  <w:num w:numId="8" w16cid:durableId="481967316">
    <w:abstractNumId w:val="11"/>
  </w:num>
  <w:num w:numId="9" w16cid:durableId="1753550534">
    <w:abstractNumId w:val="21"/>
  </w:num>
  <w:num w:numId="10" w16cid:durableId="1553497206">
    <w:abstractNumId w:val="17"/>
  </w:num>
  <w:num w:numId="11" w16cid:durableId="1784809436">
    <w:abstractNumId w:val="7"/>
  </w:num>
  <w:num w:numId="12" w16cid:durableId="177625660">
    <w:abstractNumId w:val="22"/>
  </w:num>
  <w:num w:numId="13" w16cid:durableId="1378551379">
    <w:abstractNumId w:val="35"/>
  </w:num>
  <w:num w:numId="14" w16cid:durableId="2123763467">
    <w:abstractNumId w:val="23"/>
  </w:num>
  <w:num w:numId="15" w16cid:durableId="414937955">
    <w:abstractNumId w:val="29"/>
  </w:num>
  <w:num w:numId="16" w16cid:durableId="1416704799">
    <w:abstractNumId w:val="1"/>
  </w:num>
  <w:num w:numId="17" w16cid:durableId="539173962">
    <w:abstractNumId w:val="27"/>
  </w:num>
  <w:num w:numId="18" w16cid:durableId="1011949436">
    <w:abstractNumId w:val="6"/>
  </w:num>
  <w:num w:numId="19" w16cid:durableId="316420396">
    <w:abstractNumId w:val="30"/>
  </w:num>
  <w:num w:numId="20" w16cid:durableId="1158038745">
    <w:abstractNumId w:val="25"/>
  </w:num>
  <w:num w:numId="21" w16cid:durableId="424156822">
    <w:abstractNumId w:val="9"/>
  </w:num>
  <w:num w:numId="22" w16cid:durableId="625622500">
    <w:abstractNumId w:val="15"/>
  </w:num>
  <w:num w:numId="23" w16cid:durableId="1146823416">
    <w:abstractNumId w:val="31"/>
  </w:num>
  <w:num w:numId="24" w16cid:durableId="1173380396">
    <w:abstractNumId w:val="8"/>
  </w:num>
  <w:num w:numId="25" w16cid:durableId="995838958">
    <w:abstractNumId w:val="5"/>
  </w:num>
  <w:num w:numId="26" w16cid:durableId="1116754769">
    <w:abstractNumId w:val="32"/>
  </w:num>
  <w:num w:numId="27" w16cid:durableId="1685133251">
    <w:abstractNumId w:val="28"/>
  </w:num>
  <w:num w:numId="28" w16cid:durableId="740758136">
    <w:abstractNumId w:val="14"/>
  </w:num>
  <w:num w:numId="29" w16cid:durableId="1633050482">
    <w:abstractNumId w:val="16"/>
  </w:num>
  <w:num w:numId="30" w16cid:durableId="1920945269">
    <w:abstractNumId w:val="4"/>
  </w:num>
  <w:num w:numId="31" w16cid:durableId="568656407">
    <w:abstractNumId w:val="18"/>
  </w:num>
  <w:num w:numId="32" w16cid:durableId="305354008">
    <w:abstractNumId w:val="36"/>
  </w:num>
  <w:num w:numId="33" w16cid:durableId="846678734">
    <w:abstractNumId w:val="34"/>
  </w:num>
  <w:num w:numId="34" w16cid:durableId="1759060756">
    <w:abstractNumId w:val="3"/>
  </w:num>
  <w:num w:numId="35" w16cid:durableId="1824279051">
    <w:abstractNumId w:val="33"/>
  </w:num>
  <w:num w:numId="36" w16cid:durableId="108597820">
    <w:abstractNumId w:val="19"/>
  </w:num>
  <w:num w:numId="37" w16cid:durableId="14174336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B6B"/>
    <w:rsid w:val="000E6C90"/>
    <w:rsid w:val="000F17DA"/>
    <w:rsid w:val="000F1F1F"/>
    <w:rsid w:val="000F372E"/>
    <w:rsid w:val="000F4458"/>
    <w:rsid w:val="000F56CC"/>
    <w:rsid w:val="000F6340"/>
    <w:rsid w:val="001035ED"/>
    <w:rsid w:val="001064A0"/>
    <w:rsid w:val="00110157"/>
    <w:rsid w:val="00111342"/>
    <w:rsid w:val="00112C8D"/>
    <w:rsid w:val="0011308C"/>
    <w:rsid w:val="0011380D"/>
    <w:rsid w:val="00113FB6"/>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BB"/>
    <w:rsid w:val="001B1E59"/>
    <w:rsid w:val="001B3EE9"/>
    <w:rsid w:val="001B58A3"/>
    <w:rsid w:val="001B6661"/>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1039A"/>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43F3"/>
    <w:rsid w:val="00294C91"/>
    <w:rsid w:val="00294D98"/>
    <w:rsid w:val="00295828"/>
    <w:rsid w:val="002970F3"/>
    <w:rsid w:val="00297CE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4109"/>
    <w:rsid w:val="00414A7B"/>
    <w:rsid w:val="00417CFB"/>
    <w:rsid w:val="00417E23"/>
    <w:rsid w:val="00420F89"/>
    <w:rsid w:val="0042236E"/>
    <w:rsid w:val="00425ACB"/>
    <w:rsid w:val="00425F75"/>
    <w:rsid w:val="00426C11"/>
    <w:rsid w:val="004310D6"/>
    <w:rsid w:val="004324AC"/>
    <w:rsid w:val="00440AE0"/>
    <w:rsid w:val="00440BC2"/>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6BA1"/>
    <w:rsid w:val="00477488"/>
    <w:rsid w:val="00480276"/>
    <w:rsid w:val="0048408F"/>
    <w:rsid w:val="004858EC"/>
    <w:rsid w:val="00486637"/>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388"/>
    <w:rsid w:val="004C1C34"/>
    <w:rsid w:val="004C34ED"/>
    <w:rsid w:val="004C3692"/>
    <w:rsid w:val="004C51EC"/>
    <w:rsid w:val="004C5A91"/>
    <w:rsid w:val="004C7FB3"/>
    <w:rsid w:val="004E04CE"/>
    <w:rsid w:val="004E210D"/>
    <w:rsid w:val="004E3092"/>
    <w:rsid w:val="004E4AF3"/>
    <w:rsid w:val="004E65DD"/>
    <w:rsid w:val="004E72B4"/>
    <w:rsid w:val="004E75E2"/>
    <w:rsid w:val="004E78E9"/>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704E"/>
    <w:rsid w:val="005A782D"/>
    <w:rsid w:val="005B0526"/>
    <w:rsid w:val="005B187B"/>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7C9"/>
    <w:rsid w:val="005E6329"/>
    <w:rsid w:val="005F2582"/>
    <w:rsid w:val="005F265B"/>
    <w:rsid w:val="005F4C97"/>
    <w:rsid w:val="005F5311"/>
    <w:rsid w:val="00601339"/>
    <w:rsid w:val="00601861"/>
    <w:rsid w:val="0060197F"/>
    <w:rsid w:val="00601CB2"/>
    <w:rsid w:val="00605614"/>
    <w:rsid w:val="00605902"/>
    <w:rsid w:val="00606105"/>
    <w:rsid w:val="0061124D"/>
    <w:rsid w:val="00611905"/>
    <w:rsid w:val="00613283"/>
    <w:rsid w:val="00613A39"/>
    <w:rsid w:val="006157B3"/>
    <w:rsid w:val="00621406"/>
    <w:rsid w:val="006214B0"/>
    <w:rsid w:val="00622ABC"/>
    <w:rsid w:val="00623204"/>
    <w:rsid w:val="00624034"/>
    <w:rsid w:val="00627C05"/>
    <w:rsid w:val="00631D8C"/>
    <w:rsid w:val="00631E24"/>
    <w:rsid w:val="0063347E"/>
    <w:rsid w:val="00634A13"/>
    <w:rsid w:val="00635FBD"/>
    <w:rsid w:val="00636CCE"/>
    <w:rsid w:val="0063726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6BB2"/>
    <w:rsid w:val="006878E1"/>
    <w:rsid w:val="0069304A"/>
    <w:rsid w:val="0069590B"/>
    <w:rsid w:val="00695BD5"/>
    <w:rsid w:val="0069684A"/>
    <w:rsid w:val="006969AA"/>
    <w:rsid w:val="00697D6C"/>
    <w:rsid w:val="006A048D"/>
    <w:rsid w:val="006A19F1"/>
    <w:rsid w:val="006A2ADE"/>
    <w:rsid w:val="006A2DBF"/>
    <w:rsid w:val="006A3EBA"/>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4547"/>
    <w:rsid w:val="006E483B"/>
    <w:rsid w:val="006E492B"/>
    <w:rsid w:val="006E5BE6"/>
    <w:rsid w:val="006E68D0"/>
    <w:rsid w:val="006E6E70"/>
    <w:rsid w:val="006F1D13"/>
    <w:rsid w:val="006F36EF"/>
    <w:rsid w:val="006F40B0"/>
    <w:rsid w:val="006F47A8"/>
    <w:rsid w:val="006F4986"/>
    <w:rsid w:val="006F6085"/>
    <w:rsid w:val="006F6CBD"/>
    <w:rsid w:val="0070030F"/>
    <w:rsid w:val="007003E3"/>
    <w:rsid w:val="00701598"/>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42CA"/>
    <w:rsid w:val="00754CE1"/>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7F3"/>
    <w:rsid w:val="008B5C61"/>
    <w:rsid w:val="008B760D"/>
    <w:rsid w:val="008C44CB"/>
    <w:rsid w:val="008C50AF"/>
    <w:rsid w:val="008D0FAF"/>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479E"/>
    <w:rsid w:val="009011F1"/>
    <w:rsid w:val="00903260"/>
    <w:rsid w:val="00905BA5"/>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0A20"/>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9E"/>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7BF6"/>
    <w:rsid w:val="009E0D31"/>
    <w:rsid w:val="009E10EE"/>
    <w:rsid w:val="009E12A8"/>
    <w:rsid w:val="009E5F11"/>
    <w:rsid w:val="009E6480"/>
    <w:rsid w:val="009E7994"/>
    <w:rsid w:val="009F143B"/>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35C"/>
    <w:rsid w:val="00AB4BA8"/>
    <w:rsid w:val="00AB7B1D"/>
    <w:rsid w:val="00AB7BFE"/>
    <w:rsid w:val="00AC0CD4"/>
    <w:rsid w:val="00AC4C86"/>
    <w:rsid w:val="00AC4CF3"/>
    <w:rsid w:val="00AC507D"/>
    <w:rsid w:val="00AC5243"/>
    <w:rsid w:val="00AC5A9E"/>
    <w:rsid w:val="00AC74C2"/>
    <w:rsid w:val="00AC7794"/>
    <w:rsid w:val="00AC7800"/>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303A"/>
    <w:rsid w:val="00BA4C54"/>
    <w:rsid w:val="00BA7FF0"/>
    <w:rsid w:val="00BB02FF"/>
    <w:rsid w:val="00BB2152"/>
    <w:rsid w:val="00BB2BE0"/>
    <w:rsid w:val="00BB3529"/>
    <w:rsid w:val="00BB405B"/>
    <w:rsid w:val="00BB4B19"/>
    <w:rsid w:val="00BB68F9"/>
    <w:rsid w:val="00BB7FC6"/>
    <w:rsid w:val="00BC1799"/>
    <w:rsid w:val="00BC29D0"/>
    <w:rsid w:val="00BC4043"/>
    <w:rsid w:val="00BC4FD6"/>
    <w:rsid w:val="00BC6D3A"/>
    <w:rsid w:val="00BC7548"/>
    <w:rsid w:val="00BD128D"/>
    <w:rsid w:val="00BD6F2D"/>
    <w:rsid w:val="00BD797F"/>
    <w:rsid w:val="00BD7F12"/>
    <w:rsid w:val="00BE1470"/>
    <w:rsid w:val="00BE7C72"/>
    <w:rsid w:val="00BF1421"/>
    <w:rsid w:val="00BF2468"/>
    <w:rsid w:val="00BF414E"/>
    <w:rsid w:val="00BF78BF"/>
    <w:rsid w:val="00BF7BF5"/>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6640"/>
    <w:rsid w:val="00CA71C3"/>
    <w:rsid w:val="00CB0040"/>
    <w:rsid w:val="00CB4013"/>
    <w:rsid w:val="00CB44BB"/>
    <w:rsid w:val="00CB4580"/>
    <w:rsid w:val="00CB5FE1"/>
    <w:rsid w:val="00CC2A7C"/>
    <w:rsid w:val="00CC4AEF"/>
    <w:rsid w:val="00CC6C0C"/>
    <w:rsid w:val="00CC719D"/>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513"/>
    <w:rsid w:val="00D76C43"/>
    <w:rsid w:val="00D80C4B"/>
    <w:rsid w:val="00D810E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5C24"/>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4C65"/>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8F6"/>
    <w:rsid w:val="00E900E2"/>
    <w:rsid w:val="00E91723"/>
    <w:rsid w:val="00E95356"/>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F4CFF"/>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45D"/>
    <w:rsid w:val="00F6477C"/>
    <w:rsid w:val="00F65837"/>
    <w:rsid w:val="00F663F6"/>
    <w:rsid w:val="00F6707C"/>
    <w:rsid w:val="00F70C4B"/>
    <w:rsid w:val="00F713A4"/>
    <w:rsid w:val="00F715EA"/>
    <w:rsid w:val="00F72D00"/>
    <w:rsid w:val="00F73A95"/>
    <w:rsid w:val="00F73C1E"/>
    <w:rsid w:val="00F771DE"/>
    <w:rsid w:val="00F81150"/>
    <w:rsid w:val="00F833B7"/>
    <w:rsid w:val="00F83A22"/>
    <w:rsid w:val="00F84CF9"/>
    <w:rsid w:val="00F84EA3"/>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127E"/>
    <w:rsid w:val="00FD78D4"/>
    <w:rsid w:val="00FE1D8F"/>
    <w:rsid w:val="00FE2169"/>
    <w:rsid w:val="00FE38F0"/>
    <w:rsid w:val="00FE400D"/>
    <w:rsid w:val="00FE43A9"/>
    <w:rsid w:val="00FE6588"/>
    <w:rsid w:val="00FE70D2"/>
    <w:rsid w:val="00FE73F3"/>
    <w:rsid w:val="00FE7B84"/>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159"/>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valverde@megacorredores.pe"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valverde@megacorredores.p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390C5F7-E863-479F-A0E4-5E0F9ED75A32}"/>
</file>

<file path=customXml/itemProps3.xml><?xml version="1.0" encoding="utf-8"?>
<ds:datastoreItem xmlns:ds="http://schemas.openxmlformats.org/officeDocument/2006/customXml" ds:itemID="{53B31469-F1F1-480E-B7E2-B8CB9E7E793D}"/>
</file>

<file path=customXml/itemProps4.xml><?xml version="1.0" encoding="utf-8"?>
<ds:datastoreItem xmlns:ds="http://schemas.openxmlformats.org/officeDocument/2006/customXml" ds:itemID="{309347B3-B36D-4BB9-9E54-4D0CADD6CF36}"/>
</file>

<file path=docProps/app.xml><?xml version="1.0" encoding="utf-8"?>
<Properties xmlns="http://schemas.openxmlformats.org/officeDocument/2006/extended-properties" xmlns:vt="http://schemas.openxmlformats.org/officeDocument/2006/docPropsVTypes">
  <Template>Normal</Template>
  <TotalTime>12</TotalTime>
  <Pages>7</Pages>
  <Words>2410</Words>
  <Characters>13259</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14</cp:revision>
  <cp:lastPrinted>2025-10-09T16:43:00Z</cp:lastPrinted>
  <dcterms:created xsi:type="dcterms:W3CDTF">2025-10-03T16:44:00Z</dcterms:created>
  <dcterms:modified xsi:type="dcterms:W3CDTF">2025-10-09T16:44:00Z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