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207B29" w:rsidRDefault="00D12B6B" w:rsidP="00207B29">
      <w:pPr>
        <w:spacing w:after="0" w:line="240" w:lineRule="auto"/>
        <w:jc w:val="center"/>
        <w:rPr>
          <w:rFonts w:ascii="Times New Roman" w:hAnsi="Times New Roman" w:cs="Times New Roman"/>
          <w:b/>
          <w:sz w:val="24"/>
          <w:szCs w:val="24"/>
          <w:lang w:val="es-PE" w:eastAsia="ar-SA"/>
        </w:rPr>
      </w:pPr>
    </w:p>
    <w:p w14:paraId="19FE0E96" w14:textId="1FE64EE3" w:rsidR="00707C99" w:rsidRPr="00207B29" w:rsidRDefault="00201C0D" w:rsidP="00207B29">
      <w:pPr>
        <w:spacing w:after="0" w:line="240" w:lineRule="auto"/>
        <w:jc w:val="center"/>
        <w:rPr>
          <w:rFonts w:ascii="Times New Roman" w:hAnsi="Times New Roman" w:cs="Times New Roman"/>
          <w:b/>
          <w:sz w:val="24"/>
          <w:szCs w:val="24"/>
          <w:lang w:val="es-PE" w:eastAsia="ar-SA"/>
        </w:rPr>
      </w:pPr>
      <w:r w:rsidRPr="00207B29">
        <w:rPr>
          <w:rFonts w:ascii="Times New Roman" w:hAnsi="Times New Roman" w:cs="Times New Roman"/>
          <w:b/>
          <w:sz w:val="24"/>
          <w:szCs w:val="24"/>
          <w:lang w:val="es-PE" w:eastAsia="ar-SA"/>
        </w:rPr>
        <w:t>RESOLUCIÓN</w:t>
      </w:r>
      <w:r w:rsidR="009D55E8" w:rsidRPr="00207B29">
        <w:rPr>
          <w:rFonts w:ascii="Times New Roman" w:hAnsi="Times New Roman" w:cs="Times New Roman"/>
          <w:b/>
          <w:sz w:val="24"/>
          <w:szCs w:val="24"/>
          <w:lang w:val="es-PE" w:eastAsia="ar-SA"/>
        </w:rPr>
        <w:t xml:space="preserve"> DE IMPUGNACIÓN</w:t>
      </w:r>
      <w:r w:rsidRPr="00207B29">
        <w:rPr>
          <w:rFonts w:ascii="Times New Roman" w:hAnsi="Times New Roman" w:cs="Times New Roman"/>
          <w:b/>
          <w:sz w:val="24"/>
          <w:szCs w:val="24"/>
          <w:lang w:val="es-PE" w:eastAsia="ar-SA"/>
        </w:rPr>
        <w:t xml:space="preserve"> </w:t>
      </w:r>
      <w:r w:rsidR="00D12B6B" w:rsidRPr="00207B29">
        <w:rPr>
          <w:rFonts w:ascii="Times New Roman" w:hAnsi="Times New Roman" w:cs="Times New Roman"/>
          <w:b/>
          <w:sz w:val="24"/>
          <w:szCs w:val="24"/>
          <w:lang w:val="es-PE" w:eastAsia="ar-SA"/>
        </w:rPr>
        <w:t>N</w:t>
      </w:r>
      <w:r w:rsidR="00207B29">
        <w:rPr>
          <w:rFonts w:ascii="Times New Roman" w:hAnsi="Times New Roman" w:cs="Times New Roman"/>
          <w:b/>
          <w:sz w:val="24"/>
          <w:szCs w:val="24"/>
          <w:lang w:val="es-PE" w:eastAsia="ar-SA"/>
        </w:rPr>
        <w:t>° 053</w:t>
      </w:r>
      <w:r w:rsidR="00AA2AA2" w:rsidRPr="00207B29">
        <w:rPr>
          <w:rFonts w:ascii="Times New Roman" w:hAnsi="Times New Roman" w:cs="Times New Roman"/>
          <w:b/>
          <w:sz w:val="24"/>
          <w:szCs w:val="24"/>
          <w:lang w:val="es-PE" w:eastAsia="ar-SA"/>
        </w:rPr>
        <w:t>/25</w:t>
      </w:r>
    </w:p>
    <w:p w14:paraId="2A5107DD" w14:textId="77777777" w:rsidR="009117F7" w:rsidRPr="00207B29" w:rsidRDefault="009117F7" w:rsidP="00207B29">
      <w:pPr>
        <w:spacing w:after="0" w:line="240" w:lineRule="auto"/>
        <w:jc w:val="both"/>
        <w:rPr>
          <w:rFonts w:ascii="Times New Roman" w:hAnsi="Times New Roman" w:cs="Times New Roman"/>
          <w:b/>
          <w:sz w:val="24"/>
          <w:szCs w:val="24"/>
          <w:lang w:val="es-PE"/>
        </w:rPr>
      </w:pPr>
    </w:p>
    <w:p w14:paraId="2E2FA649" w14:textId="77777777" w:rsidR="00D12B6B" w:rsidRPr="00207B29" w:rsidRDefault="00D12B6B" w:rsidP="00207B29">
      <w:pPr>
        <w:spacing w:line="240" w:lineRule="auto"/>
        <w:jc w:val="both"/>
        <w:outlineLvl w:val="0"/>
        <w:rPr>
          <w:rFonts w:ascii="Times New Roman" w:hAnsi="Times New Roman" w:cs="Times New Roman"/>
          <w:b/>
          <w:bCs/>
          <w:sz w:val="24"/>
          <w:szCs w:val="24"/>
          <w:lang w:val="es-MX"/>
        </w:rPr>
      </w:pPr>
    </w:p>
    <w:p w14:paraId="01A76CCD" w14:textId="025912B7" w:rsidR="009117F7" w:rsidRPr="00207B29" w:rsidRDefault="009117F7" w:rsidP="00207B29">
      <w:pPr>
        <w:spacing w:after="200" w:line="240" w:lineRule="auto"/>
        <w:jc w:val="both"/>
        <w:outlineLvl w:val="0"/>
        <w:rPr>
          <w:rFonts w:ascii="Times New Roman" w:hAnsi="Times New Roman" w:cs="Times New Roman"/>
          <w:b/>
          <w:bCs/>
          <w:sz w:val="24"/>
          <w:szCs w:val="24"/>
          <w:lang w:val="es-MX"/>
        </w:rPr>
      </w:pPr>
      <w:r w:rsidRPr="00207B29">
        <w:rPr>
          <w:rFonts w:ascii="Times New Roman" w:hAnsi="Times New Roman" w:cs="Times New Roman"/>
          <w:b/>
          <w:bCs/>
          <w:sz w:val="24"/>
          <w:szCs w:val="24"/>
          <w:lang w:val="es-MX"/>
        </w:rPr>
        <w:t>VISTOS:</w:t>
      </w:r>
    </w:p>
    <w:p w14:paraId="58D23396" w14:textId="49800064" w:rsidR="00EE6F4A" w:rsidRPr="00207B29" w:rsidRDefault="00D12B6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8 de julio de 2025, ………………… COMPAÑÍA DE SEGUROS Y REASEGUROS (“…………………”) interpuso Recurso de Impugnación ante la Defensoría del Asegurado (“…………………”) contra la Resolución n.° 101/25 (la “Resolución Impugnada”) de fecha 27 de junio de 2025, expedida por la Sala Colegiada a través de la cual se declaró FUNDADO el reclamo presentado por el señor ………………… (el señor “…………………”) contra ………………… para que cumpla con brindarle cobertura a la unidad vehicular marca Nissan, modelo Tiida, con placa de rodaje n.° ………………… (“vehículo asegurado”) por el siniestro ocurrido el día 3 de mayo de 2024, de acuerdo con la póliza N° ………………… (la “Póliza”). </w:t>
      </w:r>
    </w:p>
    <w:p w14:paraId="5740F041" w14:textId="1A48EC9B" w:rsidR="00EE6F4A" w:rsidRPr="00207B29" w:rsidRDefault="003D1A7E"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solicita que se revoque la Resolución Impugnada y se declare infundado el reclamo presentado por el asegurado sobre la base de los siguientes argumentos: a) que, la coordinación de la inspección no es un requisito previo para la suspensión de la cobertura como equivocadamente concluye la Resolución Impugnada; b) que, como la propia Resolución Impugnada señala, la Póliza regula lo relacionado a la inspección del vehículo hasta en dos oportunidades: 1) En una Cláusula adicional, y, 2) en una Condición especial; c) que, como se puede apreciar del contenido de la Cláusula adicional: 1) es condición esencial para el otorgamiento de las coberturas, que el vehículo pase por una inspección dentro del plazo de 10 días calendario desde el inicio de la vigencia de la póliza, y, 2) existe un procedimiento establecido para la inspección, en virtud del cual ………………… debe coordinar con el asegurado lugar y fecha para la inspección, si no se cumple la inspección por responsabilidad del asegurado, la cobertura se suspende y ………………… podrá resolver el contrato, si la inspección se reprograma, pero el asegurado incumple, la resolución del contrato es automática y ………………… se libera de responsabilidad; d) que, con relación a la Condición especial: la cobertura de pérdida total de daño propio queda en suspenso y condicionada a la realización efectiva y satisfactoria de la inspección del vehículo. La póliza solo otorgará cobertura por daños parciales. Esta condición especial modifica lo señalado en la Cláusula adicional; e) que, la coordinación de la inspección por parte de ………………… no es un requisito previo para la suspensión de la cobertura, sino que lo es para que se proceda con la resolución del contrato; f) que, en el supuesto negado que la Defensoría insista en su indebida interpretación de la Cláusula adicional, la misma tampoco resultaría aplicable, pues estaría contradiciendo (bajo la interpretación de la Resolución Impugnada), lo regulado por la Condición especial de la Póliza, que no establece ningún requisito previo para la suspensión de la cobertura por la falta de inspección; g) que, teniendo en cuenta que la Condición especial prima sobre la Cláusula adicional (y, de hecho, expresamente la modifica), la Condición especial es la única aplicable al caso, por lo que la ausencia de inspección del vehículo suspende la cobertura por pérdida total sin ningún requisito previo; h) que, en consecuencia, al no ser un hecho controvertido que el vehículo asegurado no pasó por la respectiva inspección de manera previa a la ocurrencia del siniestro, el rechazo de cobertura fue efectuado válidamente por ………………… de acuerdo con los términos y condiciones de la Póliza; i) que, el vehículo asegurado sufrió un siniestro de pérdida total conforme a las condiciones de la Póliza, motivo por el cual, sí corresponde la aplicación de la Condición especial de inspección; j) que, al estar acreditado que el siniestro se trató de pérdida total, el rechazo de cobertura fue válidamente efectuado; y, k) que, solicita la revocación de la Resolución Impugnada y en consecuencia, se declare infundado el reclamo presentado por el asegurado.</w:t>
      </w:r>
    </w:p>
    <w:bookmarkEnd w:id="1"/>
    <w:p w14:paraId="79C127E9" w14:textId="71794BD3" w:rsidR="00CB3481" w:rsidRPr="00207B29" w:rsidRDefault="00BA0DA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su Recurso de Impugnación ………………… presentó copia de tres correos electrónicos que acreditarían la pérdida total del vehículo asegurado. </w:t>
      </w:r>
    </w:p>
    <w:p w14:paraId="0AAD376B" w14:textId="199200C0" w:rsidR="00E07CB1" w:rsidRPr="00207B29" w:rsidRDefault="00E07CB1"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1 de agosto de 2025 ………………… presentó vía correo electrónico un escrito adicional para mejor resolver, a través del cual señaló lo siguiente: a) que, luego de la contratación del seguro y el inicio de la vigencia de este, ………………… cumplió con coordinar con el asegurado la correspondiente inspección de su vehículo, esto a través de conversaciones vía WhatsApp (tal como permite las condiciones de la póliza); no obstante, no ha sido posible presentar dichas conversaciones, debido a que el asegurado tiene configurada la mencionada aplicación de mensajería en modo "conversaciones temporales", lo cual elimina los mensajes enviados; b) que, se debe tener en cuenta que de acuerdo con una interpretación literal de la Póliza, la coordinación de la inspección no es requisito previo para la suspensión de la cobertura de pérdida total, bastando solamente la falta de inspección para que la cobertura se encuentre suspendida; c) que, remite medios probatorios adicionales que acreditan que, correspondía declarar la pérdida total del vehículo asegurado al haberse determinado que los daños sufridos superan el 75 por ciento del valor de la suma asegurada; y, d) que, queda demostrado que, aun cuando la Defensoría adopte el criterio erróneo de que la falta de inspección únicamente suspende la cobertura por pérdida total, en el presente caso se encuentra plenamente configurada una causal de pérdida total, conforme a la magnitud de los daños y lo establecido en la Póliza. </w:t>
      </w:r>
    </w:p>
    <w:p w14:paraId="7C2C9C68" w14:textId="10AC1180" w:rsidR="00E07CB1" w:rsidRPr="00207B29" w:rsidRDefault="00E07CB1"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el escrito adicional ………………… presentó los siguientes documentos: (i) copia de la cotización de los daños del vehículo presentado por el taller Autoland; y, (ii) copia de los correos electrónicos cursados entre ………………… y Autoland que evidenciarían la pérdida total del vehículo asegurado.</w:t>
      </w:r>
    </w:p>
    <w:p w14:paraId="7B2CEFD9" w14:textId="6A954E8D" w:rsidR="00CB3481" w:rsidRPr="00207B29" w:rsidRDefault="002333A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18 de septiembre de 2025 el señor ………………… absolvió el Recurso impugnativo presentado por …………………, argumentando lo siguiente: a) que, el Recurso de Impugnación presentado por ………………… se debe tener por no presentado por cuanto carece de plena identificación al no presentar su Registro Único del Contribuyente así como los datos de inscripción en el Registro de Personas Jurídicas en SUNARP y quien suscribe el Recurso impugnativo de …………………, no se encuentra identificado como apoderado, sin mencionar si es abogado hábil, por lo que en aplicación supletoria del artículo 421 del Código Procesal incurre en falta de requisitos fundamentales para su presentación; y, b) que, se encuentra plena y totalmente de acuerdo con cada uno de los fundamentos fácticos y jurídicos de la Resolución Impugnada, la misma que declaró fundado el reclamo, solicitando se confirme la resolución subida en grado. </w:t>
      </w:r>
    </w:p>
    <w:p w14:paraId="5E5FAFD2" w14:textId="23E536A4" w:rsidR="00EF15EF" w:rsidRPr="00207B29" w:rsidRDefault="00EF15EF" w:rsidP="00207B29">
      <w:pPr>
        <w:spacing w:after="200" w:line="240" w:lineRule="auto"/>
        <w:jc w:val="both"/>
        <w:rPr>
          <w:rFonts w:ascii="Times New Roman" w:hAnsi="Times New Roman" w:cs="Times New Roman"/>
          <w:color w:val="000000"/>
          <w:sz w:val="24"/>
          <w:szCs w:val="24"/>
          <w:lang w:val="es-PE"/>
        </w:rPr>
      </w:pPr>
      <w:r w:rsidRPr="00207B29">
        <w:rPr>
          <w:rFonts w:ascii="Times New Roman" w:hAnsi="Times New Roman" w:cs="Times New Roman"/>
          <w:sz w:val="24"/>
          <w:szCs w:val="24"/>
          <w:lang w:val="es-PE"/>
        </w:rPr>
        <w:t>Al resolver, este Colegiado ha tomado en cuenta las argumentaciones de las partes expresadas a lo largo del procedimiento.</w:t>
      </w:r>
    </w:p>
    <w:p w14:paraId="7441012C" w14:textId="682DBE99" w:rsidR="00A90707" w:rsidRPr="00207B29" w:rsidRDefault="00E07CB1" w:rsidP="00207B29">
      <w:pPr>
        <w:spacing w:after="200" w:line="240" w:lineRule="auto"/>
        <w:jc w:val="both"/>
        <w:outlineLvl w:val="0"/>
        <w:rPr>
          <w:rFonts w:ascii="Times New Roman" w:hAnsi="Times New Roman" w:cs="Times New Roman"/>
          <w:b/>
          <w:bCs/>
          <w:sz w:val="24"/>
          <w:szCs w:val="24"/>
          <w:lang w:val="es-MX"/>
        </w:rPr>
      </w:pPr>
      <w:r w:rsidRPr="00207B29">
        <w:rPr>
          <w:rFonts w:ascii="Times New Roman" w:hAnsi="Times New Roman" w:cs="Times New Roman"/>
          <w:b/>
          <w:bCs/>
          <w:sz w:val="24"/>
          <w:szCs w:val="24"/>
          <w:lang w:val="es-MX"/>
        </w:rPr>
        <w:t>C</w:t>
      </w:r>
      <w:r w:rsidR="00A90707" w:rsidRPr="00207B29">
        <w:rPr>
          <w:rFonts w:ascii="Times New Roman" w:hAnsi="Times New Roman" w:cs="Times New Roman"/>
          <w:b/>
          <w:bCs/>
          <w:sz w:val="24"/>
          <w:szCs w:val="24"/>
          <w:lang w:val="es-MX"/>
        </w:rPr>
        <w:t>ONSIDERANDO:</w:t>
      </w:r>
    </w:p>
    <w:p w14:paraId="5B38040C" w14:textId="5C759813" w:rsidR="00142F5B" w:rsidRPr="00207B29" w:rsidRDefault="00A90707"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 </w:t>
      </w:r>
    </w:p>
    <w:p w14:paraId="7918B6A4" w14:textId="03751DBF" w:rsidR="00142F5B" w:rsidRPr="00207B29" w:rsidRDefault="00142F5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empresa ………………… resuelto por la Sala Colegiada de esta Defensoría.</w:t>
      </w:r>
    </w:p>
    <w:p w14:paraId="3B797C73" w14:textId="6EB12FF1" w:rsidR="00406AFD" w:rsidRPr="00207B29" w:rsidRDefault="00206378"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Que, a través del recurso impugnativo, la empresa ………………… Sala Colegiada por los siguientes argumentos: (i) la coordinación de la inspección por parte de ………………… no es un requisito para la suspensión de la cobertura, sino que lo es para la resolución del contrato; (ii) ………………… cumplió con coordinar con el asegurado la inspección de su vehículo a través de WhatsApp; no obstante, no fue posible presentar dichas conversaciones debido a que el asegurado tiene configurado dicha aplicación de mensajería en modo "conversaciones temporales"; (iii) la coordinación de la inspección no es requisito para la suspensión de la cobertura por pérdida total, bastando la falta de inspección para que la cobertura se encuentre suspendida; (iv) la Condición especial prima sobre la Cláusula adicional (de hecho la modifica), por lo tanto, es la única aplicable al caso, la ausencia de inspección del vehículo asegurado suspende la cobertura por pérdida total sin ningún requisito previo; y, (v) corresponde declarar la pérdida total del vehículo asegurado al haberse determinado que los daños sufridos superan el 75 por ciento del valor de la suma asegurada.</w:t>
      </w:r>
    </w:p>
    <w:p w14:paraId="753B99A2" w14:textId="181432D5" w:rsidR="00E0595F" w:rsidRPr="00207B29" w:rsidRDefault="00192535"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TERCERO: Que, como cuestión previa, este Colegiado se pronunciará respecto de lo solicitado por el asegurado en el sentido que el Recurso de Impugnación presentado por ………………… debe tenerse por no presentado, por cuanto: (i) no cumplió con adjuntar su Registro Único del Contribuyente; (ii) no presentó la ficha de inscripción en el Registro de Personas Jurídicas que administra la Superintendencia Nacional de los Registros Públicos (Sunarp); y, (iii) la persona que suscribe el Recurso de Impugnación no se encuentra identificado como apoderado y no menciona que es abogado hábil.</w:t>
      </w:r>
    </w:p>
    <w:p w14:paraId="321951D2" w14:textId="14C55472" w:rsidR="00907807" w:rsidRPr="00207B29" w:rsidRDefault="00287E4A"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Sobre el particular, como ya se ha señalado en anteriores oportunidades, el procedimiento regulado en el Reglamento de DEFASEG tiende a la informalidad, en dicho sentido, a los asegurados no se les exige para la presentación de sus reclamos mayores formalidades, como si ocurre en los procesos tramitados en sede judicial, lo que de hacerse implicaría impedir a la gran mayoría de los asegurados toda posibilidad de recurrir ante esta instancia. De la misma forma, la Defensoría ha sido creada por la Asociación Peruana de Empresas de Seguros (APESEG) para proteger los derechos de los asegurados, consecuentemente, la intervención de las empresas de seguros en este procedimiento voluntario no se rige tampoco por las estrictas formalidades reguladas en el Código Procesal Civil, aun cuando dicho cuerpo normativo tenga un carácter supletorio en los procedimientos seguidos ante este Colegiado, cuya exigencia, por otro lado, sólo representaría una demora adicional innecesaria cuya aplicación perjudicaría al asegurado. Por lo tanto, dada la naturaleza de este procedimiento, las empresas aseguradoras al momento de absolver los reclamos o presentar recursos de impugnación no están sujetas a mayores formalidades, así, este Colegiado no puede sino considerar como válido el Recurso de Impugnación presentado por ………………….  </w:t>
      </w:r>
    </w:p>
    <w:p w14:paraId="1150F513" w14:textId="6E704B64" w:rsidR="00000E57" w:rsidRPr="00207B29" w:rsidRDefault="00FC3693"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CUARTO: Con relación a lo argumentado por la empresa aseguradora, debemos advertir que este Colegiado no ha señalado que la coordinación de la inspección sea un requisito previo para la suspensión de la cobertura como equivocadamente se señala en el Recurso de Impugnación. Lo que hemos señalado es que, la Condición especial señala que en caso el vehículo asegurado no pase efectiva y satisfactoriamente la inspección vehicular, se modifican las Condiciones generales relativas a la cobertura por pérdida total de la cobertura por daño propio, asimismo, se señala expresamente que mientras esta situación se mantenga, la Póliza sólo otorgará cobertura por daños parciales. </w:t>
      </w:r>
    </w:p>
    <w:p w14:paraId="1E916AD4" w14:textId="1A55A728" w:rsidR="00D07B07" w:rsidRPr="00207B29" w:rsidRDefault="007015B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La Resolución Impugnada, señala que de acuerdo con la Póliza, el régimen aplicable a la obligación de la inspección del vehículo sería el siguiente: (i) hasta que el vehículo asegurado no pase efectiva y satisfactoriamente la inspección vehicular, se modifican los términos de las Condiciones generales de la Póliza, suspendiéndose la cobertura de pérdida total de la cobertura de daño propio, la cual está condicionada a la satisfactoria inspección del vehículo. Durante la suspensión, ………………… sólo brindará cobertura por daños parciales. Asimismo, mientras no se pase la inspección, la aseguradora deberá dejar de cobrar la prima correspondiente a la cobertura de pérdida total por daño propio; (ii) el asegurado se compromete a realizar la inspección del vehículo dentro del plazo de diez (10) días calendario desde el inicio de vigencia de la Póliza; (iii) en caso el asegurado incumpla con el procedimiento de inspección del vehículo establecido en la Póliza, ………………… se libera de responsabilidad por los siniestros ocurridos después de la fecha acordada para la inspección, respecto de los cuales hubiera dado cobertura conforme a la condición especial (como es el caso de las coberturas por daños parciales); (iv) en cuanto al procedimiento de inspección regulado en la Póliza, se señala que será ………………… quién coordinará mediante correo electrónico o vía telefónica con el asegurado la fecha y lugar para la realización de la inspección, con un preaviso de tres (3) días calendario; y, (v) sólo en caso que el asegurado incumpla de forma injustificada con poner el vehículo a disposición de ………………… en la fecha y lugar convenidos para la realización de la inspección, la cobertura quedará suspendida y ………………… podrá resolver el contrato de seguro, siguiendo el procedimiento que para tal efecto establecen las Condiciones generales.</w:t>
      </w:r>
    </w:p>
    <w:p w14:paraId="213E77E0" w14:textId="37514813" w:rsidR="00A41BD6" w:rsidRPr="00207B29" w:rsidRDefault="00FE288E"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la medida que, como se ha visto, el procedimiento de inspección dependía que ………………… coordinara la fecha y lugar para su realización, ya sea vía correo electrónico o mediante comunicación telefónica, dado que la empresa ………………… con las diligencias de coordinación a las que estaba obligado, no podía atribuírsele al asegurado responsabilidad por la falta de inspección, tal como erradamente señaló la empresa ………………… por el señor …………………. </w:t>
      </w:r>
    </w:p>
    <w:p w14:paraId="4012D525" w14:textId="2BF47284" w:rsidR="00BC4A27" w:rsidRPr="00207B29" w:rsidRDefault="00FE288E"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QUINTO: ………………… ha señalado en su escrito de fecha 30 de julio de 2025, que cumplió con coordinar con el asegurado la inspección de su vehículo a través de WhatsApp, pero que no fue posible actuar dichas conversaciones debido al modo en el que el asegurado tiene configurada dicha aplicación de mensajería. </w:t>
      </w:r>
    </w:p>
    <w:p w14:paraId="150BA12A" w14:textId="1F593C6A" w:rsidR="00240336" w:rsidRPr="00207B29" w:rsidRDefault="0038740F"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Sin embargo, cabe recordar que el artículo 196 del Código Procesal Civil señala que corresponde a quien invoca la realización de determinado hecho, probar su real existencia. En este caso, si la Póliza señala que la empresa ………………… asegurado debe realizar determinadas coordinaciones vía correo electrónico o llamadas telefónicas, debe presentar ante esta instancia, elementos de prueba suficientes que generen certeza en el Colegiado respecto de su efectiva realización, es decir, esta Defensoría debe estar en la capacidad de apreciar los documentos electrónicos enviados al asegurado o la grabación de las llamadas realizadas para tal efecto, pudiendo emplear la aseguradora para su debido resguardo, el auxilio de servicios de certificación legal o similares, tal como hacen diversos agentes del mercado de seguros nacional. </w:t>
      </w:r>
    </w:p>
    <w:p w14:paraId="0D7816C5" w14:textId="2F71D62D" w:rsidR="00A41BD6" w:rsidRPr="00207B29" w:rsidRDefault="00D8255C"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la medida que ………………… no ha actuado prueba alguna que permita verificar la veracidad de sus afirmaciones sobre el particular, este Colegiado no puede sino considerar que las coordinaciones para determinar la fecha y lugar de la inspección técnica no se realizaron. </w:t>
      </w:r>
    </w:p>
    <w:p w14:paraId="506A68B2" w14:textId="3D6F68A7" w:rsidR="002D5E13" w:rsidRPr="00207B29" w:rsidRDefault="00D8255C"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SEXTO: De acuerdo con la Resolución Impugnada únicamente se puede entender el rechazo de dar cobertura al siniestro por parte de …………………, si el vehículo del asegurado habría tenido un siniestro de pérdida total, ello en la medida que, como hemos señalado dicha cobertura se encontraba suspendida al momento del siniestro. No obstante, ni con ocasión de remitir la Carta de Rechazo, así como tampoco con la absolución del reclamo presentado por el asegurado, la empresa ………………… del siniestro, se había producido la pérdida total del vehículo asegurado en los términos señalados en la Póliza. </w:t>
      </w:r>
    </w:p>
    <w:p w14:paraId="2DEBF3BD" w14:textId="57F6FC1F" w:rsidR="00D8255C" w:rsidRPr="00207B29" w:rsidRDefault="002D5E13"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Efectivamente, para este Colegiado, tal como se señaló que la Resolución Impugnada, correspondía que la empresa aseguradora, con la finalidad de salvaguardar la confianza razonable de sus declaraciones y actuaciones contractuales, comunique sus decisiones a su asegurado de forma tal que ésta pueda entender el proceso lógico a partir del cual tomó la decisión de rechazo es decir, la aseguradora debe cumplir con el estándar de motivación contemplado expresamente en el artículo 15 del Reglamento para la gestión y pago de siniestros.    </w:t>
      </w:r>
    </w:p>
    <w:p w14:paraId="38A76EC9" w14:textId="76DEAEDF" w:rsidR="005B306B" w:rsidRPr="00207B29" w:rsidRDefault="005B306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La Póliza establece en su Condición especial, que hasta que no se supere efectiva y satisfactoriamente la inspección del vehículo asegurado, queda suspendida la cobertura de pérdida total por daño propio. Durante esta suspensión, ………………… sólo se obliga a brindar cobertura por daños parciales. Cabe determinar, en este punto, tal como se hiciera con ocasión de resolver el reclamo del asegurado en primera instancia, si la declaración de pérdida total del vehículo asegurado realizada por ………………… es correcta, teniendo en cuenta esta vez la información aportada con ocasión de la presentación de su recurso impugnativo. </w:t>
      </w:r>
    </w:p>
    <w:p w14:paraId="4BC081AC" w14:textId="52B2C14E" w:rsidR="005B306B" w:rsidRPr="00207B29" w:rsidRDefault="005B306B" w:rsidP="00207B29">
      <w:pPr>
        <w:spacing w:after="200" w:line="240" w:lineRule="auto"/>
        <w:jc w:val="both"/>
        <w:rPr>
          <w:rFonts w:ascii="Times New Roman" w:hAnsi="Times New Roman" w:cs="Times New Roman"/>
          <w:sz w:val="24"/>
          <w:szCs w:val="24"/>
          <w:lang w:val="es-PE"/>
        </w:rPr>
      </w:pPr>
      <w:r w:rsidRPr="00207B29">
        <w:rPr>
          <w:rFonts w:ascii="Times New Roman" w:hAnsi="Times New Roman" w:cs="Times New Roman"/>
          <w:sz w:val="24"/>
          <w:szCs w:val="24"/>
          <w:lang w:val="es-PE"/>
        </w:rPr>
        <w:t>El Glosario de términos de las Condiciones Generales de</w:t>
      </w:r>
      <w:r w:rsidR="00A0075C" w:rsidRPr="00207B29">
        <w:rPr>
          <w:rFonts w:ascii="Times New Roman" w:hAnsi="Times New Roman" w:cs="Times New Roman"/>
          <w:sz w:val="24"/>
          <w:szCs w:val="24"/>
          <w:lang w:val="es-PE"/>
        </w:rPr>
        <w:t xml:space="preserve"> </w:t>
      </w:r>
      <w:r w:rsidRPr="00207B29">
        <w:rPr>
          <w:rFonts w:ascii="Times New Roman" w:hAnsi="Times New Roman" w:cs="Times New Roman"/>
          <w:sz w:val="24"/>
          <w:szCs w:val="24"/>
          <w:lang w:val="es-PE"/>
        </w:rPr>
        <w:t>l</w:t>
      </w:r>
      <w:r w:rsidR="00A0075C" w:rsidRPr="00207B29">
        <w:rPr>
          <w:rFonts w:ascii="Times New Roman" w:hAnsi="Times New Roman" w:cs="Times New Roman"/>
          <w:sz w:val="24"/>
          <w:szCs w:val="24"/>
          <w:lang w:val="es-PE"/>
        </w:rPr>
        <w:t>a Póliza</w:t>
      </w:r>
      <w:r w:rsidRPr="00207B29">
        <w:rPr>
          <w:rFonts w:ascii="Times New Roman" w:hAnsi="Times New Roman" w:cs="Times New Roman"/>
          <w:sz w:val="24"/>
          <w:szCs w:val="24"/>
          <w:lang w:val="es-PE"/>
        </w:rPr>
        <w:t xml:space="preserve"> considera “pérdida total”, cuando, </w:t>
      </w:r>
    </w:p>
    <w:p w14:paraId="2071FC32" w14:textId="2732324D" w:rsidR="00FF2CF8" w:rsidRPr="00207B29" w:rsidRDefault="005B306B" w:rsidP="00207B29">
      <w:pPr>
        <w:tabs>
          <w:tab w:val="left" w:pos="1701"/>
        </w:tabs>
        <w:spacing w:after="120" w:line="240" w:lineRule="auto"/>
        <w:ind w:left="1701"/>
        <w:jc w:val="both"/>
        <w:rPr>
          <w:rFonts w:ascii="Times New Roman" w:hAnsi="Times New Roman" w:cs="Times New Roman"/>
          <w:sz w:val="24"/>
          <w:szCs w:val="24"/>
          <w:lang w:val="es-PE"/>
        </w:rPr>
      </w:pPr>
      <w:r>
        <w:rPr>
          <w:rFonts w:ascii="Times New Roman" w:hAnsi="Times New Roman"/>
          <w:sz w:val="24"/>
        </w:rPr>
        <w:t xml:space="preserve">«[…] el vehículo asegurado ha sufrido un SINIESTRO de pérdida total, cuando el presupuesto (incluyendo el impuesto general a las ventas — IGV) de reparación de los daños del mismo, aprobado por …………………, alcance o supere el 75% del valor comercial, valor convenido o suma asegurada del VEHICULO ASEGURADO. Así mismo se considera pérdida total cuando se produzca el robo total del vehículo asegurado sin que aparezca durante el plazo de treinta (30) días calendario desde la fecha de la denuncia.» (el énfasis es agregado)</w:t>
      </w:r>
    </w:p>
    <w:p w14:paraId="5D742908" w14:textId="34CAF9E4" w:rsidR="0018143B" w:rsidRPr="00207B29" w:rsidRDefault="0018143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la Resolución Impugnada, este Colegiado señaló que dado que la cobertura se encontraba parcialmente suspendida, para justificar válidamente el rechazo invocando un siniestro de pérdida total, ………………… debió presentar documentación con el suficiente grado de certeza que corroborara que el presupuesto de reparación de los daños del vehículo siniestrado era igual o superior al 75% del valor comercial, valor convenido o suma asegurada del vehículo, tal como señala el Glosario de términos de las Condiciones generales de la Póliza. </w:t>
      </w:r>
    </w:p>
    <w:p w14:paraId="1E867F4C" w14:textId="484B630F" w:rsidR="0018143B" w:rsidRPr="00207B29" w:rsidRDefault="0018143B"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este caso, ………………… ha presentado con su escrito de fecha 30 de junio de 2025 la cotización n.° 398583 elaborada por el taller Autoland, con relación a los gastos de reparación de los daños del vehículo asegurado producto del siniestro, los mismos que ascenderían a la suma de USD 13,004.18 (trece mil cuatro dólares americanos y 18/100), cifra que incluye el Impuesto General a las Ventas. </w:t>
      </w:r>
    </w:p>
    <w:p w14:paraId="1AC023A3" w14:textId="2EAEA574" w:rsidR="00AB4214" w:rsidRPr="00207B29" w:rsidRDefault="004872DA"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dicho sentido, siendo que la suma asegurada asciende a la suma de USD 8,500 (ocho mil quinientos dólares americanos y 00/100) es claro que la reparación de los daños del vehículo producto del siniestro supera el 75% de la suma asegurada consignada en la Póliza, por lo tanto, no procede que ………………… cubra el siniestro ocurrido el día 3 de mayo de 2024 por la pérdida total por daño propio del vehículo asegurado. </w:t>
      </w:r>
    </w:p>
    <w:p w14:paraId="0E8377C7" w14:textId="4C6D72F7" w:rsidR="00AB4214" w:rsidRPr="00207B29" w:rsidRDefault="00AB4214"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siendo que con posterioridad a la emisión de la Resolución Impugnada la empresa ………………… del vehículo supera el 75% de la suma asegurada, y siendo que la sétima regla de interpretación establecida en la Ley del Contrato de Seguro señala que «[l]a cobertura, exclusiones y, en general, la extensión del riesgo así como los derechos de los beneficiarios, previstos en el contrato de seguro, deben interpretarse literalmente»; este Colegiado concluye que el rechazo de cobertura resultó legítimo y en consecuencia corresponde revocar la resolución emitida y declarar infundado el reclamo.</w:t>
      </w:r>
    </w:p>
    <w:bookmarkEnd w:id="3"/>
    <w:p w14:paraId="4E339F88" w14:textId="7FC1CF05" w:rsidR="00F67367" w:rsidRPr="00207B29" w:rsidRDefault="00F67367"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SÉPTIMO: Que, la Condición especial de la Póliza señala que mientras no se pase la inspección, la empresa ………………… cobertura de pérdida total por daño propio del vehículo asegurado, mientras la cobertura se encuentre suspendida. Asimismo, se señala que el porcentaje de la prima total anual que corresponde a la cobertura de Pérdida Total, asciende a la suma del 20% de la prima total anual. Por lo tanto, procedería que ………………… devuelva los pagos en exceso realizados por el asegurado durante el período que la cobertura de pérdida total por daño propio del vehículo asegurado se encontraba suspendida.</w:t>
      </w:r>
    </w:p>
    <w:p w14:paraId="3356E798" w14:textId="7C000F96" w:rsidR="006E1CCD" w:rsidRPr="00207B29" w:rsidRDefault="004858EC" w:rsidP="00207B29">
      <w:pPr>
        <w:spacing w:after="200" w:line="240" w:lineRule="auto"/>
        <w:jc w:val="both"/>
        <w:rPr>
          <w:rFonts w:ascii="Times New Roman" w:hAnsi="Times New Roman" w:cs="Times New Roman"/>
          <w:sz w:val="24"/>
          <w:szCs w:val="24"/>
          <w:lang w:val="es-PE"/>
        </w:rPr>
      </w:pPr>
      <w:r w:rsidRPr="00207B29">
        <w:rPr>
          <w:rFonts w:ascii="Times New Roman" w:hAnsi="Times New Roman" w:cs="Times New Roman"/>
          <w:sz w:val="24"/>
          <w:szCs w:val="24"/>
          <w:lang w:val="es-PE"/>
        </w:rPr>
        <w:t>Q</w:t>
      </w:r>
      <w:r w:rsidR="006E1CCD" w:rsidRPr="00207B29">
        <w:rPr>
          <w:rFonts w:ascii="Times New Roman" w:hAnsi="Times New Roman" w:cs="Times New Roman"/>
          <w:sz w:val="24"/>
          <w:szCs w:val="24"/>
          <w:lang w:val="es-PE"/>
        </w:rPr>
        <w:t>ue, en consecuencia, esta Defensoría del Asegurado concluye su apreciación razonada y conjunta al amparo de lo establecido en su Reglamento, por lo que:</w:t>
      </w:r>
    </w:p>
    <w:p w14:paraId="27FF9234" w14:textId="77777777" w:rsidR="006E1CCD" w:rsidRPr="00207B29" w:rsidRDefault="006E1CCD" w:rsidP="00207B29">
      <w:pPr>
        <w:spacing w:after="200" w:line="240" w:lineRule="auto"/>
        <w:jc w:val="both"/>
        <w:rPr>
          <w:rFonts w:ascii="Times New Roman" w:hAnsi="Times New Roman" w:cs="Times New Roman"/>
          <w:b/>
          <w:bCs/>
          <w:sz w:val="24"/>
          <w:szCs w:val="24"/>
          <w:u w:val="single"/>
          <w:lang w:val="es-PE"/>
        </w:rPr>
      </w:pPr>
      <w:r w:rsidRPr="00207B29">
        <w:rPr>
          <w:rFonts w:ascii="Times New Roman" w:hAnsi="Times New Roman" w:cs="Times New Roman"/>
          <w:b/>
          <w:bCs/>
          <w:sz w:val="24"/>
          <w:szCs w:val="24"/>
          <w:lang w:val="es-PE"/>
        </w:rPr>
        <w:t>RESUELVE:</w:t>
      </w:r>
    </w:p>
    <w:p w14:paraId="27D6AB13" w14:textId="4D4A9E28" w:rsidR="00B541DE" w:rsidRPr="00207B29" w:rsidRDefault="00AB4214" w:rsidP="00207B29">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FUNDADO el Recurso de Impugnación interpuesto por ………………… y, por lo tanto, REVOCA la Resolución n.° 101-25 de fecha 27 de junio de 2025; en consecuencia, declara INFUNDADA el reclamo interpuesto por el señor ………………… dejando a salvo su derecho de recurrir ante las instancias que considere pertinentes.</w:t>
      </w:r>
    </w:p>
    <w:p w14:paraId="5ED79E9E" w14:textId="3C8D027F" w:rsidR="00033B9E" w:rsidRPr="00207B29" w:rsidRDefault="00033B9E" w:rsidP="00207B29">
      <w:pPr>
        <w:spacing w:after="200" w:line="240" w:lineRule="auto"/>
        <w:jc w:val="right"/>
        <w:rPr>
          <w:rFonts w:ascii="Times New Roman" w:hAnsi="Times New Roman" w:cs="Times New Roman"/>
          <w:sz w:val="24"/>
          <w:szCs w:val="24"/>
          <w:lang w:val="es-PE"/>
        </w:rPr>
      </w:pPr>
      <w:r w:rsidRPr="00207B29">
        <w:rPr>
          <w:rFonts w:ascii="Times New Roman" w:hAnsi="Times New Roman" w:cs="Times New Roman"/>
          <w:sz w:val="24"/>
          <w:szCs w:val="24"/>
          <w:lang w:val="es-PE"/>
        </w:rPr>
        <w:t xml:space="preserve">Lima, </w:t>
      </w:r>
      <w:r w:rsidR="005D20AB">
        <w:rPr>
          <w:rFonts w:ascii="Times New Roman" w:hAnsi="Times New Roman" w:cs="Times New Roman"/>
          <w:sz w:val="24"/>
          <w:szCs w:val="24"/>
          <w:lang w:val="es-PE"/>
        </w:rPr>
        <w:t>06</w:t>
      </w:r>
      <w:r w:rsidRPr="00207B29">
        <w:rPr>
          <w:rFonts w:ascii="Times New Roman" w:hAnsi="Times New Roman" w:cs="Times New Roman"/>
          <w:sz w:val="24"/>
          <w:szCs w:val="24"/>
          <w:lang w:val="es-PE"/>
        </w:rPr>
        <w:t xml:space="preserve"> de </w:t>
      </w:r>
      <w:r w:rsidR="00A0075C" w:rsidRPr="00207B29">
        <w:rPr>
          <w:rFonts w:ascii="Times New Roman" w:hAnsi="Times New Roman" w:cs="Times New Roman"/>
          <w:sz w:val="24"/>
          <w:szCs w:val="24"/>
          <w:lang w:val="es-PE"/>
        </w:rPr>
        <w:t>octubre</w:t>
      </w:r>
      <w:r w:rsidR="00304C79" w:rsidRPr="00207B29">
        <w:rPr>
          <w:rFonts w:ascii="Times New Roman" w:hAnsi="Times New Roman" w:cs="Times New Roman"/>
          <w:sz w:val="24"/>
          <w:szCs w:val="24"/>
          <w:lang w:val="es-PE"/>
        </w:rPr>
        <w:t xml:space="preserve"> </w:t>
      </w:r>
      <w:r w:rsidRPr="00207B29">
        <w:rPr>
          <w:rFonts w:ascii="Times New Roman" w:hAnsi="Times New Roman" w:cs="Times New Roman"/>
          <w:sz w:val="24"/>
          <w:szCs w:val="24"/>
          <w:lang w:val="es-PE"/>
        </w:rPr>
        <w:t xml:space="preserve">de 2025 </w:t>
      </w:r>
    </w:p>
    <w:p w14:paraId="10ECF88E" w14:textId="77777777" w:rsidR="00033B9E" w:rsidRPr="00207B29" w:rsidRDefault="00033B9E" w:rsidP="00207B29">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77777777" w:rsidR="00033B9E" w:rsidRPr="00207B29" w:rsidRDefault="00033B9E" w:rsidP="00207B29">
      <w:pPr>
        <w:spacing w:after="200" w:line="240" w:lineRule="auto"/>
        <w:jc w:val="both"/>
        <w:rPr>
          <w:rFonts w:ascii="Times New Roman" w:hAnsi="Times New Roman" w:cs="Times New Roman"/>
          <w:b/>
          <w:bCs/>
          <w:i/>
          <w:iCs/>
          <w:sz w:val="24"/>
          <w:szCs w:val="24"/>
          <w:lang w:val="es-PE"/>
        </w:rPr>
      </w:pPr>
      <w:r w:rsidRPr="00207B29">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bookmarkEnd w:id="2"/>
    <w:p w14:paraId="186AE5EB" w14:textId="77777777" w:rsidR="00762AF6" w:rsidRPr="008E6C3D" w:rsidRDefault="00762AF6" w:rsidP="00762AF6">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Antonio Rodriguez Lobatón – </w:t>
      </w:r>
      <w:proofErr w:type="gramStart"/>
      <w:r>
        <w:rPr>
          <w:rFonts w:ascii="Times New Roman" w:hAnsi="Times New Roman" w:cs="Times New Roman"/>
          <w:b/>
          <w:bCs/>
          <w:sz w:val="24"/>
          <w:szCs w:val="24"/>
          <w:lang w:val="es-PE"/>
        </w:rPr>
        <w:t>Presidente</w:t>
      </w:r>
      <w:proofErr w:type="gramEnd"/>
    </w:p>
    <w:p w14:paraId="58032E0E" w14:textId="77777777" w:rsidR="00762AF6" w:rsidRDefault="00762AF6" w:rsidP="00762AF6">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María Eugenia Valdez Fernández Baca </w:t>
      </w:r>
      <w:r>
        <w:rPr>
          <w:rFonts w:ascii="Times New Roman" w:hAnsi="Times New Roman" w:cs="Times New Roman"/>
          <w:b/>
          <w:bCs/>
          <w:sz w:val="24"/>
          <w:szCs w:val="24"/>
          <w:lang w:val="es-PE"/>
        </w:rPr>
        <w:t>–</w:t>
      </w:r>
      <w:r w:rsidRPr="003943B9">
        <w:rPr>
          <w:rFonts w:ascii="Times New Roman" w:hAnsi="Times New Roman" w:cs="Times New Roman"/>
          <w:b/>
          <w:bCs/>
          <w:sz w:val="24"/>
          <w:szCs w:val="24"/>
          <w:lang w:val="es-PE"/>
        </w:rPr>
        <w:t xml:space="preserve"> Vocal</w:t>
      </w:r>
    </w:p>
    <w:p w14:paraId="0D0AA615" w14:textId="77777777" w:rsidR="00762AF6" w:rsidRPr="003943B9" w:rsidRDefault="00762AF6" w:rsidP="00762AF6">
      <w:pPr>
        <w:spacing w:after="0" w:line="360" w:lineRule="auto"/>
        <w:jc w:val="center"/>
        <w:rPr>
          <w:rFonts w:ascii="Times New Roman" w:hAnsi="Times New Roman" w:cs="Times New Roman"/>
          <w:b/>
          <w:bCs/>
          <w:sz w:val="24"/>
          <w:szCs w:val="24"/>
          <w:lang w:val="es-PE"/>
        </w:rPr>
      </w:pPr>
      <w:r w:rsidRPr="003943B9">
        <w:rPr>
          <w:rFonts w:ascii="Times New Roman" w:hAnsi="Times New Roman" w:cs="Times New Roman"/>
          <w:b/>
          <w:bCs/>
          <w:sz w:val="24"/>
          <w:szCs w:val="24"/>
          <w:lang w:val="es-PE"/>
        </w:rPr>
        <w:t xml:space="preserve">Rolando Eyzaguirre </w:t>
      </w:r>
      <w:proofErr w:type="spellStart"/>
      <w:r w:rsidRPr="003943B9">
        <w:rPr>
          <w:rFonts w:ascii="Times New Roman" w:hAnsi="Times New Roman" w:cs="Times New Roman"/>
          <w:b/>
          <w:bCs/>
          <w:sz w:val="24"/>
          <w:szCs w:val="24"/>
          <w:lang w:val="es-PE"/>
        </w:rPr>
        <w:t>Maccan</w:t>
      </w:r>
      <w:proofErr w:type="spellEnd"/>
      <w:r w:rsidRPr="003943B9">
        <w:rPr>
          <w:rFonts w:ascii="Times New Roman" w:hAnsi="Times New Roman" w:cs="Times New Roman"/>
          <w:b/>
          <w:bCs/>
          <w:sz w:val="24"/>
          <w:szCs w:val="24"/>
          <w:lang w:val="es-PE"/>
        </w:rPr>
        <w:t xml:space="preserve"> - </w:t>
      </w:r>
      <w:r>
        <w:rPr>
          <w:rFonts w:ascii="Times New Roman" w:hAnsi="Times New Roman" w:cs="Times New Roman"/>
          <w:b/>
          <w:bCs/>
          <w:sz w:val="24"/>
          <w:szCs w:val="24"/>
          <w:lang w:val="es-PE"/>
        </w:rPr>
        <w:t>Vocal</w:t>
      </w:r>
    </w:p>
    <w:p w14:paraId="01BF34EE" w14:textId="77777777" w:rsidR="00001989" w:rsidRPr="00F92849" w:rsidRDefault="00001989" w:rsidP="00F92849">
      <w:pPr>
        <w:spacing w:after="200" w:line="240" w:lineRule="auto"/>
        <w:jc w:val="center"/>
        <w:rPr>
          <w:rFonts w:ascii="Georgia" w:hAnsi="Georgia" w:cs="Times New Roman"/>
          <w:b/>
          <w:bCs/>
          <w:sz w:val="24"/>
          <w:szCs w:val="24"/>
          <w:lang w:val="es-PE"/>
        </w:rPr>
      </w:pPr>
    </w:p>
    <w:sectPr w:rsidR="00001989" w:rsidRPr="00F92849"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1F0CF" w14:textId="77777777" w:rsidR="00E960DD" w:rsidRDefault="00E960DD" w:rsidP="00784355">
      <w:pPr>
        <w:spacing w:after="0" w:line="240" w:lineRule="auto"/>
      </w:pPr>
      <w:r>
        <w:separator/>
      </w:r>
    </w:p>
  </w:endnote>
  <w:endnote w:type="continuationSeparator" w:id="0">
    <w:p w14:paraId="7944EEC7" w14:textId="77777777" w:rsidR="00E960DD" w:rsidRDefault="00E960D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13C38AB9" w:rsidR="00C671F5" w:rsidRPr="00207B29" w:rsidRDefault="00C671F5">
            <w:pPr>
              <w:pStyle w:val="Piedepgina"/>
              <w:jc w:val="right"/>
              <w:rPr>
                <w:rFonts w:ascii="Times New Roman" w:hAnsi="Times New Roman" w:cs="Times New Roman"/>
                <w:sz w:val="18"/>
                <w:szCs w:val="18"/>
              </w:rPr>
            </w:pPr>
            <w:r w:rsidRPr="00207B29">
              <w:rPr>
                <w:rFonts w:ascii="Times New Roman" w:hAnsi="Times New Roman" w:cs="Times New Roman"/>
                <w:sz w:val="18"/>
                <w:szCs w:val="18"/>
                <w:lang w:val="es-ES"/>
              </w:rPr>
              <w:t xml:space="preserve">Página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PAGE</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r w:rsidRPr="00207B29">
              <w:rPr>
                <w:rFonts w:ascii="Times New Roman" w:hAnsi="Times New Roman" w:cs="Times New Roman"/>
                <w:sz w:val="18"/>
                <w:szCs w:val="18"/>
                <w:lang w:val="es-ES"/>
              </w:rPr>
              <w:t xml:space="preserve"> de </w:t>
            </w:r>
            <w:r w:rsidRPr="00207B29">
              <w:rPr>
                <w:rFonts w:ascii="Times New Roman" w:hAnsi="Times New Roman" w:cs="Times New Roman"/>
                <w:b/>
                <w:bCs/>
                <w:sz w:val="18"/>
                <w:szCs w:val="18"/>
              </w:rPr>
              <w:fldChar w:fldCharType="begin"/>
            </w:r>
            <w:r w:rsidRPr="00207B29">
              <w:rPr>
                <w:rFonts w:ascii="Times New Roman" w:hAnsi="Times New Roman" w:cs="Times New Roman"/>
                <w:b/>
                <w:bCs/>
                <w:sz w:val="18"/>
                <w:szCs w:val="18"/>
              </w:rPr>
              <w:instrText>NUMPAGES</w:instrText>
            </w:r>
            <w:r w:rsidRPr="00207B29">
              <w:rPr>
                <w:rFonts w:ascii="Times New Roman" w:hAnsi="Times New Roman" w:cs="Times New Roman"/>
                <w:b/>
                <w:bCs/>
                <w:sz w:val="18"/>
                <w:szCs w:val="18"/>
              </w:rPr>
              <w:fldChar w:fldCharType="separate"/>
            </w:r>
            <w:r w:rsidRPr="00207B29">
              <w:rPr>
                <w:rFonts w:ascii="Times New Roman" w:hAnsi="Times New Roman" w:cs="Times New Roman"/>
                <w:b/>
                <w:bCs/>
                <w:sz w:val="18"/>
                <w:szCs w:val="18"/>
                <w:lang w:val="es-ES"/>
              </w:rPr>
              <w:t>2</w:t>
            </w:r>
            <w:r w:rsidRPr="00207B29">
              <w:rPr>
                <w:rFonts w:ascii="Times New Roman" w:hAnsi="Times New Roman" w:cs="Times New Roman"/>
                <w:b/>
                <w:bCs/>
                <w:sz w:val="18"/>
                <w:szCs w:val="18"/>
              </w:rPr>
              <w:fldChar w:fldCharType="end"/>
            </w:r>
          </w:p>
        </w:sdtContent>
      </w:sdt>
    </w:sdtContent>
  </w:sdt>
  <w:p w14:paraId="3BA05C52" w14:textId="77777777" w:rsidR="00784355" w:rsidRPr="00207B29" w:rsidRDefault="00784355">
    <w:pPr>
      <w:pStyle w:val="Piedepgina"/>
      <w:spacing w:line="240" w:lineRule="auto"/>
      <w:rPr>
        <w:rFonts w:ascii="Times New Roman" w:hAnsi="Times New Roman" w:cs="Times New Roman"/>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DE181" w14:textId="77777777" w:rsidR="00E960DD" w:rsidRDefault="00E960DD" w:rsidP="00784355">
      <w:pPr>
        <w:spacing w:after="0" w:line="240" w:lineRule="auto"/>
      </w:pPr>
      <w:r>
        <w:separator/>
      </w:r>
    </w:p>
  </w:footnote>
  <w:footnote w:type="continuationSeparator" w:id="0">
    <w:p w14:paraId="7FD78334" w14:textId="77777777" w:rsidR="00E960DD" w:rsidRDefault="00E960DD" w:rsidP="00784355">
      <w:pPr>
        <w:spacing w:after="0" w:line="240" w:lineRule="auto"/>
      </w:pPr>
      <w:r>
        <w:continuationSeparator/>
      </w:r>
    </w:p>
  </w:footnote>
  <w:footnote w:id="1">
    <w:p w14:paraId="5026D32B" w14:textId="77777777" w:rsidR="001035ED" w:rsidRPr="00207B29" w:rsidRDefault="001035ED" w:rsidP="00207B29">
      <w:pPr>
        <w:pStyle w:val="Textonotapie"/>
        <w:tabs>
          <w:tab w:val="left" w:pos="284"/>
        </w:tabs>
        <w:spacing w:after="60"/>
        <w:ind w:left="284" w:hanging="284"/>
        <w:jc w:val="both"/>
        <w:rPr>
          <w:rFonts w:ascii="Times New Roman" w:hAnsi="Times New Roman" w:cs="Times New Roman"/>
          <w:b/>
          <w:bCs/>
          <w:sz w:val="18"/>
          <w:szCs w:val="18"/>
          <w:lang w:val="es-PE"/>
        </w:rPr>
      </w:pPr>
      <w:r w:rsidRPr="00207B29">
        <w:rPr>
          <w:rStyle w:val="Refdenotaalpie"/>
          <w:rFonts w:ascii="Times New Roman" w:hAnsi="Times New Roman" w:cs="Times New Roman"/>
          <w:sz w:val="18"/>
          <w:szCs w:val="18"/>
          <w:lang w:val="es-PE"/>
        </w:rPr>
        <w:footnoteRef/>
      </w:r>
      <w:r w:rsidRPr="00207B29">
        <w:rPr>
          <w:rFonts w:ascii="Times New Roman" w:hAnsi="Times New Roman" w:cs="Times New Roman"/>
          <w:sz w:val="18"/>
          <w:szCs w:val="18"/>
          <w:lang w:val="es-PE"/>
        </w:rPr>
        <w:t xml:space="preserve"> </w:t>
      </w:r>
      <w:r w:rsidRPr="00207B29">
        <w:rPr>
          <w:rFonts w:ascii="Times New Roman" w:hAnsi="Times New Roman" w:cs="Times New Roman"/>
          <w:sz w:val="18"/>
          <w:szCs w:val="18"/>
          <w:lang w:val="es-PE"/>
        </w:rPr>
        <w:tab/>
      </w:r>
      <w:r w:rsidRPr="00207B29">
        <w:rPr>
          <w:rFonts w:ascii="Times New Roman" w:hAnsi="Times New Roman" w:cs="Times New Roman"/>
          <w:b/>
          <w:bCs/>
          <w:sz w:val="18"/>
          <w:szCs w:val="18"/>
          <w:lang w:val="es-PE"/>
        </w:rPr>
        <w:t>Reglamento de DEFASEG</w:t>
      </w:r>
    </w:p>
    <w:p w14:paraId="7C7FF2C2" w14:textId="77777777" w:rsidR="001035ED" w:rsidRPr="00207B29" w:rsidRDefault="001035ED" w:rsidP="00207B29">
      <w:pPr>
        <w:pStyle w:val="Textonotapie"/>
        <w:tabs>
          <w:tab w:val="left" w:pos="284"/>
        </w:tabs>
        <w:spacing w:after="60"/>
        <w:ind w:left="284" w:hanging="284"/>
        <w:jc w:val="both"/>
        <w:rPr>
          <w:rFonts w:ascii="Times New Roman" w:hAnsi="Times New Roman" w:cs="Times New Roman"/>
          <w:b/>
          <w:bCs/>
          <w:sz w:val="18"/>
          <w:szCs w:val="18"/>
          <w:lang w:val="es-PE"/>
        </w:rPr>
      </w:pPr>
      <w:r w:rsidRPr="00207B29">
        <w:rPr>
          <w:rFonts w:ascii="Times New Roman" w:hAnsi="Times New Roman" w:cs="Times New Roman"/>
          <w:sz w:val="18"/>
          <w:szCs w:val="18"/>
          <w:lang w:val="es-PE"/>
        </w:rPr>
        <w:tab/>
      </w:r>
      <w:r w:rsidRPr="00207B29">
        <w:rPr>
          <w:rFonts w:ascii="Times New Roman" w:hAnsi="Times New Roman" w:cs="Times New Roman"/>
          <w:b/>
          <w:bCs/>
          <w:sz w:val="18"/>
          <w:szCs w:val="18"/>
          <w:lang w:val="es-PE"/>
        </w:rPr>
        <w:t>10. Procedimiento</w:t>
      </w:r>
    </w:p>
    <w:p w14:paraId="5390EA05" w14:textId="77777777" w:rsidR="001035ED" w:rsidRPr="00207B29" w:rsidRDefault="001035ED" w:rsidP="00207B29">
      <w:pPr>
        <w:pStyle w:val="Textonotapie"/>
        <w:tabs>
          <w:tab w:val="left" w:pos="284"/>
        </w:tabs>
        <w:spacing w:after="60"/>
        <w:ind w:left="284" w:hanging="284"/>
        <w:jc w:val="both"/>
        <w:rPr>
          <w:rFonts w:ascii="Times New Roman" w:hAnsi="Times New Roman" w:cs="Times New Roman"/>
          <w:sz w:val="18"/>
          <w:szCs w:val="18"/>
          <w:lang w:val="es-PE"/>
        </w:rPr>
      </w:pPr>
      <w:r w:rsidRPr="00207B29">
        <w:rPr>
          <w:rFonts w:ascii="Times New Roman" w:hAnsi="Times New Roman" w:cs="Times New Roman"/>
          <w:sz w:val="18"/>
          <w:szCs w:val="18"/>
          <w:lang w:val="es-PE"/>
        </w:rPr>
        <w:tab/>
        <w:t>(…)</w:t>
      </w:r>
    </w:p>
    <w:p w14:paraId="796EB13B" w14:textId="77777777" w:rsidR="001035ED" w:rsidRPr="00207B29" w:rsidRDefault="001035ED" w:rsidP="00207B29">
      <w:pPr>
        <w:pStyle w:val="Textonotapie"/>
        <w:tabs>
          <w:tab w:val="left" w:pos="284"/>
        </w:tabs>
        <w:spacing w:after="60"/>
        <w:ind w:left="284" w:hanging="284"/>
        <w:jc w:val="both"/>
        <w:rPr>
          <w:rFonts w:ascii="Times New Roman" w:hAnsi="Times New Roman" w:cs="Times New Roman"/>
          <w:sz w:val="18"/>
          <w:szCs w:val="18"/>
          <w:lang w:val="es-PE"/>
        </w:rPr>
      </w:pPr>
      <w:r w:rsidRPr="00207B29">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207B29" w:rsidRDefault="001035ED" w:rsidP="00207B29">
      <w:pPr>
        <w:pStyle w:val="Textonotapie"/>
        <w:tabs>
          <w:tab w:val="left" w:pos="284"/>
        </w:tabs>
        <w:spacing w:after="120"/>
        <w:ind w:left="284" w:hanging="284"/>
        <w:jc w:val="both"/>
        <w:rPr>
          <w:rFonts w:ascii="Times New Roman" w:hAnsi="Times New Roman" w:cs="Times New Roman"/>
          <w:sz w:val="18"/>
          <w:szCs w:val="18"/>
          <w:lang w:val="es-PE"/>
        </w:rPr>
      </w:pPr>
      <w:r w:rsidRPr="00207B29">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60E8683A" w14:textId="2C846ED2" w:rsidR="00000E57" w:rsidRPr="00207B29" w:rsidRDefault="00556399"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Style w:val="Refdenotaalpie"/>
          <w:rFonts w:ascii="Times New Roman" w:hAnsi="Times New Roman" w:cs="Times New Roman"/>
          <w:sz w:val="18"/>
          <w:szCs w:val="18"/>
        </w:rPr>
        <w:footnoteRef/>
      </w:r>
      <w:r w:rsidRPr="00207B29">
        <w:rPr>
          <w:rFonts w:ascii="Times New Roman" w:hAnsi="Times New Roman" w:cs="Times New Roman"/>
          <w:sz w:val="18"/>
          <w:szCs w:val="18"/>
        </w:rPr>
        <w:t xml:space="preserve"> </w:t>
      </w:r>
      <w:r w:rsidR="00000E57" w:rsidRPr="00207B29">
        <w:rPr>
          <w:rFonts w:ascii="Times New Roman" w:hAnsi="Times New Roman" w:cs="Times New Roman"/>
          <w:sz w:val="18"/>
          <w:szCs w:val="18"/>
        </w:rPr>
        <w:tab/>
        <w:t xml:space="preserve">Véase </w:t>
      </w:r>
      <w:r w:rsidR="00000E57" w:rsidRPr="00207B29">
        <w:rPr>
          <w:rFonts w:ascii="Times New Roman" w:hAnsi="Times New Roman" w:cs="Times New Roman"/>
          <w:noProof/>
          <w:sz w:val="18"/>
          <w:szCs w:val="18"/>
          <w:lang w:val="es-PE"/>
        </w:rPr>
        <w:t>Resolución DEFASEG n.° 89/25</w:t>
      </w:r>
      <w:r w:rsidR="00000E57" w:rsidRPr="00207B29">
        <w:rPr>
          <w:rFonts w:ascii="Times New Roman" w:hAnsi="Times New Roman" w:cs="Times New Roman"/>
          <w:i/>
          <w:iCs/>
          <w:noProof/>
          <w:sz w:val="18"/>
          <w:szCs w:val="18"/>
          <w:lang w:val="es-PE"/>
        </w:rPr>
        <w:t xml:space="preserve"> (</w:t>
      </w:r>
      <w:r w:rsidR="00000E57" w:rsidRPr="00207B29">
        <w:rPr>
          <w:rFonts w:ascii="Times New Roman" w:hAnsi="Times New Roman" w:cs="Times New Roman"/>
          <w:i/>
          <w:iCs/>
          <w:noProof/>
          <w:sz w:val="18"/>
          <w:szCs w:val="18"/>
          <w:u w:val="single"/>
          <w:lang w:val="es-PE"/>
        </w:rPr>
        <w:t>Expediente n.° 6218, Mujica Corzo v. Mapfre</w:t>
      </w:r>
      <w:r w:rsidR="00000E57" w:rsidRPr="00207B29">
        <w:rPr>
          <w:rFonts w:ascii="Times New Roman" w:hAnsi="Times New Roman" w:cs="Times New Roman"/>
          <w:i/>
          <w:iCs/>
          <w:noProof/>
          <w:sz w:val="18"/>
          <w:szCs w:val="18"/>
          <w:lang w:val="es-PE"/>
        </w:rPr>
        <w:t>)</w:t>
      </w:r>
      <w:r w:rsidR="00000E57" w:rsidRPr="00207B29">
        <w:rPr>
          <w:rFonts w:ascii="Times New Roman" w:hAnsi="Times New Roman" w:cs="Times New Roman"/>
          <w:noProof/>
          <w:sz w:val="18"/>
          <w:szCs w:val="18"/>
          <w:lang w:val="es-PE"/>
        </w:rPr>
        <w:t xml:space="preserve"> del 10 de junio de 2025 y </w:t>
      </w:r>
      <w:r w:rsidR="00000E57" w:rsidRPr="00207B29">
        <w:rPr>
          <w:rFonts w:ascii="Times New Roman" w:hAnsi="Times New Roman" w:cs="Times New Roman"/>
          <w:sz w:val="18"/>
          <w:szCs w:val="18"/>
        </w:rPr>
        <w:t xml:space="preserve">Resolución DEFASEG </w:t>
      </w:r>
      <w:r w:rsidR="00000E57" w:rsidRPr="00207B29">
        <w:rPr>
          <w:rFonts w:ascii="Times New Roman" w:hAnsi="Times New Roman" w:cs="Times New Roman"/>
          <w:noProof/>
          <w:sz w:val="18"/>
          <w:szCs w:val="18"/>
          <w:lang w:val="es-PE"/>
        </w:rPr>
        <w:t>n.° 115/25</w:t>
      </w:r>
      <w:r w:rsidR="00000E57" w:rsidRPr="00207B29">
        <w:rPr>
          <w:rFonts w:ascii="Times New Roman" w:hAnsi="Times New Roman" w:cs="Times New Roman"/>
          <w:i/>
          <w:iCs/>
          <w:noProof/>
          <w:sz w:val="18"/>
          <w:szCs w:val="18"/>
          <w:lang w:val="es-PE"/>
        </w:rPr>
        <w:t xml:space="preserve"> (</w:t>
      </w:r>
      <w:r w:rsidR="00000E57" w:rsidRPr="00207B29">
        <w:rPr>
          <w:rFonts w:ascii="Times New Roman" w:hAnsi="Times New Roman" w:cs="Times New Roman"/>
          <w:i/>
          <w:iCs/>
          <w:noProof/>
          <w:sz w:val="18"/>
          <w:szCs w:val="18"/>
          <w:u w:val="single"/>
          <w:lang w:val="es-PE"/>
        </w:rPr>
        <w:t>Expediente n.° 6259, Villalobos Palomino v. Rímac</w:t>
      </w:r>
      <w:r w:rsidR="00000E57" w:rsidRPr="00207B29">
        <w:rPr>
          <w:rFonts w:ascii="Times New Roman" w:hAnsi="Times New Roman" w:cs="Times New Roman"/>
          <w:i/>
          <w:iCs/>
          <w:noProof/>
          <w:sz w:val="18"/>
          <w:szCs w:val="18"/>
          <w:lang w:val="es-PE"/>
        </w:rPr>
        <w:t xml:space="preserve">) </w:t>
      </w:r>
      <w:r w:rsidR="00000E57" w:rsidRPr="00207B29">
        <w:rPr>
          <w:rFonts w:ascii="Times New Roman" w:hAnsi="Times New Roman" w:cs="Times New Roman"/>
          <w:noProof/>
          <w:sz w:val="18"/>
          <w:szCs w:val="18"/>
          <w:lang w:val="es-PE"/>
        </w:rPr>
        <w:t>del 21 de julio de 2025.</w:t>
      </w:r>
    </w:p>
  </w:footnote>
  <w:footnote w:id="3">
    <w:p w14:paraId="7DE5A9EB" w14:textId="04611D2D" w:rsidR="00FF2CF8" w:rsidRPr="00207B29" w:rsidRDefault="00FF2CF8" w:rsidP="00207B29">
      <w:pPr>
        <w:pStyle w:val="Textonotapie"/>
        <w:tabs>
          <w:tab w:val="left" w:pos="284"/>
        </w:tabs>
        <w:spacing w:after="120"/>
        <w:ind w:left="284" w:hanging="284"/>
        <w:jc w:val="both"/>
        <w:rPr>
          <w:rFonts w:ascii="Times New Roman" w:hAnsi="Times New Roman" w:cs="Times New Roman"/>
          <w:sz w:val="18"/>
          <w:szCs w:val="18"/>
          <w:lang w:val="es-MX"/>
        </w:rPr>
      </w:pPr>
      <w:r w:rsidRPr="00207B29">
        <w:rPr>
          <w:rStyle w:val="Refdenotaalpie"/>
          <w:rFonts w:ascii="Times New Roman" w:hAnsi="Times New Roman" w:cs="Times New Roman"/>
          <w:sz w:val="18"/>
          <w:szCs w:val="18"/>
          <w:lang w:val="es-PE"/>
        </w:rPr>
        <w:footnoteRef/>
      </w:r>
      <w:r w:rsidRPr="00207B29">
        <w:rPr>
          <w:rFonts w:ascii="Times New Roman" w:hAnsi="Times New Roman" w:cs="Times New Roman"/>
          <w:sz w:val="18"/>
          <w:szCs w:val="18"/>
          <w:lang w:val="es-PE"/>
        </w:rPr>
        <w:t xml:space="preserve"> </w:t>
      </w:r>
      <w:r w:rsidRPr="00207B29">
        <w:rPr>
          <w:rFonts w:ascii="Times New Roman" w:hAnsi="Times New Roman" w:cs="Times New Roman"/>
          <w:sz w:val="18"/>
          <w:szCs w:val="18"/>
          <w:lang w:val="es-PE"/>
        </w:rPr>
        <w:tab/>
        <w:t>Como ejemplo de lo señalada podemos citar las siguientes afirmaciones contenidas en el escrito de absolución de reclamo de PACÍFICO: «</w:t>
      </w:r>
      <w:r w:rsidRPr="00207B29">
        <w:rPr>
          <w:rFonts w:ascii="Times New Roman" w:hAnsi="Times New Roman" w:cs="Times New Roman"/>
          <w:i/>
          <w:iCs/>
          <w:sz w:val="18"/>
          <w:szCs w:val="18"/>
          <w:lang w:val="es-PE"/>
        </w:rPr>
        <w:t>No obstante, en el presente caso, pese a dicha carga establecida el asegurado no cumplió con realizar la inspección antes referida</w:t>
      </w:r>
      <w:r w:rsidRPr="00207B29">
        <w:rPr>
          <w:rFonts w:ascii="Times New Roman" w:hAnsi="Times New Roman" w:cs="Times New Roman"/>
          <w:sz w:val="18"/>
          <w:szCs w:val="18"/>
          <w:lang w:val="es-PE"/>
        </w:rPr>
        <w:t>»; y, «</w:t>
      </w:r>
      <w:r w:rsidRPr="00207B29">
        <w:rPr>
          <w:rFonts w:ascii="Times New Roman" w:hAnsi="Times New Roman" w:cs="Times New Roman"/>
          <w:i/>
          <w:iCs/>
          <w:sz w:val="18"/>
          <w:szCs w:val="18"/>
          <w:lang w:val="es-PE"/>
        </w:rPr>
        <w:t>De esta manera, quedó acreditado que el asegurado incumplió con la presente carga de su póliza, motivo por el cual este fue el motivo justificado para el rechazo de la cobertura efectuado por nuestra representada</w:t>
      </w:r>
      <w:r w:rsidRPr="00207B29">
        <w:rPr>
          <w:rFonts w:ascii="Times New Roman" w:hAnsi="Times New Roman" w:cs="Times New Roman"/>
          <w:sz w:val="18"/>
          <w:szCs w:val="18"/>
          <w:lang w:val="es-PE"/>
        </w:rPr>
        <w:t xml:space="preserve">.» </w:t>
      </w:r>
    </w:p>
  </w:footnote>
  <w:footnote w:id="4">
    <w:p w14:paraId="345822E3" w14:textId="4804D6B5" w:rsidR="0038740F" w:rsidRPr="00207B29" w:rsidRDefault="0038740F"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Style w:val="Refdenotaalpie"/>
          <w:rFonts w:ascii="Times New Roman" w:hAnsi="Times New Roman" w:cs="Times New Roman"/>
          <w:sz w:val="18"/>
          <w:szCs w:val="18"/>
        </w:rPr>
        <w:footnoteRef/>
      </w:r>
      <w:r w:rsidRPr="00207B29">
        <w:rPr>
          <w:rFonts w:ascii="Times New Roman" w:hAnsi="Times New Roman" w:cs="Times New Roman"/>
          <w:sz w:val="18"/>
          <w:szCs w:val="18"/>
        </w:rPr>
        <w:t xml:space="preserve"> </w:t>
      </w:r>
      <w:r w:rsidRPr="00207B29">
        <w:rPr>
          <w:rFonts w:ascii="Times New Roman" w:hAnsi="Times New Roman" w:cs="Times New Roman"/>
          <w:sz w:val="18"/>
          <w:szCs w:val="18"/>
        </w:rPr>
        <w:tab/>
      </w:r>
      <w:r w:rsidRPr="00207B29">
        <w:rPr>
          <w:rFonts w:ascii="Times New Roman" w:hAnsi="Times New Roman" w:cs="Times New Roman"/>
          <w:b/>
          <w:bCs/>
          <w:sz w:val="18"/>
          <w:szCs w:val="18"/>
          <w:lang w:val="es-MX"/>
        </w:rPr>
        <w:t>Código Procesal Civil</w:t>
      </w:r>
      <w:r w:rsidRPr="00207B29">
        <w:rPr>
          <w:rFonts w:ascii="Times New Roman" w:hAnsi="Times New Roman" w:cs="Times New Roman"/>
          <w:sz w:val="18"/>
          <w:szCs w:val="18"/>
          <w:lang w:val="es-MX"/>
        </w:rPr>
        <w:t xml:space="preserve"> </w:t>
      </w:r>
    </w:p>
    <w:p w14:paraId="7A3BCA41" w14:textId="7CADC41A" w:rsidR="0038740F" w:rsidRPr="00207B29" w:rsidRDefault="0038740F" w:rsidP="00207B29">
      <w:pPr>
        <w:pStyle w:val="Textonotapie"/>
        <w:tabs>
          <w:tab w:val="left" w:pos="284"/>
        </w:tabs>
        <w:spacing w:after="120"/>
        <w:ind w:left="284" w:hanging="284"/>
        <w:jc w:val="both"/>
        <w:rPr>
          <w:rFonts w:ascii="Times New Roman" w:hAnsi="Times New Roman" w:cs="Times New Roman"/>
          <w:sz w:val="18"/>
          <w:szCs w:val="18"/>
          <w:lang w:val="es-MX"/>
        </w:rPr>
      </w:pPr>
      <w:r w:rsidRPr="00207B29">
        <w:rPr>
          <w:rFonts w:ascii="Times New Roman" w:hAnsi="Times New Roman" w:cs="Times New Roman"/>
          <w:sz w:val="18"/>
          <w:szCs w:val="18"/>
          <w:lang w:val="es-MX"/>
        </w:rPr>
        <w:tab/>
      </w:r>
      <w:r w:rsidRPr="00207B29">
        <w:rPr>
          <w:rFonts w:ascii="Times New Roman" w:hAnsi="Times New Roman" w:cs="Times New Roman"/>
          <w:b/>
          <w:bCs/>
          <w:sz w:val="18"/>
          <w:szCs w:val="18"/>
          <w:lang w:val="es-MX"/>
        </w:rPr>
        <w:t>Artículo 196.-</w:t>
      </w:r>
      <w:r w:rsidRPr="00207B29">
        <w:rPr>
          <w:rFonts w:ascii="Times New Roman" w:hAnsi="Times New Roman" w:cs="Times New Roman"/>
          <w:sz w:val="18"/>
          <w:szCs w:val="18"/>
          <w:lang w:val="es-MX"/>
        </w:rPr>
        <w:t xml:space="preserve"> Carga de la </w:t>
      </w:r>
      <w:proofErr w:type="gramStart"/>
      <w:r w:rsidRPr="00207B29">
        <w:rPr>
          <w:rFonts w:ascii="Times New Roman" w:hAnsi="Times New Roman" w:cs="Times New Roman"/>
          <w:sz w:val="18"/>
          <w:szCs w:val="18"/>
          <w:lang w:val="es-MX"/>
        </w:rPr>
        <w:t>prueba.-</w:t>
      </w:r>
      <w:proofErr w:type="gramEnd"/>
      <w:r w:rsidRPr="00207B29">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5">
    <w:p w14:paraId="7CEE58E5" w14:textId="77777777" w:rsidR="00D8255C" w:rsidRPr="00207B29" w:rsidRDefault="00D8255C" w:rsidP="00207B29">
      <w:pPr>
        <w:pStyle w:val="Textonotapie"/>
        <w:tabs>
          <w:tab w:val="left" w:pos="284"/>
        </w:tabs>
        <w:spacing w:after="120"/>
        <w:ind w:left="284" w:hanging="284"/>
        <w:jc w:val="both"/>
        <w:rPr>
          <w:rFonts w:ascii="Times New Roman" w:hAnsi="Times New Roman" w:cs="Times New Roman"/>
          <w:sz w:val="18"/>
          <w:szCs w:val="18"/>
          <w:lang w:val="es-MX"/>
        </w:rPr>
      </w:pPr>
      <w:r w:rsidRPr="00207B29">
        <w:rPr>
          <w:rStyle w:val="Refdenotaalpie"/>
          <w:rFonts w:ascii="Times New Roman" w:hAnsi="Times New Roman" w:cs="Times New Roman"/>
          <w:sz w:val="18"/>
          <w:szCs w:val="18"/>
        </w:rPr>
        <w:footnoteRef/>
      </w:r>
      <w:r w:rsidRPr="00207B29">
        <w:rPr>
          <w:rFonts w:ascii="Times New Roman" w:hAnsi="Times New Roman" w:cs="Times New Roman"/>
          <w:sz w:val="18"/>
          <w:szCs w:val="18"/>
        </w:rPr>
        <w:t xml:space="preserve"> </w:t>
      </w:r>
      <w:r w:rsidRPr="00207B29">
        <w:rPr>
          <w:rFonts w:ascii="Times New Roman" w:hAnsi="Times New Roman" w:cs="Times New Roman"/>
          <w:sz w:val="18"/>
          <w:szCs w:val="18"/>
        </w:rPr>
        <w:tab/>
      </w:r>
      <w:r w:rsidRPr="00207B29">
        <w:rPr>
          <w:rFonts w:ascii="Times New Roman" w:hAnsi="Times New Roman" w:cs="Times New Roman"/>
          <w:sz w:val="18"/>
          <w:szCs w:val="18"/>
          <w:lang w:val="es-MX"/>
        </w:rPr>
        <w:t>ANDREU, Alejandro y Pol MARINÉ. «</w:t>
      </w:r>
      <w:r w:rsidRPr="00207B29">
        <w:rPr>
          <w:rFonts w:ascii="Times New Roman" w:hAnsi="Times New Roman" w:cs="Times New Roman"/>
          <w:i/>
          <w:iCs/>
          <w:sz w:val="18"/>
          <w:szCs w:val="18"/>
          <w:lang w:val="es-MX"/>
        </w:rPr>
        <w:t>Cómo acreditar el contenido de un Email en un procedimiento judicial. Certificación legal preventiva de correos electrónicos.</w:t>
      </w:r>
      <w:r w:rsidRPr="00207B29">
        <w:rPr>
          <w:rFonts w:ascii="Times New Roman" w:hAnsi="Times New Roman" w:cs="Times New Roman"/>
          <w:sz w:val="18"/>
          <w:szCs w:val="18"/>
          <w:lang w:val="es-MX"/>
        </w:rPr>
        <w:t>» Café jurídico. 10 de noviembre de 2020. Podcast. https://cafejuridico.es/como-acreditar-el-contenido-de-un-email-en-un-procedimiento-judicial-certificacion-legal-preventiva-de-correos-electronicos/.</w:t>
      </w:r>
    </w:p>
  </w:footnote>
  <w:footnote w:id="6">
    <w:p w14:paraId="44FB8078" w14:textId="0FD75B59" w:rsidR="002D5E13" w:rsidRPr="00207B29" w:rsidRDefault="002D5E13"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Style w:val="Refdenotaalpie"/>
          <w:rFonts w:ascii="Times New Roman" w:hAnsi="Times New Roman" w:cs="Times New Roman"/>
          <w:sz w:val="18"/>
          <w:szCs w:val="18"/>
        </w:rPr>
        <w:footnoteRef/>
      </w:r>
      <w:r w:rsidR="007015BB" w:rsidRPr="00207B29">
        <w:rPr>
          <w:rFonts w:ascii="Times New Roman" w:hAnsi="Times New Roman" w:cs="Times New Roman"/>
          <w:sz w:val="18"/>
          <w:szCs w:val="18"/>
        </w:rPr>
        <w:t xml:space="preserve"> </w:t>
      </w:r>
      <w:r w:rsidRPr="00207B29">
        <w:rPr>
          <w:rFonts w:ascii="Times New Roman" w:hAnsi="Times New Roman" w:cs="Times New Roman"/>
          <w:sz w:val="18"/>
          <w:szCs w:val="18"/>
        </w:rPr>
        <w:tab/>
        <w:t>C</w:t>
      </w:r>
      <w:r w:rsidRPr="00207B29">
        <w:rPr>
          <w:rFonts w:ascii="Times New Roman" w:hAnsi="Times New Roman" w:cs="Times New Roman"/>
          <w:sz w:val="18"/>
          <w:szCs w:val="18"/>
          <w:lang w:val="es-MX"/>
        </w:rPr>
        <w:t>arta n.° GSIN-1190067/2024 de fecha 6 de junio de 2024.</w:t>
      </w:r>
    </w:p>
  </w:footnote>
  <w:footnote w:id="7">
    <w:p w14:paraId="10CF254F" w14:textId="7574EA55" w:rsidR="005B306B" w:rsidRPr="00207B29" w:rsidRDefault="005B306B" w:rsidP="00207B29">
      <w:pPr>
        <w:pStyle w:val="Textonotapie"/>
        <w:tabs>
          <w:tab w:val="left" w:pos="284"/>
        </w:tabs>
        <w:spacing w:after="60"/>
        <w:ind w:left="284" w:hanging="284"/>
        <w:jc w:val="both"/>
        <w:rPr>
          <w:rFonts w:ascii="Times New Roman" w:hAnsi="Times New Roman" w:cs="Times New Roman"/>
          <w:b/>
          <w:bCs/>
          <w:sz w:val="18"/>
          <w:szCs w:val="18"/>
          <w:lang w:val="es-MX"/>
        </w:rPr>
      </w:pPr>
      <w:r w:rsidRPr="00207B29">
        <w:rPr>
          <w:rStyle w:val="Refdenotaalpie"/>
          <w:rFonts w:ascii="Times New Roman" w:hAnsi="Times New Roman" w:cs="Times New Roman"/>
          <w:sz w:val="18"/>
          <w:szCs w:val="18"/>
        </w:rPr>
        <w:footnoteRef/>
      </w:r>
      <w:r w:rsidRPr="00207B29">
        <w:rPr>
          <w:rFonts w:ascii="Times New Roman" w:hAnsi="Times New Roman" w:cs="Times New Roman"/>
          <w:sz w:val="18"/>
          <w:szCs w:val="18"/>
        </w:rPr>
        <w:t xml:space="preserve"> </w:t>
      </w:r>
      <w:r w:rsidRPr="00207B29">
        <w:rPr>
          <w:rFonts w:ascii="Times New Roman" w:hAnsi="Times New Roman" w:cs="Times New Roman"/>
          <w:sz w:val="18"/>
          <w:szCs w:val="18"/>
        </w:rPr>
        <w:tab/>
      </w:r>
      <w:r w:rsidRPr="00207B29">
        <w:rPr>
          <w:rFonts w:ascii="Times New Roman" w:hAnsi="Times New Roman" w:cs="Times New Roman"/>
          <w:b/>
          <w:bCs/>
          <w:sz w:val="18"/>
          <w:szCs w:val="18"/>
          <w:lang w:val="es-MX"/>
        </w:rPr>
        <w:t xml:space="preserve">Reglamento para la gestión y pago de siniestros </w:t>
      </w:r>
    </w:p>
    <w:p w14:paraId="75D70D02" w14:textId="11641F5D" w:rsidR="005B306B" w:rsidRPr="00207B29" w:rsidRDefault="005B306B"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Fonts w:ascii="Times New Roman" w:hAnsi="Times New Roman" w:cs="Times New Roman"/>
          <w:b/>
          <w:bCs/>
          <w:sz w:val="18"/>
          <w:szCs w:val="18"/>
          <w:lang w:val="es-MX"/>
        </w:rPr>
        <w:tab/>
        <w:t xml:space="preserve">Artículo 15.- Rechazo de siniestros </w:t>
      </w:r>
    </w:p>
    <w:p w14:paraId="561AEBBE" w14:textId="4913E3CA" w:rsidR="005B306B" w:rsidRPr="00207B29" w:rsidRDefault="005B306B"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Fonts w:ascii="Times New Roman" w:hAnsi="Times New Roman" w:cs="Times New Roman"/>
          <w:sz w:val="18"/>
          <w:szCs w:val="18"/>
          <w:lang w:val="es-MX"/>
        </w:rPr>
        <w:tab/>
        <w:t xml:space="preserve">El rechazo de un siniestro debe ser fundamentado por la empresa, debiendo contar con el respectivo sustento en el expediente del siniestro. Los expedientes de siniestros deben contar con los informes técnicos que se hubieran emitido, los informes de los ajustadores de siniestros, de ser el caso, y demás documentos que sustenten la decisión adoptada por la empresa. Dichos expedientes deben encontrarse a disposición de la Superintendencia, cuando ésta lo requiera. </w:t>
      </w:r>
    </w:p>
    <w:p w14:paraId="61D2AA5E" w14:textId="1B168E48" w:rsidR="005B306B" w:rsidRPr="00207B29" w:rsidRDefault="005B306B"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Fonts w:ascii="Times New Roman" w:hAnsi="Times New Roman" w:cs="Times New Roman"/>
          <w:sz w:val="18"/>
          <w:szCs w:val="18"/>
          <w:lang w:val="es-MX"/>
        </w:rPr>
        <w:tab/>
        <w:t xml:space="preserve">La empresa debe informar detalladamente, mediante comunicación cursada al asegurado o al beneficiario, según corresponda, a través de los mecanismos y en las direcciones pactadas en la póliza, los motivos que sustentan el rechazo del siniestro, adjuntando copia de los documentos tomados en cuenta para fundamentar su decisión, debidamente suscrita por el responsable del área encargada de evaluar los siniestros. Dicha comunicación debe ser elaborada y entregada al asegurado o al beneficiario dentro de los plazos establecidos en los artículos 8° u 11° del presente Reglamento, según corresponda. </w:t>
      </w:r>
    </w:p>
    <w:p w14:paraId="69DEC9E3" w14:textId="4B5D2816" w:rsidR="005B306B" w:rsidRPr="00207B29" w:rsidRDefault="005B306B"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Fonts w:ascii="Times New Roman" w:hAnsi="Times New Roman" w:cs="Times New Roman"/>
          <w:sz w:val="18"/>
          <w:szCs w:val="18"/>
          <w:lang w:val="es-MX"/>
        </w:rPr>
        <w:tab/>
        <w:t xml:space="preserve">La acreditación de la entrega de la información a que se refiere este artículo debe ser conservada por las empresas en los expedientes de siniestros correspondientes. </w:t>
      </w:r>
    </w:p>
    <w:p w14:paraId="57695D67" w14:textId="4FD7BC38" w:rsidR="005B306B" w:rsidRPr="00207B29" w:rsidRDefault="005B306B" w:rsidP="00207B29">
      <w:pPr>
        <w:pStyle w:val="Textonotapie"/>
        <w:tabs>
          <w:tab w:val="left" w:pos="284"/>
        </w:tabs>
        <w:spacing w:after="120"/>
        <w:ind w:left="284" w:hanging="284"/>
        <w:jc w:val="both"/>
        <w:rPr>
          <w:rFonts w:ascii="Times New Roman" w:hAnsi="Times New Roman" w:cs="Times New Roman"/>
          <w:sz w:val="18"/>
          <w:szCs w:val="18"/>
          <w:lang w:val="es-MX"/>
        </w:rPr>
      </w:pPr>
      <w:r w:rsidRPr="00207B29">
        <w:rPr>
          <w:rFonts w:ascii="Times New Roman" w:hAnsi="Times New Roman" w:cs="Times New Roman"/>
          <w:sz w:val="18"/>
          <w:szCs w:val="18"/>
          <w:lang w:val="es-MX"/>
        </w:rPr>
        <w:tab/>
        <w:t>En caso de intermediación de un corredor de seguros, las empresas deben remitir copia de la comunicación de rechazo del siniestro al corredor a efecto que éste cumpla con su obligación de asesoramiento.</w:t>
      </w:r>
    </w:p>
  </w:footnote>
  <w:footnote w:id="8">
    <w:p w14:paraId="460E35AD" w14:textId="200C232E" w:rsidR="009D6445" w:rsidRPr="00207B29" w:rsidRDefault="009D6445" w:rsidP="00207B29">
      <w:pPr>
        <w:pStyle w:val="Textonotapie"/>
        <w:tabs>
          <w:tab w:val="left" w:pos="284"/>
        </w:tabs>
        <w:spacing w:after="60"/>
        <w:ind w:left="284" w:hanging="284"/>
        <w:jc w:val="both"/>
        <w:rPr>
          <w:rFonts w:ascii="Times New Roman" w:hAnsi="Times New Roman" w:cs="Times New Roman"/>
          <w:b/>
          <w:bCs/>
          <w:sz w:val="18"/>
          <w:szCs w:val="18"/>
          <w:lang w:val="es-MX"/>
        </w:rPr>
      </w:pPr>
      <w:r w:rsidRPr="00207B29">
        <w:rPr>
          <w:rStyle w:val="Refdenotaalpie"/>
          <w:rFonts w:ascii="Times New Roman" w:hAnsi="Times New Roman" w:cs="Times New Roman"/>
          <w:sz w:val="18"/>
          <w:szCs w:val="18"/>
        </w:rPr>
        <w:footnoteRef/>
      </w:r>
      <w:r w:rsidRPr="00207B29">
        <w:rPr>
          <w:rFonts w:ascii="Times New Roman" w:hAnsi="Times New Roman" w:cs="Times New Roman"/>
          <w:sz w:val="18"/>
          <w:szCs w:val="18"/>
        </w:rPr>
        <w:t xml:space="preserve"> </w:t>
      </w:r>
      <w:r w:rsidRPr="00207B29">
        <w:rPr>
          <w:rFonts w:ascii="Times New Roman" w:hAnsi="Times New Roman" w:cs="Times New Roman"/>
          <w:sz w:val="18"/>
          <w:szCs w:val="18"/>
        </w:rPr>
        <w:tab/>
      </w:r>
      <w:r w:rsidRPr="00207B29">
        <w:rPr>
          <w:rFonts w:ascii="Times New Roman" w:hAnsi="Times New Roman" w:cs="Times New Roman"/>
          <w:b/>
          <w:bCs/>
          <w:sz w:val="18"/>
          <w:szCs w:val="18"/>
          <w:lang w:val="es-MX"/>
        </w:rPr>
        <w:t>CONDICIÓN ESPECIAL DEL SEGURO DE AUTOS TODO RIESGO – PLAN KILOMETROS</w:t>
      </w:r>
    </w:p>
    <w:p w14:paraId="28A28D8C" w14:textId="2D9BD8AE" w:rsidR="009D6445" w:rsidRPr="00207B29" w:rsidRDefault="009D6445"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Fonts w:ascii="Times New Roman" w:hAnsi="Times New Roman" w:cs="Times New Roman"/>
          <w:sz w:val="18"/>
          <w:szCs w:val="18"/>
          <w:lang w:val="es-MX"/>
        </w:rPr>
        <w:tab/>
        <w:t>(…)</w:t>
      </w:r>
    </w:p>
    <w:p w14:paraId="383328E2" w14:textId="7F1CF1BF" w:rsidR="009D6445" w:rsidRPr="00207B29" w:rsidRDefault="009D6445"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Fonts w:ascii="Times New Roman" w:hAnsi="Times New Roman" w:cs="Times New Roman"/>
          <w:b/>
          <w:bCs/>
          <w:sz w:val="18"/>
          <w:szCs w:val="18"/>
          <w:lang w:val="es-MX"/>
        </w:rPr>
        <w:tab/>
        <w:t>Condiciones y Exclusiones por Póliza</w:t>
      </w:r>
    </w:p>
    <w:p w14:paraId="62932BEE" w14:textId="42B4CAB5" w:rsidR="009D6445" w:rsidRPr="00207B29" w:rsidRDefault="009D6445" w:rsidP="00207B29">
      <w:pPr>
        <w:pStyle w:val="Textonotapie"/>
        <w:tabs>
          <w:tab w:val="left" w:pos="284"/>
        </w:tabs>
        <w:spacing w:after="60"/>
        <w:ind w:left="284" w:hanging="284"/>
        <w:jc w:val="both"/>
        <w:rPr>
          <w:rFonts w:ascii="Times New Roman" w:hAnsi="Times New Roman" w:cs="Times New Roman"/>
          <w:sz w:val="18"/>
          <w:szCs w:val="18"/>
          <w:lang w:val="es-MX"/>
        </w:rPr>
      </w:pPr>
      <w:r w:rsidRPr="00207B29">
        <w:rPr>
          <w:rFonts w:ascii="Times New Roman" w:hAnsi="Times New Roman" w:cs="Times New Roman"/>
          <w:sz w:val="18"/>
          <w:szCs w:val="18"/>
          <w:lang w:val="es-MX"/>
        </w:rPr>
        <w:tab/>
        <w:t>(…)</w:t>
      </w:r>
    </w:p>
    <w:p w14:paraId="21ED91AB" w14:textId="3DA8C857" w:rsidR="009D6445" w:rsidRPr="009D6445" w:rsidRDefault="009D6445" w:rsidP="00207B29">
      <w:pPr>
        <w:pStyle w:val="Textonotapie"/>
        <w:numPr>
          <w:ilvl w:val="0"/>
          <w:numId w:val="3"/>
        </w:numPr>
        <w:tabs>
          <w:tab w:val="left" w:pos="709"/>
        </w:tabs>
        <w:spacing w:after="60"/>
        <w:ind w:left="709" w:hanging="425"/>
        <w:jc w:val="both"/>
        <w:rPr>
          <w:rFonts w:ascii="Georgia" w:hAnsi="Georgia"/>
          <w:lang w:val="es-MX"/>
        </w:rPr>
      </w:pPr>
      <w:r w:rsidRPr="00207B29">
        <w:rPr>
          <w:rFonts w:ascii="Times New Roman" w:hAnsi="Times New Roman" w:cs="Times New Roman"/>
          <w:sz w:val="18"/>
          <w:szCs w:val="18"/>
          <w:lang w:val="es-MX"/>
        </w:rPr>
        <w:t xml:space="preserve">[…]. Igualmente, estando a lo anterior, mientras NO se pase la respectiva inspección, LA COMPAÑÍA no podrá cobrar la prima correspondiente a la cobertura de Pérdida Total por Daño Propio del VEHÍCULO ASEGURADO, mientras dicha cobertura se encuentre suspendida. Para dicho efecto, se específica que el porcentaje de la prima total anual que corresponde a la cobertura de Pérdida </w:t>
      </w:r>
      <w:proofErr w:type="gramStart"/>
      <w:r w:rsidRPr="00207B29">
        <w:rPr>
          <w:rFonts w:ascii="Times New Roman" w:hAnsi="Times New Roman" w:cs="Times New Roman"/>
          <w:sz w:val="18"/>
          <w:szCs w:val="18"/>
          <w:lang w:val="es-MX"/>
        </w:rPr>
        <w:t>Total,</w:t>
      </w:r>
      <w:proofErr w:type="gramEnd"/>
      <w:r w:rsidRPr="00207B29">
        <w:rPr>
          <w:rFonts w:ascii="Times New Roman" w:hAnsi="Times New Roman" w:cs="Times New Roman"/>
          <w:sz w:val="18"/>
          <w:szCs w:val="18"/>
          <w:lang w:val="es-MX"/>
        </w:rPr>
        <w:t xml:space="preserve"> asciende al 20% de la prima total anual.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6189FEAF" w:rsidR="00C671F5" w:rsidRDefault="00C671F5" w:rsidP="00207B29">
    <w:pPr>
      <w:pStyle w:val="Encabezado"/>
      <w:tabs>
        <w:tab w:val="clear" w:pos="4419"/>
        <w:tab w:val="clear" w:pos="8838"/>
        <w:tab w:val="left" w:pos="4007"/>
      </w:tabs>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32992624">
    <w:abstractNumId w:val="0"/>
  </w:num>
  <w:num w:numId="2" w16cid:durableId="1740133193">
    <w:abstractNumId w:val="2"/>
  </w:num>
  <w:num w:numId="3" w16cid:durableId="1223565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348"/>
    <w:rsid w:val="000D7B6B"/>
    <w:rsid w:val="000E6C90"/>
    <w:rsid w:val="000F17DA"/>
    <w:rsid w:val="000F1F1F"/>
    <w:rsid w:val="000F372E"/>
    <w:rsid w:val="000F4458"/>
    <w:rsid w:val="000F56CC"/>
    <w:rsid w:val="000F6340"/>
    <w:rsid w:val="0010277D"/>
    <w:rsid w:val="001035ED"/>
    <w:rsid w:val="001064A0"/>
    <w:rsid w:val="00107CAE"/>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42"/>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07B29"/>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740F"/>
    <w:rsid w:val="00391C15"/>
    <w:rsid w:val="00391F72"/>
    <w:rsid w:val="00392259"/>
    <w:rsid w:val="00394D1E"/>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06AFD"/>
    <w:rsid w:val="00411866"/>
    <w:rsid w:val="00414109"/>
    <w:rsid w:val="00414A7B"/>
    <w:rsid w:val="00417CFB"/>
    <w:rsid w:val="00417E23"/>
    <w:rsid w:val="00420F89"/>
    <w:rsid w:val="0042236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0AB"/>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6BB2"/>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1598"/>
    <w:rsid w:val="007015BB"/>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413BB"/>
    <w:rsid w:val="007415C6"/>
    <w:rsid w:val="00744447"/>
    <w:rsid w:val="00751717"/>
    <w:rsid w:val="007542CA"/>
    <w:rsid w:val="00754CE1"/>
    <w:rsid w:val="0075586B"/>
    <w:rsid w:val="007600A3"/>
    <w:rsid w:val="00760BFE"/>
    <w:rsid w:val="0076127D"/>
    <w:rsid w:val="00761F1D"/>
    <w:rsid w:val="00762AF6"/>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4B39"/>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5B"/>
    <w:rsid w:val="00BB4B19"/>
    <w:rsid w:val="00BB68F9"/>
    <w:rsid w:val="00BB7FC6"/>
    <w:rsid w:val="00BC1799"/>
    <w:rsid w:val="00BC2663"/>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5CEF"/>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595F"/>
    <w:rsid w:val="00E06847"/>
    <w:rsid w:val="00E06EE2"/>
    <w:rsid w:val="00E07CB1"/>
    <w:rsid w:val="00E107CA"/>
    <w:rsid w:val="00E1216B"/>
    <w:rsid w:val="00E1477F"/>
    <w:rsid w:val="00E14C65"/>
    <w:rsid w:val="00E16C63"/>
    <w:rsid w:val="00E23093"/>
    <w:rsid w:val="00E25D54"/>
    <w:rsid w:val="00E2709A"/>
    <w:rsid w:val="00E30E76"/>
    <w:rsid w:val="00E31E0C"/>
    <w:rsid w:val="00E32DAA"/>
    <w:rsid w:val="00E3322A"/>
    <w:rsid w:val="00E341F5"/>
    <w:rsid w:val="00E3654E"/>
    <w:rsid w:val="00E367B7"/>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EE6F4A"/>
    <w:rsid w:val="00EF15EF"/>
    <w:rsid w:val="00EF379C"/>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14"/>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00A4631-3CED-458E-B76C-38B6C54FA925}"/>
</file>

<file path=customXml/itemProps3.xml><?xml version="1.0" encoding="utf-8"?>
<ds:datastoreItem xmlns:ds="http://schemas.openxmlformats.org/officeDocument/2006/customXml" ds:itemID="{455C84F1-FB66-4F1D-B9C7-BDB4F796A5F1}"/>
</file>

<file path=customXml/itemProps4.xml><?xml version="1.0" encoding="utf-8"?>
<ds:datastoreItem xmlns:ds="http://schemas.openxmlformats.org/officeDocument/2006/customXml" ds:itemID="{9395DB72-CC38-48FD-B8AF-F2BF4FEB9374}"/>
</file>

<file path=docProps/app.xml><?xml version="1.0" encoding="utf-8"?>
<Properties xmlns="http://schemas.openxmlformats.org/officeDocument/2006/extended-properties" xmlns:vt="http://schemas.openxmlformats.org/officeDocument/2006/docPropsVTypes">
  <Template>Normal</Template>
  <TotalTime>3</TotalTime>
  <Pages>7</Pages>
  <Words>3214</Words>
  <Characters>17681</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7</cp:revision>
  <cp:lastPrinted>2025-10-09T14:50:00Z</cp:lastPrinted>
  <dcterms:created xsi:type="dcterms:W3CDTF">2025-10-09T14:26:00Z</dcterms:created>
  <dcterms:modified xsi:type="dcterms:W3CDTF">2025-10-09T14:50:00Z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