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3943B9" w:rsidRDefault="00D12B6B" w:rsidP="003943B9">
      <w:pPr>
        <w:spacing w:after="0" w:line="240" w:lineRule="auto"/>
        <w:jc w:val="center"/>
        <w:rPr>
          <w:rFonts w:ascii="Times New Roman" w:hAnsi="Times New Roman" w:cs="Times New Roman"/>
          <w:b/>
          <w:sz w:val="24"/>
          <w:szCs w:val="24"/>
          <w:lang w:val="es-PE" w:eastAsia="ar-SA"/>
        </w:rPr>
      </w:pPr>
    </w:p>
    <w:p w14:paraId="2E2FA649" w14:textId="3D12BF05" w:rsidR="00D12B6B" w:rsidRPr="003943B9" w:rsidRDefault="00201C0D" w:rsidP="003943B9">
      <w:pPr>
        <w:spacing w:after="0" w:line="240" w:lineRule="auto"/>
        <w:jc w:val="center"/>
        <w:rPr>
          <w:rFonts w:ascii="Times New Roman" w:hAnsi="Times New Roman" w:cs="Times New Roman"/>
          <w:b/>
          <w:sz w:val="24"/>
          <w:szCs w:val="24"/>
          <w:lang w:val="es-PE" w:eastAsia="ar-SA"/>
        </w:rPr>
      </w:pPr>
      <w:r w:rsidRPr="003943B9">
        <w:rPr>
          <w:rFonts w:ascii="Times New Roman" w:hAnsi="Times New Roman" w:cs="Times New Roman"/>
          <w:b/>
          <w:sz w:val="24"/>
          <w:szCs w:val="24"/>
          <w:lang w:val="es-PE" w:eastAsia="ar-SA"/>
        </w:rPr>
        <w:t>RESOLUCIÓN</w:t>
      </w:r>
      <w:r w:rsidR="009D55E8" w:rsidRPr="003943B9">
        <w:rPr>
          <w:rFonts w:ascii="Times New Roman" w:hAnsi="Times New Roman" w:cs="Times New Roman"/>
          <w:b/>
          <w:sz w:val="24"/>
          <w:szCs w:val="24"/>
          <w:lang w:val="es-PE" w:eastAsia="ar-SA"/>
        </w:rPr>
        <w:t xml:space="preserve"> DE IMPUGNACIÓN</w:t>
      </w:r>
      <w:r w:rsidRPr="003943B9">
        <w:rPr>
          <w:rFonts w:ascii="Times New Roman" w:hAnsi="Times New Roman" w:cs="Times New Roman"/>
          <w:b/>
          <w:sz w:val="24"/>
          <w:szCs w:val="24"/>
          <w:lang w:val="es-PE" w:eastAsia="ar-SA"/>
        </w:rPr>
        <w:t xml:space="preserve"> </w:t>
      </w:r>
      <w:r w:rsidR="00D12B6B" w:rsidRPr="003943B9">
        <w:rPr>
          <w:rFonts w:ascii="Times New Roman" w:hAnsi="Times New Roman" w:cs="Times New Roman"/>
          <w:b/>
          <w:sz w:val="24"/>
          <w:szCs w:val="24"/>
          <w:lang w:val="es-PE" w:eastAsia="ar-SA"/>
        </w:rPr>
        <w:t>N</w:t>
      </w:r>
      <w:r w:rsidR="00207B29" w:rsidRPr="003943B9">
        <w:rPr>
          <w:rFonts w:ascii="Times New Roman" w:hAnsi="Times New Roman" w:cs="Times New Roman"/>
          <w:b/>
          <w:sz w:val="24"/>
          <w:szCs w:val="24"/>
          <w:lang w:val="es-PE" w:eastAsia="ar-SA"/>
        </w:rPr>
        <w:t>° 05</w:t>
      </w:r>
      <w:r w:rsidR="000D7180" w:rsidRPr="003943B9">
        <w:rPr>
          <w:rFonts w:ascii="Times New Roman" w:hAnsi="Times New Roman" w:cs="Times New Roman"/>
          <w:b/>
          <w:sz w:val="24"/>
          <w:szCs w:val="24"/>
          <w:lang w:val="es-PE" w:eastAsia="ar-SA"/>
        </w:rPr>
        <w:t>5</w:t>
      </w:r>
      <w:r w:rsidR="00AA2AA2" w:rsidRPr="003943B9">
        <w:rPr>
          <w:rFonts w:ascii="Times New Roman" w:hAnsi="Times New Roman" w:cs="Times New Roman"/>
          <w:b/>
          <w:sz w:val="24"/>
          <w:szCs w:val="24"/>
          <w:lang w:val="es-PE" w:eastAsia="ar-SA"/>
        </w:rPr>
        <w:t>/25</w:t>
      </w:r>
    </w:p>
    <w:p w14:paraId="1B05BF9A" w14:textId="77777777" w:rsidR="003943B9" w:rsidRPr="003943B9" w:rsidRDefault="003943B9" w:rsidP="003943B9">
      <w:pPr>
        <w:spacing w:after="200" w:line="240" w:lineRule="auto"/>
        <w:jc w:val="both"/>
        <w:rPr>
          <w:rFonts w:ascii="Times New Roman" w:hAnsi="Times New Roman" w:cs="Times New Roman"/>
          <w:bCs/>
          <w:sz w:val="24"/>
          <w:szCs w:val="24"/>
          <w:lang w:val="es-MX"/>
        </w:rPr>
      </w:pPr>
      <w:bookmarkStart w:id="0" w:name="_Hlk198053358"/>
    </w:p>
    <w:p w14:paraId="3ECD1028" w14:textId="52A79303" w:rsidR="003943B9" w:rsidRPr="003943B9" w:rsidRDefault="003943B9" w:rsidP="003943B9">
      <w:pPr>
        <w:spacing w:after="200" w:line="240" w:lineRule="auto"/>
        <w:jc w:val="both"/>
        <w:rPr>
          <w:rFonts w:ascii="Times New Roman" w:hAnsi="Times New Roman" w:cs="Times New Roman"/>
          <w:b/>
          <w:sz w:val="24"/>
          <w:szCs w:val="24"/>
          <w:lang w:val="es-MX"/>
        </w:rPr>
      </w:pPr>
      <w:r w:rsidRPr="003943B9">
        <w:rPr>
          <w:rFonts w:ascii="Times New Roman" w:hAnsi="Times New Roman" w:cs="Times New Roman"/>
          <w:b/>
          <w:sz w:val="24"/>
          <w:szCs w:val="24"/>
          <w:lang w:val="es-MX"/>
        </w:rPr>
        <w:t>VISTOS:</w:t>
      </w:r>
    </w:p>
    <w:p w14:paraId="5D73DD1C" w14:textId="4FC538CA" w:rsidR="003943B9" w:rsidRPr="003943B9" w:rsidRDefault="003943B9" w:rsidP="003943B9">
      <w:pPr>
        <w:spacing w:after="200" w:line="240" w:lineRule="auto"/>
        <w:jc w:val="both"/>
        <w:rPr>
          <w:rFonts w:ascii="Times New Roman" w:hAnsi="Times New Roman" w:cs="Times New Roman"/>
          <w:sz w:val="24"/>
          <w:szCs w:val="24"/>
          <w:lang w:val="es-MX"/>
        </w:rPr>
      </w:pPr>
      <w:r>
        <w:rPr>
          <w:rFonts w:ascii="Times New Roman" w:hAnsi="Times New Roman"/>
          <w:sz w:val="24"/>
        </w:rPr>
        <w:t xml:space="preserve">El Recurso de Impugnación presentado el 15 de setiembre de 2025 por don ………………… respecto de la Resolución Nro. 127/25 de fecha 25 de agosto de 2025, conforme a la cual se declaró INFUNDADA la reclamación interpuesta contra ………………… respecto al SEGURO DE PROTECCIÓN DE TARJETA- PÓLIZA 1103 - 500003.</w:t>
      </w:r>
    </w:p>
    <w:p w14:paraId="4702706C" w14:textId="0397AFB7" w:rsidR="003943B9" w:rsidRPr="003943B9" w:rsidRDefault="003943B9" w:rsidP="003943B9">
      <w:pPr>
        <w:spacing w:after="200" w:line="240" w:lineRule="auto"/>
        <w:jc w:val="both"/>
        <w:rPr>
          <w:rFonts w:ascii="Times New Roman" w:hAnsi="Times New Roman" w:cs="Times New Roman"/>
          <w:bCs/>
          <w:sz w:val="24"/>
          <w:szCs w:val="24"/>
          <w:lang w:val="es-MX"/>
        </w:rPr>
      </w:pPr>
      <w:r>
        <w:rPr>
          <w:rFonts w:ascii="Times New Roman" w:hAnsi="Times New Roman"/>
          <w:sz w:val="24"/>
        </w:rPr>
        <w:t xml:space="preserve">Que, el indicado recurso se sustenta resumidamente en lo siguiente: a) El artículo 1 de la Ley del Contrato de Seguro establece que el contrato de seguro debe interpretarse en favor del asegurado; b) la póliza establece claramente que  cubre el monto que representan las compras fraudulentas y en este caso el préstamo es una transacción que aunque no se considere una compra tradicional implica un desembolso de fondos que afecta económicamente al asegurado; c) la compra del producto descrito como prestamos inmediatos online, ha generado cuotas mensuales de pago según dos contratos por 36 meses, discrepando con lo que indica el colegiado de los pagos hechos; d) el hecho que se haya usurpado la identidad para solicitar préstamos debe ser considerado como parte del uso indebido de datos; la póliza debe extenderse a cualquier uso no autorizado de su información personal; e) la jurisprudencia ha establecido que las compañías de seguros deben cubrir los daños derivados de fraude que involucren el uso indebido de datos personales como se evidenció en el caso DEFASEG N° 093/2020 donde se reconoció la cobertura ante situaciones de fraude por usurpación de identidad; f) en lo que respecta a la cobertura por transferencias no reconocidas que ha sido cubierta hasta US$450, considera que las compras no reconocidas tienen cobertura de US$10,000, por lo que la limitación a la cobertura de transferencias fraudulentas es contraria a la intención de la cobertura; en el caso DEFASEG N° 059/2021 se determinó que la aseguradora debía reembolsar el total de las pérdidas por transferencias fraudulentas sin limitarse a un monto máximo siempre que se demostrara el uso indebido; los préstamos online han afectado su score crediticio perjudicándolo; g) en el caso del BCP y la aseguradora ………………… se reconocieron inmediatamente las fraudulentas por el aplicativo  y se bloquearon sus cuentas diligentemente por horario no habitual; por lo que es lamentable advertir la negligencia del BBVA; h) la resolución indica que no se produjo un robo al asegurado sino que los retiros se realizaron sin su autorización; sin embargo el artículo 1 de la ley 29946 establece que se debe garantizar la protección del asegurado, la póliza especifica que cubre el dinero retirado de cajeros automáticos en caso de robo, asimismo cita otra resolución que señala que se cubren los retiros no autorizados de cajeros automáticos siempre que se demuestre que el asegurado no realizó; i) considera que ha presentado pruebas suficientes y que no se ha tomado en cuenta la relevancia de la evidencia de su solicitud de los videos de las cámaras de seguridad que podría corroborar la versión de los hechos presentados; la normativa obliga a considerar toda la documentación presentada por el asegurado tal como se establece en el Reglamento de la DEFASEG.</w:t>
      </w:r>
    </w:p>
    <w:p w14:paraId="630FEE1D" w14:textId="15B91EF5" w:rsidR="003943B9" w:rsidRPr="003943B9" w:rsidRDefault="003943B9" w:rsidP="003943B9">
      <w:pPr>
        <w:spacing w:after="200" w:line="240" w:lineRule="auto"/>
        <w:jc w:val="both"/>
        <w:rPr>
          <w:rFonts w:ascii="Times New Roman" w:hAnsi="Times New Roman" w:cs="Times New Roman"/>
          <w:bCs/>
          <w:sz w:val="24"/>
          <w:szCs w:val="24"/>
          <w:lang w:val="es-PE"/>
        </w:rPr>
      </w:pPr>
      <w:r w:rsidRPr="003943B9">
        <w:rPr>
          <w:rFonts w:ascii="Times New Roman" w:hAnsi="Times New Roman" w:cs="Times New Roman"/>
          <w:bCs/>
          <w:sz w:val="24"/>
          <w:szCs w:val="24"/>
          <w:lang w:val="es-PE"/>
        </w:rPr>
        <w:t xml:space="preserve">Que, habiéndose corrido traslado de la respectiva impugnación a la empresa aseguradora, esta cumplió con absolverlo con fecha 23 de setiembre de 2025, reiterando los argumentos expuestos con motivo de la reclamación y señalando resumidamente lo siguiente: a) si bien la norma consagra el principio a favor del asegurado, ello no significa que pueda desnaturalizare el objeto del contrato ni extender su cobertura a riesgos no contemplados expresamente; b) </w:t>
      </w:r>
      <w:r w:rsidRPr="003943B9">
        <w:rPr>
          <w:rFonts w:ascii="Times New Roman" w:hAnsi="Times New Roman" w:cs="Times New Roman"/>
          <w:bCs/>
          <w:sz w:val="24"/>
          <w:szCs w:val="24"/>
          <w:lang w:val="es-PE"/>
        </w:rPr>
        <w:lastRenderedPageBreak/>
        <w:t>respecto al uso indebido de la identidad, el asegurado confunde dos planos distintos, el ámbito penal que corresponde a la persecución de delitos informáticos y el ámbito contractual en el que las partes han delimitado los riesgos asegurados; el hecho que la conducta denunciada pueda calzar dentro de un ilícito penal no genera por sí mismo la obligación de cobertura; la aseguradora no desconoce la gravedad de los delitos informáticos, pero ello no implica que el seguro deba extenderse a coberturas que no fueron pactadas, por lo que el colegiado actuó conforme a derecho al determinar que el supuesto invocado no configura un siniestro amparado por la póliza; c) respecto a las transferencias no reconocidas, reiteran que los préstamos bancarios no son un riesgo asegurado.</w:t>
      </w:r>
    </w:p>
    <w:p w14:paraId="1CC9FC59" w14:textId="5E9245FD" w:rsidR="003943B9" w:rsidRPr="003943B9" w:rsidRDefault="003943B9" w:rsidP="003943B9">
      <w:pPr>
        <w:spacing w:after="200" w:line="240" w:lineRule="auto"/>
        <w:jc w:val="both"/>
        <w:rPr>
          <w:rFonts w:ascii="Times New Roman" w:hAnsi="Times New Roman" w:cs="Times New Roman"/>
          <w:bCs/>
          <w:sz w:val="24"/>
          <w:szCs w:val="24"/>
          <w:lang w:val="es-MX"/>
        </w:rPr>
      </w:pPr>
      <w:r w:rsidRPr="003943B9">
        <w:rPr>
          <w:rFonts w:ascii="Times New Roman" w:hAnsi="Times New Roman" w:cs="Times New Roman"/>
          <w:bCs/>
          <w:sz w:val="24"/>
          <w:szCs w:val="24"/>
          <w:lang w:val="es-MX"/>
        </w:rPr>
        <w:t>Atendiendo a lo expuesto, esta Defensoría resuelve finalmente lo siguiente:</w:t>
      </w:r>
    </w:p>
    <w:p w14:paraId="0FFE67D7" w14:textId="2A45FCD9" w:rsidR="003943B9" w:rsidRPr="003943B9" w:rsidRDefault="003943B9" w:rsidP="003943B9">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5D37B9C9" w14:textId="468C3A5F" w:rsidR="003943B9" w:rsidRPr="003943B9" w:rsidRDefault="003943B9" w:rsidP="003943B9">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Conforme a ello, en el caso concreto, al interponer el Recurso de Impugnación el reclamante ha ejercido formalmente su derecho a contradecir lo resuelto por la Defensoría.</w:t>
      </w:r>
    </w:p>
    <w:p w14:paraId="375F120A" w14:textId="0FC0DC61" w:rsidR="003943B9" w:rsidRPr="003943B9" w:rsidRDefault="003943B9" w:rsidP="003943B9">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SEGUNDO:  Que si bien el reclamante expresa su posición y manifiesta las razones por las cuales discrepa de lo resuelto por esta Defensoría, no desvirtúa el análisis contenido en la Resolución Impugnada, constituyendo por el contrario una opinión sustentada en un análisis distinto que este colegiado no comparte. </w:t>
      </w:r>
    </w:p>
    <w:p w14:paraId="29D91ADA" w14:textId="7CE7227E" w:rsidR="003943B9" w:rsidRPr="003943B9" w:rsidRDefault="003943B9" w:rsidP="003943B9">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La Resolución Impugnada no desconoce que el asegurado sufrió un perjuicio y fue víctima del robo de su celular producto de lo cual se realizaron transacciones que no reconoce y que lo han perjudicado, es solo que la póliza Protección de Tarjeta contratada, no cubre todos los supuestos de fraude que pueden realizarse con una tarjeta; y que los que sí cubre tienen límites establecidos distintos según el tipo de cobertura de que se trate.</w:t>
      </w:r>
    </w:p>
    <w:p w14:paraId="45506DB3" w14:textId="5FFA1008" w:rsidR="003943B9" w:rsidRPr="003943B9" w:rsidRDefault="003943B9" w:rsidP="003943B9">
      <w:pPr>
        <w:spacing w:after="200" w:line="240" w:lineRule="auto"/>
        <w:jc w:val="both"/>
        <w:rPr>
          <w:rFonts w:ascii="Times New Roman" w:hAnsi="Times New Roman" w:cs="Times New Roman"/>
          <w:sz w:val="24"/>
          <w:szCs w:val="24"/>
          <w:lang w:val="es-ES"/>
        </w:rPr>
      </w:pPr>
      <w:r w:rsidRPr="003943B9">
        <w:rPr>
          <w:rFonts w:ascii="Times New Roman" w:hAnsi="Times New Roman" w:cs="Times New Roman"/>
          <w:sz w:val="24"/>
          <w:szCs w:val="24"/>
          <w:lang w:val="es-ES"/>
        </w:rPr>
        <w:t>Sin perjuicio de ello, a continuación, nos pronunciamos sobre los siguientes aspectos en los que sustenta su reclamo.</w:t>
      </w:r>
    </w:p>
    <w:p w14:paraId="7E3C4A9B" w14:textId="4244B7E8" w:rsidR="003943B9" w:rsidRPr="003943B9" w:rsidRDefault="003943B9" w:rsidP="003943B9">
      <w:pPr>
        <w:spacing w:after="200" w:line="240" w:lineRule="auto"/>
        <w:jc w:val="both"/>
        <w:rPr>
          <w:rFonts w:ascii="Times New Roman" w:hAnsi="Times New Roman" w:cs="Times New Roman"/>
          <w:bCs/>
          <w:sz w:val="24"/>
          <w:szCs w:val="24"/>
          <w:lang w:val="es-MX"/>
        </w:rPr>
      </w:pPr>
      <w:r>
        <w:rPr>
          <w:rFonts w:ascii="Times New Roman" w:hAnsi="Times New Roman"/>
          <w:sz w:val="24"/>
        </w:rPr>
        <w:t xml:space="preserve">El recurrente nuevamente hace referencia al actuar del BBVA en comparación con otro banco, y en generar a las medidas de seguridad que se debieron tomar; aspectos sobre el cual este colegiado no se ha pronunciado pues como fue referido en la Resolución Impugnada no es competente para pronunciarse respecto al comportamiento del Banco en lo que concierne a operaciones distintas al contrato de seguro.</w:t>
      </w:r>
    </w:p>
    <w:p w14:paraId="2EAC9607" w14:textId="005B72B6" w:rsidR="003943B9" w:rsidRPr="003943B9" w:rsidRDefault="003943B9" w:rsidP="003943B9">
      <w:pPr>
        <w:spacing w:after="200" w:line="240" w:lineRule="auto"/>
        <w:jc w:val="both"/>
        <w:rPr>
          <w:rFonts w:ascii="Times New Roman" w:hAnsi="Times New Roman" w:cs="Times New Roman"/>
          <w:bCs/>
          <w:sz w:val="24"/>
          <w:szCs w:val="24"/>
          <w:lang w:val="es-MX"/>
        </w:rPr>
      </w:pPr>
      <w:r>
        <w:rPr>
          <w:rFonts w:ascii="Times New Roman" w:hAnsi="Times New Roman"/>
          <w:sz w:val="24"/>
        </w:rPr>
        <w:t xml:space="preserve">El recurrente también señala que se deben cubrir los retiros no autorizados de cajeros automáticos porque otra resolución así lo ha reconocido. Al respecto, este colegiado tiene a bien indicarle, que cada caso es distinto, porque las aseguradoras ofrecen productos distintos, por lo que, para resolver cada caso, debe analizarse lo que la póliza contratada por el asegurado establece. En este caso, como ya fue referido la póliza N° ………………… cualquier retiro por cajero, sino únicamente el dinero robado que ha retirado voluntariamente el asegurado de cajeros automáticos dentro de un radio de 200 metros del cajero.</w:t>
      </w:r>
    </w:p>
    <w:p w14:paraId="764D1AA5" w14:textId="636EF12F" w:rsidR="003943B9" w:rsidRPr="003943B9" w:rsidRDefault="003943B9" w:rsidP="003943B9">
      <w:pPr>
        <w:spacing w:after="200" w:line="240" w:lineRule="auto"/>
        <w:jc w:val="both"/>
        <w:rPr>
          <w:rFonts w:ascii="Times New Roman" w:hAnsi="Times New Roman" w:cs="Times New Roman"/>
          <w:bCs/>
          <w:sz w:val="24"/>
          <w:szCs w:val="24"/>
          <w:lang w:val="es-MX"/>
        </w:rPr>
      </w:pPr>
      <w:r w:rsidRPr="003943B9">
        <w:rPr>
          <w:rFonts w:ascii="Times New Roman" w:hAnsi="Times New Roman" w:cs="Times New Roman"/>
          <w:bCs/>
          <w:sz w:val="24"/>
          <w:szCs w:val="24"/>
          <w:lang w:val="es-MX"/>
        </w:rPr>
        <w:t xml:space="preserve">Cabe señalar que el caso citado por el recurrente, DEFASEG N° 093/2020, no se reconoció la cobertura ante situaciones de fraude por usurpación de identidad. En dicho caso, no se discutía </w:t>
      </w:r>
      <w:r w:rsidRPr="003943B9">
        <w:rPr>
          <w:rFonts w:ascii="Times New Roman" w:hAnsi="Times New Roman" w:cs="Times New Roman"/>
          <w:bCs/>
          <w:sz w:val="24"/>
          <w:szCs w:val="24"/>
          <w:lang w:val="es-MX"/>
        </w:rPr>
        <w:lastRenderedPageBreak/>
        <w:t>si estábamos ante un supuesto cubierto por el seguro, ese no fue el motivo del rechazo, el motivo del rechazo fue que no se realizó el bloqueo de la tarjeta dentro del plazo previsto por la póliza; supuesto totalmente distinto al que nos ocupa. En este caso no se está invocando el rechazo de cobertura por el incumplimiento de una carga contractual, sino que se rechaza la cobertura porque los prestamos inmediatos y los retiros por cajero sin tarjeta no son supuestos cubiertos por el seguro; y en el caso de las transferencias a terceros no reconocidas esta se ha cubierto hasta el límite previsto en la póliza.</w:t>
      </w:r>
    </w:p>
    <w:p w14:paraId="464F36EA" w14:textId="083DAD57" w:rsidR="003943B9" w:rsidRPr="003943B9" w:rsidRDefault="003943B9" w:rsidP="003943B9">
      <w:pPr>
        <w:spacing w:after="200" w:line="240" w:lineRule="auto"/>
        <w:jc w:val="both"/>
        <w:rPr>
          <w:rFonts w:ascii="Times New Roman" w:hAnsi="Times New Roman" w:cs="Times New Roman"/>
          <w:bCs/>
          <w:sz w:val="24"/>
          <w:szCs w:val="24"/>
          <w:lang w:val="es-MX"/>
        </w:rPr>
      </w:pPr>
      <w:r w:rsidRPr="003943B9">
        <w:rPr>
          <w:rFonts w:ascii="Times New Roman" w:hAnsi="Times New Roman" w:cs="Times New Roman"/>
          <w:bCs/>
          <w:sz w:val="24"/>
          <w:szCs w:val="24"/>
          <w:lang w:val="es-MX"/>
        </w:rPr>
        <w:t>Asimismo, el segundo caso citado por el recurrente DEFASEG N° 59/2021, corresponde a un hurto de tarjeta, producto de la cual se realizó la compra en una joyería realizada por el tercero que hurtó la tarjeta; es decir, al igual que en el caso anterior, sí estábamos ante un supuesto cubierto por el seguro. En ese caso se rechazó la cobertura porque no se realizó oportunamente la denuncia policial, supuesto totalmente distinto al que nos ocupa. Asimismo, la resolución no se pronunció sobre el monto a indemnizar, menos aún indicó que las indemnizaciones se dan sin respetar el monto máximo establecido en la póliza. En dicho caso -al igual que en el anteriormente citado- se discutió algo totalmente distinto a la discusión que nos ocupa por lo que la remisión a dichas resoluciones de la DEFASEG no resulta aplicable al caso que nos ocupa.</w:t>
      </w:r>
    </w:p>
    <w:p w14:paraId="124F53C6" w14:textId="274208B3" w:rsidR="003943B9" w:rsidRPr="003943B9" w:rsidRDefault="003943B9" w:rsidP="003943B9">
      <w:pPr>
        <w:spacing w:after="200" w:line="240" w:lineRule="auto"/>
        <w:jc w:val="both"/>
        <w:rPr>
          <w:rFonts w:ascii="Times New Roman" w:hAnsi="Times New Roman" w:cs="Times New Roman"/>
          <w:bCs/>
          <w:sz w:val="24"/>
          <w:szCs w:val="24"/>
          <w:lang w:val="es-PE"/>
        </w:rPr>
      </w:pPr>
      <w:r w:rsidRPr="003943B9">
        <w:rPr>
          <w:rFonts w:ascii="Times New Roman" w:hAnsi="Times New Roman" w:cs="Times New Roman"/>
          <w:bCs/>
          <w:sz w:val="24"/>
          <w:szCs w:val="24"/>
          <w:lang w:val="es-ES"/>
        </w:rPr>
        <w:t>El</w:t>
      </w:r>
      <w:r w:rsidRPr="003943B9">
        <w:rPr>
          <w:rFonts w:ascii="Times New Roman" w:hAnsi="Times New Roman" w:cs="Times New Roman"/>
          <w:bCs/>
          <w:sz w:val="24"/>
          <w:szCs w:val="24"/>
          <w:lang w:val="es-PE"/>
        </w:rPr>
        <w:t xml:space="preserve"> recurrente señala que el fraude fue ejecutado mediante un esquema de suplantación que permitió que se obtuviera un préstamo que lo ha perjudicado. Al respecto, este colegiado no desconoce el relato del asegurado, es solo que el mismo no se encuentra cubierta por el seguro.</w:t>
      </w:r>
    </w:p>
    <w:p w14:paraId="219470AC" w14:textId="66C47241" w:rsidR="003943B9" w:rsidRPr="003943B9" w:rsidRDefault="003943B9" w:rsidP="003943B9">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Reiteramos que la póliza N° ………………… todos los supuestos o perjuicios que puede sufrir un asegurado respecto de productos bancarios, sino solo aquellos supuestos taxativamente previstos en la póliza de seguros, tal como fuera referido en la Resolución Impugnada.</w:t>
      </w:r>
    </w:p>
    <w:p w14:paraId="3271B323" w14:textId="2F218505" w:rsidR="003943B9" w:rsidRPr="003943B9" w:rsidRDefault="003943B9" w:rsidP="003943B9">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En este sentido ratificamos las conclusiones de la Resolución Impugnada respecto de las tres transacciones no reconocidas por el asegurado:</w:t>
      </w:r>
    </w:p>
    <w:p w14:paraId="354D6ED3" w14:textId="085CD3F7" w:rsidR="003943B9" w:rsidRPr="003943B9" w:rsidRDefault="003943B9" w:rsidP="003943B9">
      <w:pPr>
        <w:spacing w:after="200" w:line="240" w:lineRule="auto"/>
        <w:jc w:val="both"/>
        <w:rPr>
          <w:rFonts w:ascii="Times New Roman" w:hAnsi="Times New Roman" w:cs="Times New Roman"/>
          <w:bCs/>
          <w:sz w:val="24"/>
          <w:szCs w:val="24"/>
          <w:lang w:val="es-PE"/>
        </w:rPr>
      </w:pPr>
      <w:proofErr w:type="gramStart"/>
      <w:r w:rsidRPr="003943B9">
        <w:rPr>
          <w:rFonts w:ascii="Times New Roman" w:hAnsi="Times New Roman" w:cs="Times New Roman"/>
          <w:bCs/>
          <w:sz w:val="24"/>
          <w:szCs w:val="24"/>
          <w:lang w:val="es-PE"/>
        </w:rPr>
        <w:t>En virtud a</w:t>
      </w:r>
      <w:proofErr w:type="gramEnd"/>
      <w:r w:rsidRPr="003943B9">
        <w:rPr>
          <w:rFonts w:ascii="Times New Roman" w:hAnsi="Times New Roman" w:cs="Times New Roman"/>
          <w:bCs/>
          <w:sz w:val="24"/>
          <w:szCs w:val="24"/>
          <w:lang w:val="es-PE"/>
        </w:rPr>
        <w:t xml:space="preserve"> lo expuesto, este colegiado considera que el recurso impugnativo interpuesto puede ser categorizado, por su contenido mismo, como una solicitud de revisión general, sustentado en el muy respetable criterio del recurrente que este colegiado no comparte definitivamente.</w:t>
      </w:r>
    </w:p>
    <w:p w14:paraId="3C2ACF41" w14:textId="72A569B5" w:rsidR="003805B8" w:rsidRDefault="003943B9" w:rsidP="003943B9">
      <w:pPr>
        <w:spacing w:after="200" w:line="240" w:lineRule="auto"/>
        <w:jc w:val="both"/>
        <w:rPr>
          <w:rFonts w:ascii="Times New Roman" w:hAnsi="Times New Roman" w:cs="Times New Roman"/>
          <w:b/>
          <w:sz w:val="24"/>
          <w:szCs w:val="24"/>
          <w:lang w:val="es-PE"/>
        </w:rPr>
      </w:pPr>
      <w:r w:rsidRPr="003943B9">
        <w:rPr>
          <w:rFonts w:ascii="Times New Roman" w:hAnsi="Times New Roman" w:cs="Times New Roman"/>
          <w:b/>
          <w:sz w:val="24"/>
          <w:szCs w:val="24"/>
          <w:lang w:val="es-PE"/>
        </w:rPr>
        <w:t>Atendiendo a lo expresado, conforme a su Reglamento, este colegiado resuelve</w:t>
      </w:r>
    </w:p>
    <w:p w14:paraId="5CC0EAB1" w14:textId="77777777" w:rsidR="00E4002A" w:rsidRDefault="00E4002A" w:rsidP="003805B8">
      <w:pPr>
        <w:spacing w:after="200" w:line="240" w:lineRule="auto"/>
        <w:jc w:val="both"/>
        <w:rPr>
          <w:rFonts w:ascii="Times New Roman" w:hAnsi="Times New Roman" w:cs="Times New Roman"/>
          <w:bCs/>
          <w:sz w:val="24"/>
          <w:szCs w:val="24"/>
          <w:lang w:val="es-PE"/>
        </w:rPr>
      </w:pPr>
    </w:p>
    <w:p w14:paraId="26D41103" w14:textId="77777777" w:rsidR="00E4002A" w:rsidRDefault="00E4002A" w:rsidP="003805B8">
      <w:pPr>
        <w:spacing w:after="200" w:line="240" w:lineRule="auto"/>
        <w:jc w:val="both"/>
        <w:rPr>
          <w:rFonts w:ascii="Times New Roman" w:hAnsi="Times New Roman" w:cs="Times New Roman"/>
          <w:bCs/>
          <w:sz w:val="24"/>
          <w:szCs w:val="24"/>
          <w:lang w:val="es-PE"/>
        </w:rPr>
      </w:pPr>
    </w:p>
    <w:p w14:paraId="1FC6A5E6" w14:textId="77777777" w:rsidR="00E4002A" w:rsidRDefault="00E4002A" w:rsidP="003805B8">
      <w:pPr>
        <w:spacing w:after="200" w:line="240" w:lineRule="auto"/>
        <w:jc w:val="both"/>
        <w:rPr>
          <w:rFonts w:ascii="Times New Roman" w:hAnsi="Times New Roman" w:cs="Times New Roman"/>
          <w:bCs/>
          <w:sz w:val="24"/>
          <w:szCs w:val="24"/>
          <w:lang w:val="es-PE"/>
        </w:rPr>
      </w:pPr>
    </w:p>
    <w:p w14:paraId="360CBA85" w14:textId="77777777" w:rsidR="00E4002A" w:rsidRDefault="00E4002A" w:rsidP="003805B8">
      <w:pPr>
        <w:spacing w:after="200" w:line="240" w:lineRule="auto"/>
        <w:jc w:val="both"/>
        <w:rPr>
          <w:rFonts w:ascii="Times New Roman" w:hAnsi="Times New Roman" w:cs="Times New Roman"/>
          <w:bCs/>
          <w:sz w:val="24"/>
          <w:szCs w:val="24"/>
          <w:lang w:val="es-PE"/>
        </w:rPr>
      </w:pPr>
    </w:p>
    <w:p w14:paraId="6F79FC83" w14:textId="77777777" w:rsidR="00E4002A" w:rsidRDefault="00E4002A" w:rsidP="003805B8">
      <w:pPr>
        <w:spacing w:after="200" w:line="240" w:lineRule="auto"/>
        <w:jc w:val="both"/>
        <w:rPr>
          <w:rFonts w:ascii="Times New Roman" w:hAnsi="Times New Roman" w:cs="Times New Roman"/>
          <w:bCs/>
          <w:sz w:val="24"/>
          <w:szCs w:val="24"/>
          <w:lang w:val="es-PE"/>
        </w:rPr>
      </w:pPr>
    </w:p>
    <w:p w14:paraId="63800760" w14:textId="77777777" w:rsidR="00E4002A" w:rsidRDefault="00E4002A" w:rsidP="003805B8">
      <w:pPr>
        <w:spacing w:after="200" w:line="240" w:lineRule="auto"/>
        <w:jc w:val="both"/>
        <w:rPr>
          <w:rFonts w:ascii="Times New Roman" w:hAnsi="Times New Roman" w:cs="Times New Roman"/>
          <w:bCs/>
          <w:sz w:val="24"/>
          <w:szCs w:val="24"/>
          <w:lang w:val="es-PE"/>
        </w:rPr>
      </w:pPr>
    </w:p>
    <w:p w14:paraId="611AB5CF" w14:textId="77777777" w:rsidR="00E4002A" w:rsidRDefault="00E4002A" w:rsidP="003805B8">
      <w:pPr>
        <w:spacing w:after="200" w:line="240" w:lineRule="auto"/>
        <w:jc w:val="both"/>
        <w:rPr>
          <w:rFonts w:ascii="Times New Roman" w:hAnsi="Times New Roman" w:cs="Times New Roman"/>
          <w:bCs/>
          <w:sz w:val="24"/>
          <w:szCs w:val="24"/>
          <w:lang w:val="es-PE"/>
        </w:rPr>
      </w:pPr>
    </w:p>
    <w:p w14:paraId="7FA87AAB" w14:textId="77777777" w:rsidR="00E4002A" w:rsidRDefault="00E4002A" w:rsidP="003805B8">
      <w:pPr>
        <w:spacing w:after="200" w:line="240" w:lineRule="auto"/>
        <w:jc w:val="both"/>
        <w:rPr>
          <w:rFonts w:ascii="Times New Roman" w:hAnsi="Times New Roman" w:cs="Times New Roman"/>
          <w:bCs/>
          <w:sz w:val="24"/>
          <w:szCs w:val="24"/>
          <w:lang w:val="es-PE"/>
        </w:rPr>
      </w:pPr>
    </w:p>
    <w:p w14:paraId="5A0C4925" w14:textId="58BDAD26" w:rsidR="003943B9" w:rsidRPr="003943B9" w:rsidRDefault="003943B9" w:rsidP="003805B8">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Declarar INFUNDADO el Recurso de Impugnación interpuesto y confirmar la Resolución Nº 127/25 que declaro infundado el reclamo interpuesto por don ………………… contra …………………, dejando a salvo el derecho del reclamante de recurrir ante las instancias que estime pertinentes.</w:t>
      </w:r>
    </w:p>
    <w:p w14:paraId="5ED79E9E" w14:textId="3C8D027F" w:rsidR="00033B9E" w:rsidRPr="003943B9" w:rsidRDefault="00033B9E" w:rsidP="00207B29">
      <w:pPr>
        <w:spacing w:after="200" w:line="240" w:lineRule="auto"/>
        <w:jc w:val="right"/>
        <w:rPr>
          <w:rFonts w:ascii="Times New Roman" w:hAnsi="Times New Roman" w:cs="Times New Roman"/>
          <w:sz w:val="24"/>
          <w:szCs w:val="24"/>
          <w:lang w:val="es-PE"/>
        </w:rPr>
      </w:pPr>
      <w:r w:rsidRPr="003943B9">
        <w:rPr>
          <w:rFonts w:ascii="Times New Roman" w:hAnsi="Times New Roman" w:cs="Times New Roman"/>
          <w:sz w:val="24"/>
          <w:szCs w:val="24"/>
          <w:lang w:val="es-PE"/>
        </w:rPr>
        <w:t xml:space="preserve">Lima, </w:t>
      </w:r>
      <w:r w:rsidR="005D20AB" w:rsidRPr="003943B9">
        <w:rPr>
          <w:rFonts w:ascii="Times New Roman" w:hAnsi="Times New Roman" w:cs="Times New Roman"/>
          <w:sz w:val="24"/>
          <w:szCs w:val="24"/>
          <w:lang w:val="es-PE"/>
        </w:rPr>
        <w:t>06</w:t>
      </w:r>
      <w:r w:rsidRPr="003943B9">
        <w:rPr>
          <w:rFonts w:ascii="Times New Roman" w:hAnsi="Times New Roman" w:cs="Times New Roman"/>
          <w:sz w:val="24"/>
          <w:szCs w:val="24"/>
          <w:lang w:val="es-PE"/>
        </w:rPr>
        <w:t xml:space="preserve"> de </w:t>
      </w:r>
      <w:r w:rsidR="00A0075C" w:rsidRPr="003943B9">
        <w:rPr>
          <w:rFonts w:ascii="Times New Roman" w:hAnsi="Times New Roman" w:cs="Times New Roman"/>
          <w:sz w:val="24"/>
          <w:szCs w:val="24"/>
          <w:lang w:val="es-PE"/>
        </w:rPr>
        <w:t>octubre</w:t>
      </w:r>
      <w:r w:rsidR="00304C79" w:rsidRPr="003943B9">
        <w:rPr>
          <w:rFonts w:ascii="Times New Roman" w:hAnsi="Times New Roman" w:cs="Times New Roman"/>
          <w:sz w:val="24"/>
          <w:szCs w:val="24"/>
          <w:lang w:val="es-PE"/>
        </w:rPr>
        <w:t xml:space="preserve"> </w:t>
      </w:r>
      <w:r w:rsidRPr="003943B9">
        <w:rPr>
          <w:rFonts w:ascii="Times New Roman" w:hAnsi="Times New Roman" w:cs="Times New Roman"/>
          <w:sz w:val="24"/>
          <w:szCs w:val="24"/>
          <w:lang w:val="es-PE"/>
        </w:rPr>
        <w:t xml:space="preserve">de 2025 </w:t>
      </w:r>
    </w:p>
    <w:p w14:paraId="10ECF88E" w14:textId="77777777" w:rsidR="00033B9E" w:rsidRPr="003943B9" w:rsidRDefault="00033B9E" w:rsidP="00207B29">
      <w:pPr>
        <w:suppressAutoHyphens/>
        <w:spacing w:after="0" w:line="240" w:lineRule="auto"/>
        <w:outlineLvl w:val="0"/>
        <w:rPr>
          <w:rFonts w:ascii="Times New Roman" w:eastAsia="Times New Roman" w:hAnsi="Times New Roman" w:cs="Times New Roman"/>
          <w:sz w:val="24"/>
          <w:szCs w:val="24"/>
          <w:lang w:val="es-PE" w:eastAsia="ar-SA"/>
        </w:rPr>
      </w:pPr>
    </w:p>
    <w:p w14:paraId="6E081B4D" w14:textId="77777777" w:rsidR="00033B9E" w:rsidRPr="003943B9" w:rsidRDefault="00033B9E" w:rsidP="00207B29">
      <w:pPr>
        <w:spacing w:after="200" w:line="240" w:lineRule="auto"/>
        <w:jc w:val="both"/>
        <w:rPr>
          <w:rFonts w:ascii="Times New Roman" w:hAnsi="Times New Roman" w:cs="Times New Roman"/>
          <w:b/>
          <w:bCs/>
          <w:i/>
          <w:iCs/>
          <w:sz w:val="24"/>
          <w:szCs w:val="24"/>
          <w:lang w:val="es-PE"/>
        </w:rPr>
      </w:pPr>
      <w:r w:rsidRPr="003943B9">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bookmarkEnd w:id="0"/>
    <w:p w14:paraId="0BFED74C" w14:textId="77777777" w:rsidR="00D517D5" w:rsidRPr="008E6C3D" w:rsidRDefault="00D517D5" w:rsidP="00D517D5">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Antonio Rodriguez Lobatón – </w:t>
      </w:r>
      <w:proofErr w:type="gramStart"/>
      <w:r>
        <w:rPr>
          <w:rFonts w:ascii="Times New Roman" w:hAnsi="Times New Roman" w:cs="Times New Roman"/>
          <w:b/>
          <w:bCs/>
          <w:sz w:val="24"/>
          <w:szCs w:val="24"/>
          <w:lang w:val="es-PE"/>
        </w:rPr>
        <w:t>Presidente</w:t>
      </w:r>
      <w:proofErr w:type="gramEnd"/>
    </w:p>
    <w:p w14:paraId="4A9648F0" w14:textId="77777777" w:rsidR="00D517D5" w:rsidRDefault="00D517D5" w:rsidP="00D517D5">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María Eugenia Valdez Fernández Baca </w:t>
      </w:r>
      <w:r>
        <w:rPr>
          <w:rFonts w:ascii="Times New Roman" w:hAnsi="Times New Roman" w:cs="Times New Roman"/>
          <w:b/>
          <w:bCs/>
          <w:sz w:val="24"/>
          <w:szCs w:val="24"/>
          <w:lang w:val="es-PE"/>
        </w:rPr>
        <w:t>–</w:t>
      </w:r>
      <w:r w:rsidRPr="003943B9">
        <w:rPr>
          <w:rFonts w:ascii="Times New Roman" w:hAnsi="Times New Roman" w:cs="Times New Roman"/>
          <w:b/>
          <w:bCs/>
          <w:sz w:val="24"/>
          <w:szCs w:val="24"/>
          <w:lang w:val="es-PE"/>
        </w:rPr>
        <w:t xml:space="preserve"> Vocal</w:t>
      </w:r>
    </w:p>
    <w:p w14:paraId="02790039" w14:textId="77777777" w:rsidR="00D517D5" w:rsidRPr="003943B9" w:rsidRDefault="00D517D5" w:rsidP="00D517D5">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Rolando Eyzaguirre </w:t>
      </w:r>
      <w:proofErr w:type="spellStart"/>
      <w:r w:rsidRPr="003943B9">
        <w:rPr>
          <w:rFonts w:ascii="Times New Roman" w:hAnsi="Times New Roman" w:cs="Times New Roman"/>
          <w:b/>
          <w:bCs/>
          <w:sz w:val="24"/>
          <w:szCs w:val="24"/>
          <w:lang w:val="es-PE"/>
        </w:rPr>
        <w:t>Maccan</w:t>
      </w:r>
      <w:proofErr w:type="spellEnd"/>
      <w:r w:rsidRPr="003943B9">
        <w:rPr>
          <w:rFonts w:ascii="Times New Roman" w:hAnsi="Times New Roman" w:cs="Times New Roman"/>
          <w:b/>
          <w:bCs/>
          <w:sz w:val="24"/>
          <w:szCs w:val="24"/>
          <w:lang w:val="es-PE"/>
        </w:rPr>
        <w:t xml:space="preserve"> - </w:t>
      </w:r>
      <w:r>
        <w:rPr>
          <w:rFonts w:ascii="Times New Roman" w:hAnsi="Times New Roman" w:cs="Times New Roman"/>
          <w:b/>
          <w:bCs/>
          <w:sz w:val="24"/>
          <w:szCs w:val="24"/>
          <w:lang w:val="es-PE"/>
        </w:rPr>
        <w:t>Vocal</w:t>
      </w:r>
    </w:p>
    <w:p w14:paraId="01BF34EE" w14:textId="77777777" w:rsidR="00001989" w:rsidRPr="003943B9" w:rsidRDefault="00001989" w:rsidP="00F92849">
      <w:pPr>
        <w:spacing w:after="200" w:line="240" w:lineRule="auto"/>
        <w:jc w:val="center"/>
        <w:rPr>
          <w:rFonts w:ascii="Times New Roman" w:hAnsi="Times New Roman" w:cs="Times New Roman"/>
          <w:b/>
          <w:bCs/>
          <w:sz w:val="24"/>
          <w:szCs w:val="24"/>
          <w:lang w:val="es-PE"/>
        </w:rPr>
      </w:pPr>
    </w:p>
    <w:sectPr w:rsidR="00001989" w:rsidRPr="003943B9"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B1A54" w14:textId="77777777" w:rsidR="00F34487" w:rsidRDefault="00F34487" w:rsidP="00784355">
      <w:pPr>
        <w:spacing w:after="0" w:line="240" w:lineRule="auto"/>
      </w:pPr>
      <w:r>
        <w:separator/>
      </w:r>
    </w:p>
  </w:endnote>
  <w:endnote w:type="continuationSeparator" w:id="0">
    <w:p w14:paraId="7F1495DB" w14:textId="77777777" w:rsidR="00F34487" w:rsidRDefault="00F34487"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13C38AB9" w:rsidR="00C671F5" w:rsidRPr="00207B29" w:rsidRDefault="00C671F5">
            <w:pPr>
              <w:pStyle w:val="Piedepgina"/>
              <w:jc w:val="right"/>
              <w:rPr>
                <w:rFonts w:ascii="Times New Roman" w:hAnsi="Times New Roman" w:cs="Times New Roman"/>
                <w:sz w:val="18"/>
                <w:szCs w:val="18"/>
              </w:rPr>
            </w:pPr>
            <w:r w:rsidRPr="00207B29">
              <w:rPr>
                <w:rFonts w:ascii="Times New Roman" w:hAnsi="Times New Roman" w:cs="Times New Roman"/>
                <w:sz w:val="18"/>
                <w:szCs w:val="18"/>
                <w:lang w:val="es-ES"/>
              </w:rPr>
              <w:t xml:space="preserve">Página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PAGE</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r w:rsidRPr="00207B29">
              <w:rPr>
                <w:rFonts w:ascii="Times New Roman" w:hAnsi="Times New Roman" w:cs="Times New Roman"/>
                <w:sz w:val="18"/>
                <w:szCs w:val="18"/>
                <w:lang w:val="es-ES"/>
              </w:rPr>
              <w:t xml:space="preserve"> de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NUMPAGES</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p>
        </w:sdtContent>
      </w:sdt>
    </w:sdtContent>
  </w:sdt>
  <w:p w14:paraId="3BA05C52" w14:textId="77777777" w:rsidR="00784355" w:rsidRPr="00207B29" w:rsidRDefault="00784355">
    <w:pPr>
      <w:pStyle w:val="Piedepgina"/>
      <w:spacing w:line="240" w:lineRule="auto"/>
      <w:rPr>
        <w:rFonts w:ascii="Times New Roman" w:hAnsi="Times New Roman" w:cs="Times New Roman"/>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50D6F" w14:textId="77777777" w:rsidR="00F34487" w:rsidRDefault="00F34487" w:rsidP="00784355">
      <w:pPr>
        <w:spacing w:after="0" w:line="240" w:lineRule="auto"/>
      </w:pPr>
      <w:r>
        <w:separator/>
      </w:r>
    </w:p>
  </w:footnote>
  <w:footnote w:type="continuationSeparator" w:id="0">
    <w:p w14:paraId="22BC8665" w14:textId="77777777" w:rsidR="00F34487" w:rsidRDefault="00F34487"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6189FEAF" w:rsidR="00C671F5" w:rsidRDefault="00C671F5" w:rsidP="00207B29">
    <w:pPr>
      <w:pStyle w:val="Encabezado"/>
      <w:tabs>
        <w:tab w:val="clear" w:pos="4419"/>
        <w:tab w:val="clear" w:pos="8838"/>
        <w:tab w:val="left" w:pos="4007"/>
      </w:tabs>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32992624">
    <w:abstractNumId w:val="0"/>
  </w:num>
  <w:num w:numId="2" w16cid:durableId="1740133193">
    <w:abstractNumId w:val="2"/>
  </w:num>
  <w:num w:numId="3" w16cid:durableId="1223565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180"/>
    <w:rsid w:val="000D7348"/>
    <w:rsid w:val="000D7B6B"/>
    <w:rsid w:val="000E6C90"/>
    <w:rsid w:val="000F17DA"/>
    <w:rsid w:val="000F1F1F"/>
    <w:rsid w:val="000F372E"/>
    <w:rsid w:val="000F4458"/>
    <w:rsid w:val="000F56CC"/>
    <w:rsid w:val="000F6340"/>
    <w:rsid w:val="0010277D"/>
    <w:rsid w:val="001035ED"/>
    <w:rsid w:val="001064A0"/>
    <w:rsid w:val="00107CAE"/>
    <w:rsid w:val="00110157"/>
    <w:rsid w:val="00111342"/>
    <w:rsid w:val="00112C8D"/>
    <w:rsid w:val="0011308C"/>
    <w:rsid w:val="0011380D"/>
    <w:rsid w:val="00113FB6"/>
    <w:rsid w:val="0011633B"/>
    <w:rsid w:val="00116708"/>
    <w:rsid w:val="00116B6A"/>
    <w:rsid w:val="00117C74"/>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3395"/>
    <w:rsid w:val="001A44E1"/>
    <w:rsid w:val="001A555F"/>
    <w:rsid w:val="001A61E0"/>
    <w:rsid w:val="001A6E42"/>
    <w:rsid w:val="001A6EBB"/>
    <w:rsid w:val="001B1E59"/>
    <w:rsid w:val="001B3EE9"/>
    <w:rsid w:val="001B58A3"/>
    <w:rsid w:val="001B6C30"/>
    <w:rsid w:val="001C052B"/>
    <w:rsid w:val="001C3A70"/>
    <w:rsid w:val="001C49C6"/>
    <w:rsid w:val="001D0EED"/>
    <w:rsid w:val="001D1D31"/>
    <w:rsid w:val="001D2203"/>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41EC"/>
    <w:rsid w:val="00204407"/>
    <w:rsid w:val="00205AC5"/>
    <w:rsid w:val="00206378"/>
    <w:rsid w:val="00206718"/>
    <w:rsid w:val="0020749F"/>
    <w:rsid w:val="00207B29"/>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528B8"/>
    <w:rsid w:val="00252D46"/>
    <w:rsid w:val="00253CBD"/>
    <w:rsid w:val="00254641"/>
    <w:rsid w:val="00256E4E"/>
    <w:rsid w:val="00260B6D"/>
    <w:rsid w:val="00260F46"/>
    <w:rsid w:val="0026148B"/>
    <w:rsid w:val="0026162A"/>
    <w:rsid w:val="00261D97"/>
    <w:rsid w:val="00262031"/>
    <w:rsid w:val="0027261F"/>
    <w:rsid w:val="00272F4F"/>
    <w:rsid w:val="0027301E"/>
    <w:rsid w:val="00273738"/>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0F54"/>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D42"/>
    <w:rsid w:val="00300E51"/>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05B8"/>
    <w:rsid w:val="003812D2"/>
    <w:rsid w:val="0038290F"/>
    <w:rsid w:val="0038740F"/>
    <w:rsid w:val="00391C15"/>
    <w:rsid w:val="00391F72"/>
    <w:rsid w:val="00392259"/>
    <w:rsid w:val="003943B9"/>
    <w:rsid w:val="00394D1E"/>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06AFD"/>
    <w:rsid w:val="00411866"/>
    <w:rsid w:val="00414109"/>
    <w:rsid w:val="00414A7B"/>
    <w:rsid w:val="00417CFB"/>
    <w:rsid w:val="00417E23"/>
    <w:rsid w:val="00420F89"/>
    <w:rsid w:val="0042236E"/>
    <w:rsid w:val="00425ACB"/>
    <w:rsid w:val="00425F75"/>
    <w:rsid w:val="00426C11"/>
    <w:rsid w:val="004310D6"/>
    <w:rsid w:val="004324AC"/>
    <w:rsid w:val="00440AE0"/>
    <w:rsid w:val="00440BC2"/>
    <w:rsid w:val="00443191"/>
    <w:rsid w:val="00443875"/>
    <w:rsid w:val="00444232"/>
    <w:rsid w:val="00444DE9"/>
    <w:rsid w:val="00445D0D"/>
    <w:rsid w:val="004513F2"/>
    <w:rsid w:val="00452340"/>
    <w:rsid w:val="00452C11"/>
    <w:rsid w:val="00460C30"/>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E04CE"/>
    <w:rsid w:val="004E210D"/>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148BF"/>
    <w:rsid w:val="005152C7"/>
    <w:rsid w:val="00516293"/>
    <w:rsid w:val="0051692C"/>
    <w:rsid w:val="005175FE"/>
    <w:rsid w:val="005201C0"/>
    <w:rsid w:val="005201E9"/>
    <w:rsid w:val="00521B4C"/>
    <w:rsid w:val="00522E2A"/>
    <w:rsid w:val="005256D3"/>
    <w:rsid w:val="005259E7"/>
    <w:rsid w:val="005265A5"/>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18E3"/>
    <w:rsid w:val="00582D26"/>
    <w:rsid w:val="0058358B"/>
    <w:rsid w:val="00583A87"/>
    <w:rsid w:val="00585D65"/>
    <w:rsid w:val="00586159"/>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0AB"/>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F6B"/>
    <w:rsid w:val="005F2582"/>
    <w:rsid w:val="005F265B"/>
    <w:rsid w:val="005F34F8"/>
    <w:rsid w:val="005F4C97"/>
    <w:rsid w:val="005F5311"/>
    <w:rsid w:val="005F579D"/>
    <w:rsid w:val="00601339"/>
    <w:rsid w:val="00601861"/>
    <w:rsid w:val="0060197F"/>
    <w:rsid w:val="00601CB2"/>
    <w:rsid w:val="00605902"/>
    <w:rsid w:val="00606105"/>
    <w:rsid w:val="0061124D"/>
    <w:rsid w:val="00611905"/>
    <w:rsid w:val="00613283"/>
    <w:rsid w:val="00613A39"/>
    <w:rsid w:val="006157B3"/>
    <w:rsid w:val="006214B0"/>
    <w:rsid w:val="00622ABC"/>
    <w:rsid w:val="00622B9F"/>
    <w:rsid w:val="00623204"/>
    <w:rsid w:val="0062382C"/>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9D5"/>
    <w:rsid w:val="00656FE2"/>
    <w:rsid w:val="0065714F"/>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9E6"/>
    <w:rsid w:val="006832CF"/>
    <w:rsid w:val="00685D82"/>
    <w:rsid w:val="00686BB2"/>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1598"/>
    <w:rsid w:val="007015BB"/>
    <w:rsid w:val="00701639"/>
    <w:rsid w:val="00701893"/>
    <w:rsid w:val="007021E5"/>
    <w:rsid w:val="00703430"/>
    <w:rsid w:val="00703640"/>
    <w:rsid w:val="00704A95"/>
    <w:rsid w:val="00705F2D"/>
    <w:rsid w:val="00706392"/>
    <w:rsid w:val="007065DE"/>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413BB"/>
    <w:rsid w:val="007415C6"/>
    <w:rsid w:val="00744447"/>
    <w:rsid w:val="00751717"/>
    <w:rsid w:val="007542CA"/>
    <w:rsid w:val="00754CE1"/>
    <w:rsid w:val="0075586B"/>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07F1C"/>
    <w:rsid w:val="008168DE"/>
    <w:rsid w:val="00816B3F"/>
    <w:rsid w:val="0081754D"/>
    <w:rsid w:val="0081779E"/>
    <w:rsid w:val="008177B9"/>
    <w:rsid w:val="00817F65"/>
    <w:rsid w:val="00821801"/>
    <w:rsid w:val="0082279A"/>
    <w:rsid w:val="0082527A"/>
    <w:rsid w:val="00825CD8"/>
    <w:rsid w:val="00827313"/>
    <w:rsid w:val="0083014D"/>
    <w:rsid w:val="00834152"/>
    <w:rsid w:val="008356FF"/>
    <w:rsid w:val="00835AAF"/>
    <w:rsid w:val="00836831"/>
    <w:rsid w:val="00837DDE"/>
    <w:rsid w:val="00850F0A"/>
    <w:rsid w:val="008511DF"/>
    <w:rsid w:val="008522FE"/>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4093"/>
    <w:rsid w:val="008B47F3"/>
    <w:rsid w:val="008B5C61"/>
    <w:rsid w:val="008B6C1E"/>
    <w:rsid w:val="008B760D"/>
    <w:rsid w:val="008C44CB"/>
    <w:rsid w:val="008C50AF"/>
    <w:rsid w:val="008D1D39"/>
    <w:rsid w:val="008D426D"/>
    <w:rsid w:val="008D4E58"/>
    <w:rsid w:val="008D5049"/>
    <w:rsid w:val="008D538C"/>
    <w:rsid w:val="008D6DDF"/>
    <w:rsid w:val="008D6FDB"/>
    <w:rsid w:val="008D721C"/>
    <w:rsid w:val="008E33FD"/>
    <w:rsid w:val="008E44D1"/>
    <w:rsid w:val="008E65A0"/>
    <w:rsid w:val="008E661B"/>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4B39"/>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EE6"/>
    <w:rsid w:val="00A97287"/>
    <w:rsid w:val="00AA0B0F"/>
    <w:rsid w:val="00AA15E5"/>
    <w:rsid w:val="00AA18F9"/>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56E8"/>
    <w:rsid w:val="00B25C34"/>
    <w:rsid w:val="00B26EEA"/>
    <w:rsid w:val="00B30B53"/>
    <w:rsid w:val="00B313E9"/>
    <w:rsid w:val="00B32325"/>
    <w:rsid w:val="00B32AAC"/>
    <w:rsid w:val="00B3379E"/>
    <w:rsid w:val="00B340A4"/>
    <w:rsid w:val="00B340D4"/>
    <w:rsid w:val="00B34434"/>
    <w:rsid w:val="00B35531"/>
    <w:rsid w:val="00B355EC"/>
    <w:rsid w:val="00B41186"/>
    <w:rsid w:val="00B411A3"/>
    <w:rsid w:val="00B431AF"/>
    <w:rsid w:val="00B443CF"/>
    <w:rsid w:val="00B44B51"/>
    <w:rsid w:val="00B45C2D"/>
    <w:rsid w:val="00B46D45"/>
    <w:rsid w:val="00B47985"/>
    <w:rsid w:val="00B50F76"/>
    <w:rsid w:val="00B53696"/>
    <w:rsid w:val="00B541DE"/>
    <w:rsid w:val="00B56649"/>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2152"/>
    <w:rsid w:val="00BB2BE0"/>
    <w:rsid w:val="00BB3529"/>
    <w:rsid w:val="00BB405B"/>
    <w:rsid w:val="00BB4B19"/>
    <w:rsid w:val="00BB68F9"/>
    <w:rsid w:val="00BB7FC6"/>
    <w:rsid w:val="00BC1799"/>
    <w:rsid w:val="00BC2663"/>
    <w:rsid w:val="00BC29D0"/>
    <w:rsid w:val="00BC4043"/>
    <w:rsid w:val="00BC4A27"/>
    <w:rsid w:val="00BC4FD6"/>
    <w:rsid w:val="00BC6D3A"/>
    <w:rsid w:val="00BC7548"/>
    <w:rsid w:val="00BD128D"/>
    <w:rsid w:val="00BD6F2D"/>
    <w:rsid w:val="00BD797F"/>
    <w:rsid w:val="00BD7F12"/>
    <w:rsid w:val="00BE1470"/>
    <w:rsid w:val="00BE7C72"/>
    <w:rsid w:val="00BF1421"/>
    <w:rsid w:val="00BF2468"/>
    <w:rsid w:val="00BF414E"/>
    <w:rsid w:val="00BF5CEF"/>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509"/>
    <w:rsid w:val="00C8675B"/>
    <w:rsid w:val="00C86CD7"/>
    <w:rsid w:val="00C86F17"/>
    <w:rsid w:val="00C86F88"/>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E2834"/>
    <w:rsid w:val="00CE7264"/>
    <w:rsid w:val="00CF158B"/>
    <w:rsid w:val="00CF5301"/>
    <w:rsid w:val="00CF534A"/>
    <w:rsid w:val="00CF55D6"/>
    <w:rsid w:val="00CF6484"/>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285"/>
    <w:rsid w:val="00D513C0"/>
    <w:rsid w:val="00D517D5"/>
    <w:rsid w:val="00D5307F"/>
    <w:rsid w:val="00D56587"/>
    <w:rsid w:val="00D56939"/>
    <w:rsid w:val="00D57228"/>
    <w:rsid w:val="00D618A4"/>
    <w:rsid w:val="00D61C6D"/>
    <w:rsid w:val="00D62940"/>
    <w:rsid w:val="00D64034"/>
    <w:rsid w:val="00D6481C"/>
    <w:rsid w:val="00D65324"/>
    <w:rsid w:val="00D65726"/>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3F92"/>
    <w:rsid w:val="00E0595F"/>
    <w:rsid w:val="00E06847"/>
    <w:rsid w:val="00E06EE2"/>
    <w:rsid w:val="00E07CB1"/>
    <w:rsid w:val="00E107CA"/>
    <w:rsid w:val="00E1216B"/>
    <w:rsid w:val="00E1477F"/>
    <w:rsid w:val="00E14C65"/>
    <w:rsid w:val="00E16C63"/>
    <w:rsid w:val="00E1760A"/>
    <w:rsid w:val="00E2042E"/>
    <w:rsid w:val="00E23093"/>
    <w:rsid w:val="00E25D54"/>
    <w:rsid w:val="00E2709A"/>
    <w:rsid w:val="00E30E76"/>
    <w:rsid w:val="00E31E0C"/>
    <w:rsid w:val="00E32DAA"/>
    <w:rsid w:val="00E3322A"/>
    <w:rsid w:val="00E341F5"/>
    <w:rsid w:val="00E3654E"/>
    <w:rsid w:val="00E367B7"/>
    <w:rsid w:val="00E36DE4"/>
    <w:rsid w:val="00E37F93"/>
    <w:rsid w:val="00E4002A"/>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6052"/>
    <w:rsid w:val="00EE6D21"/>
    <w:rsid w:val="00EE6F4A"/>
    <w:rsid w:val="00EF15EF"/>
    <w:rsid w:val="00EF379C"/>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487"/>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14"/>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2B38EF1-5F0B-41A8-AA87-C089B432AC60}"/>
</file>

<file path=customXml/itemProps3.xml><?xml version="1.0" encoding="utf-8"?>
<ds:datastoreItem xmlns:ds="http://schemas.openxmlformats.org/officeDocument/2006/customXml" ds:itemID="{4D2DC388-2171-4BB1-88F2-EEFFD522C63A}"/>
</file>

<file path=customXml/itemProps4.xml><?xml version="1.0" encoding="utf-8"?>
<ds:datastoreItem xmlns:ds="http://schemas.openxmlformats.org/officeDocument/2006/customXml" ds:itemID="{FAD12B32-4CE6-46C8-AFDC-D3E8F7E7CB55}"/>
</file>

<file path=docProps/app.xml><?xml version="1.0" encoding="utf-8"?>
<Properties xmlns="http://schemas.openxmlformats.org/officeDocument/2006/extended-properties" xmlns:vt="http://schemas.openxmlformats.org/officeDocument/2006/docPropsVTypes">
  <Template>Normal</Template>
  <TotalTime>13</TotalTime>
  <Pages>4</Pages>
  <Words>1564</Words>
  <Characters>8606</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21</cp:revision>
  <cp:lastPrinted>2025-10-09T14:49:00Z</cp:lastPrinted>
  <dcterms:created xsi:type="dcterms:W3CDTF">2025-10-09T14:26:00Z</dcterms:created>
  <dcterms:modified xsi:type="dcterms:W3CDTF">2025-10-09T14:50:00Z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