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3943B9" w:rsidRDefault="00D12B6B" w:rsidP="003943B9">
      <w:pPr>
        <w:spacing w:after="0" w:line="240" w:lineRule="auto"/>
        <w:jc w:val="center"/>
        <w:rPr>
          <w:rFonts w:ascii="Times New Roman" w:hAnsi="Times New Roman" w:cs="Times New Roman"/>
          <w:b/>
          <w:sz w:val="24"/>
          <w:szCs w:val="24"/>
          <w:lang w:val="es-PE" w:eastAsia="ar-SA"/>
        </w:rPr>
      </w:pPr>
    </w:p>
    <w:p w14:paraId="2E2FA649" w14:textId="74529DE6" w:rsidR="00D12B6B" w:rsidRPr="003943B9" w:rsidRDefault="00201C0D" w:rsidP="003943B9">
      <w:pPr>
        <w:spacing w:after="0" w:line="240" w:lineRule="auto"/>
        <w:jc w:val="center"/>
        <w:rPr>
          <w:rFonts w:ascii="Times New Roman" w:hAnsi="Times New Roman" w:cs="Times New Roman"/>
          <w:b/>
          <w:sz w:val="24"/>
          <w:szCs w:val="24"/>
          <w:lang w:val="es-PE" w:eastAsia="ar-SA"/>
        </w:rPr>
      </w:pPr>
      <w:r w:rsidRPr="003943B9">
        <w:rPr>
          <w:rFonts w:ascii="Times New Roman" w:hAnsi="Times New Roman" w:cs="Times New Roman"/>
          <w:b/>
          <w:sz w:val="24"/>
          <w:szCs w:val="24"/>
          <w:lang w:val="es-PE" w:eastAsia="ar-SA"/>
        </w:rPr>
        <w:t>RESOLUCIÓN</w:t>
      </w:r>
      <w:r w:rsidR="009D55E8" w:rsidRPr="003943B9">
        <w:rPr>
          <w:rFonts w:ascii="Times New Roman" w:hAnsi="Times New Roman" w:cs="Times New Roman"/>
          <w:b/>
          <w:sz w:val="24"/>
          <w:szCs w:val="24"/>
          <w:lang w:val="es-PE" w:eastAsia="ar-SA"/>
        </w:rPr>
        <w:t xml:space="preserve"> DE IMPUGNACIÓN</w:t>
      </w:r>
      <w:r w:rsidRPr="003943B9">
        <w:rPr>
          <w:rFonts w:ascii="Times New Roman" w:hAnsi="Times New Roman" w:cs="Times New Roman"/>
          <w:b/>
          <w:sz w:val="24"/>
          <w:szCs w:val="24"/>
          <w:lang w:val="es-PE" w:eastAsia="ar-SA"/>
        </w:rPr>
        <w:t xml:space="preserve"> </w:t>
      </w:r>
      <w:r w:rsidR="00D12B6B" w:rsidRPr="003943B9">
        <w:rPr>
          <w:rFonts w:ascii="Times New Roman" w:hAnsi="Times New Roman" w:cs="Times New Roman"/>
          <w:b/>
          <w:sz w:val="24"/>
          <w:szCs w:val="24"/>
          <w:lang w:val="es-PE" w:eastAsia="ar-SA"/>
        </w:rPr>
        <w:t>N</w:t>
      </w:r>
      <w:r w:rsidR="00207B29" w:rsidRPr="003943B9">
        <w:rPr>
          <w:rFonts w:ascii="Times New Roman" w:hAnsi="Times New Roman" w:cs="Times New Roman"/>
          <w:b/>
          <w:sz w:val="24"/>
          <w:szCs w:val="24"/>
          <w:lang w:val="es-PE" w:eastAsia="ar-SA"/>
        </w:rPr>
        <w:t>° 05</w:t>
      </w:r>
      <w:r w:rsidR="0007734F">
        <w:rPr>
          <w:rFonts w:ascii="Times New Roman" w:hAnsi="Times New Roman" w:cs="Times New Roman"/>
          <w:b/>
          <w:sz w:val="24"/>
          <w:szCs w:val="24"/>
          <w:lang w:val="es-PE" w:eastAsia="ar-SA"/>
        </w:rPr>
        <w:t>6</w:t>
      </w:r>
      <w:r w:rsidR="00AA2AA2" w:rsidRPr="003943B9">
        <w:rPr>
          <w:rFonts w:ascii="Times New Roman" w:hAnsi="Times New Roman" w:cs="Times New Roman"/>
          <w:b/>
          <w:sz w:val="24"/>
          <w:szCs w:val="24"/>
          <w:lang w:val="es-PE" w:eastAsia="ar-SA"/>
        </w:rPr>
        <w:t>/25</w:t>
      </w:r>
    </w:p>
    <w:p w14:paraId="1B05BF9A" w14:textId="77777777" w:rsidR="003943B9" w:rsidRPr="003943B9" w:rsidRDefault="003943B9" w:rsidP="003943B9">
      <w:pPr>
        <w:spacing w:after="200" w:line="240" w:lineRule="auto"/>
        <w:jc w:val="both"/>
        <w:rPr>
          <w:rFonts w:ascii="Times New Roman" w:hAnsi="Times New Roman" w:cs="Times New Roman"/>
          <w:bCs/>
          <w:sz w:val="24"/>
          <w:szCs w:val="24"/>
          <w:lang w:val="es-MX"/>
        </w:rPr>
      </w:pPr>
      <w:bookmarkStart w:id="0" w:name="_Hlk198053358"/>
    </w:p>
    <w:p w14:paraId="13E1768A" w14:textId="2181D119" w:rsidR="006E2E5F" w:rsidRPr="006E2E5F" w:rsidRDefault="006E2E5F" w:rsidP="006E2E5F">
      <w:pPr>
        <w:spacing w:after="200" w:line="240" w:lineRule="auto"/>
        <w:jc w:val="both"/>
        <w:rPr>
          <w:rFonts w:ascii="Times New Roman" w:hAnsi="Times New Roman" w:cs="Times New Roman"/>
          <w:b/>
          <w:sz w:val="24"/>
          <w:szCs w:val="24"/>
          <w:lang w:val="es-MX"/>
        </w:rPr>
      </w:pPr>
      <w:r w:rsidRPr="006E2E5F">
        <w:rPr>
          <w:rFonts w:ascii="Times New Roman" w:hAnsi="Times New Roman" w:cs="Times New Roman"/>
          <w:b/>
          <w:sz w:val="24"/>
          <w:szCs w:val="24"/>
          <w:lang w:val="es-MX"/>
        </w:rPr>
        <w:t>VISTOS:</w:t>
      </w:r>
    </w:p>
    <w:p w14:paraId="0446FB6D" w14:textId="2030F192" w:rsidR="006E2E5F" w:rsidRPr="006E2E5F" w:rsidRDefault="006E2E5F" w:rsidP="006E2E5F">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El Recurso de Impugnación presentado por don ………………… respecto de la Resolución Nro. 013/25 de fecha 03 de febrero de 2025, expedida por esta Defensoría del Asegurado (DEFASEG), conforme a la cual se declaró INFUNDADA la reclamación interpuesta contra ………………… respecto de la póliza de Seguro Obligatorio de Accidentes de Tránsito (SOAT) n° …………………;  </w:t>
      </w:r>
    </w:p>
    <w:p w14:paraId="4C32A01E" w14:textId="1C260264" w:rsidR="006E2E5F" w:rsidRPr="006E2E5F" w:rsidRDefault="006E2E5F" w:rsidP="006E2E5F">
      <w:pPr>
        <w:spacing w:after="200" w:line="240" w:lineRule="auto"/>
        <w:jc w:val="both"/>
        <w:rPr>
          <w:rFonts w:ascii="Times New Roman" w:hAnsi="Times New Roman" w:cs="Times New Roman"/>
          <w:bCs/>
          <w:sz w:val="24"/>
          <w:szCs w:val="24"/>
          <w:lang w:val="es-MX"/>
        </w:rPr>
      </w:pPr>
      <w:r>
        <w:rPr>
          <w:rFonts w:ascii="Times New Roman" w:hAnsi="Times New Roman"/>
          <w:sz w:val="24"/>
        </w:rPr>
        <w:t xml:space="preserve">Que, el indicado recurso se sustenta resumidamente en lo siguiente: a) la Resolución Impugnada no ha tomado en consideración el escrito presentado el 26 de diciembre de 2024 donde demuestra con documentos originales que la aseguradora sí tuvo conocimiento del hecho desde el 03 de diciembre de 2018, es decir, 4 meses de ocurrido el siniestro y no como aduce en sus descargos; b) que por ello no estarían incursos en la prescripción tomándose en consideración el acta de junta médica de fecha 29 de setiembre de 2022 donde queda materializada la discapacidad quedando en curso la cobertura y/o indemnización y discapacidad permanente por parte de la aseguradora; c) en cuanto a que la junta médica no ha establecido el tipo de invalidez indemnizable reclamada el monto tendría que establecerlo la aseguradora de acuerdo a la tabla de indemnizaciones por invalidez permanente,</w:t>
      </w:r>
    </w:p>
    <w:p w14:paraId="17181FD4" w14:textId="318DD508" w:rsidR="006E2E5F" w:rsidRPr="006E2E5F" w:rsidRDefault="006E2E5F" w:rsidP="006E2E5F">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Que, habiéndose corrido traslado de la respectiva impugnación a la compañía de seguros, esta señala resumidamente lo siguiente: a) la decisión se sustenta en que el reclamante solicitó la cobertura el 16 de abril de 2024, habiendo transcurrido el plazo de prescripción legal establecido para el SOAT; y en que el certificado médico no cumple con los requisitos que establece el reglamento SOAT en tanto no establece el menoscabo de invalidez; b) cada uno de estos hechos constituye un motivo independiente por el cual la reclamación ha sido declarada infundada; por lo que solicitan confirmar la Resolución Impugnada</w:t>
      </w:r>
    </w:p>
    <w:p w14:paraId="2546C9D2" w14:textId="6C605A42" w:rsidR="006E2E5F" w:rsidRPr="006E2E5F" w:rsidRDefault="006E2E5F" w:rsidP="006E2E5F">
      <w:pPr>
        <w:spacing w:after="200" w:line="240" w:lineRule="auto"/>
        <w:jc w:val="both"/>
        <w:rPr>
          <w:rFonts w:ascii="Times New Roman" w:hAnsi="Times New Roman" w:cs="Times New Roman"/>
          <w:bCs/>
          <w:sz w:val="24"/>
          <w:szCs w:val="24"/>
          <w:lang w:val="es-MX"/>
        </w:rPr>
      </w:pPr>
      <w:r w:rsidRPr="006E2E5F">
        <w:rPr>
          <w:rFonts w:ascii="Times New Roman" w:hAnsi="Times New Roman" w:cs="Times New Roman"/>
          <w:bCs/>
          <w:sz w:val="24"/>
          <w:szCs w:val="24"/>
          <w:lang w:val="es-MX"/>
        </w:rPr>
        <w:t>Atendiendo a lo expuesto, esta Defensoría resuelve finalmente lo siguiente:</w:t>
      </w:r>
    </w:p>
    <w:p w14:paraId="07347982" w14:textId="73474CEA" w:rsidR="006E2E5F" w:rsidRPr="006E2E5F" w:rsidRDefault="006E2E5F" w:rsidP="006E2E5F">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686E2AFC" w14:textId="75ADFD69" w:rsidR="006E2E5F" w:rsidRPr="006E2E5F" w:rsidRDefault="006E2E5F" w:rsidP="006E2E5F">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Conforme a ello, en el caso concreto, al interponer el Recurso de Impugnación el reclamante ha ejercido formalmente su derecho a contradecir lo resuelto por la Defensoría.</w:t>
      </w:r>
    </w:p>
    <w:p w14:paraId="2B9B0721" w14:textId="0E4EEFFF" w:rsidR="006E2E5F" w:rsidRPr="006E2E5F" w:rsidRDefault="006E2E5F" w:rsidP="006E2E5F">
      <w:pPr>
        <w:spacing w:after="200" w:line="240" w:lineRule="auto"/>
        <w:jc w:val="both"/>
        <w:rPr>
          <w:rFonts w:ascii="Times New Roman" w:hAnsi="Times New Roman" w:cs="Times New Roman"/>
          <w:sz w:val="24"/>
          <w:szCs w:val="24"/>
          <w:lang w:val="es-ES"/>
        </w:rPr>
      </w:pPr>
      <w:r w:rsidRPr="006E2E5F">
        <w:rPr>
          <w:rFonts w:ascii="Times New Roman" w:hAnsi="Times New Roman" w:cs="Times New Roman"/>
          <w:b/>
          <w:sz w:val="24"/>
          <w:szCs w:val="24"/>
          <w:u w:val="single"/>
          <w:lang w:val="es-PE"/>
        </w:rPr>
        <w:t>SEGUNDO:</w:t>
      </w:r>
      <w:r w:rsidRPr="006E2E5F">
        <w:rPr>
          <w:rFonts w:ascii="Times New Roman" w:hAnsi="Times New Roman" w:cs="Times New Roman"/>
          <w:bCs/>
          <w:sz w:val="24"/>
          <w:szCs w:val="24"/>
          <w:lang w:val="es-PE"/>
        </w:rPr>
        <w:t xml:space="preserve">  </w:t>
      </w:r>
      <w:r w:rsidRPr="006E2E5F">
        <w:rPr>
          <w:rFonts w:ascii="Times New Roman" w:hAnsi="Times New Roman" w:cs="Times New Roman"/>
          <w:sz w:val="24"/>
          <w:szCs w:val="24"/>
          <w:lang w:val="es-ES"/>
        </w:rPr>
        <w:t>Que el reclamante expresa su posición y manifiesta las razones por las cuales discrepa de lo resuelto por esta Defensoría, las cuales han sido resumidas en la introducción de la presente resolución.</w:t>
      </w:r>
    </w:p>
    <w:p w14:paraId="7D1C2688" w14:textId="18690D80" w:rsidR="006E2E5F" w:rsidRPr="006E2E5F" w:rsidRDefault="006E2E5F" w:rsidP="006E2E5F">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Al respecto, las resoluciones que expide esta Defensoría son realizadas con arreglo a derecho, por lo tanto, deben observar el ordenamiento jurídico, y dentro de él la Ley del Contrato de Seguro, Ley 29946, que se aplica supletoriamente al SOAT conforme lo señala el segundo párrafo del Artículo I de dicha ley. Que, sobre el particular, el artículo 77 de la Ley del Contrato de Seguro, señala que corresponde al asegurado demostrar la ocurrencia del siniestro, es decir, es el asegurado quien debe acreditar con el dictamen de invalidez correspondiente que se ha configurado una invalidez permanente parcial en los términos cubierto por el seguro.</w:t>
      </w:r>
    </w:p>
    <w:p w14:paraId="46BE51D5" w14:textId="44782B59" w:rsidR="006E2E5F" w:rsidRPr="006E2E5F" w:rsidRDefault="006E2E5F" w:rsidP="006E2E5F">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En esta caso, debe precisarse que la Resolución Impugnada ha distinguido entre las diferentes coberturas que otorga la póliza SOAT y solo se ha pronunciado respecto de la prescripción tratándose de las coberturas de gastos médicos y de incapacidad temporal, las cuales pudieron ser reclamadas dentro del plazo de ley (2 años), desde el monto en que se generaron los gastos, y/o se produjo la situación de incapacidad temporal; lo que no se ha acreditado ocurrió. El que la aseguradora hubiera sido informada del siniestro en el año 2018, no significa que debe pagar gastos médicos si es que no se presenta la solicitud correspondiente y lo mismo ocurre con el caso de la incapacidad temporal</w:t>
      </w:r>
    </w:p>
    <w:p w14:paraId="1E976013" w14:textId="3FD01439" w:rsidR="006E2E5F" w:rsidRPr="006E2E5F" w:rsidRDefault="006E2E5F" w:rsidP="006E2E5F">
      <w:pPr>
        <w:spacing w:after="200" w:line="240" w:lineRule="auto"/>
        <w:jc w:val="both"/>
        <w:rPr>
          <w:rFonts w:ascii="Times New Roman" w:hAnsi="Times New Roman" w:cs="Times New Roman"/>
          <w:sz w:val="24"/>
          <w:szCs w:val="24"/>
          <w:lang w:val="es-ES"/>
        </w:rPr>
      </w:pPr>
      <w:r w:rsidRPr="006E2E5F">
        <w:rPr>
          <w:rFonts w:ascii="Times New Roman" w:hAnsi="Times New Roman" w:cs="Times New Roman"/>
          <w:sz w:val="24"/>
          <w:szCs w:val="24"/>
          <w:lang w:val="es-ES"/>
        </w:rPr>
        <w:t>En el caso de la cobertura de invalidez permanente, este colegiado tomó nota del argumento referido a que no puede reclamarse algo cuando aún el dictamen de la condición permanente no ha sido reconocida; no obstante, no se pronunció sobre si la prescripción habría operado o no en este caso, por cuanto al revisar las pruebas presentadas concluyó que no se ha acreditado que se ha configurado una invalidez parcial en los términos cubiertos por el seguro, siendo que como se ha indicado en los párrafos precedentes, la carga de acreditar la configuración de dicho siniestro corresponde al asegurado. En otras palabras, en el caso de la legitimidad del rechazo de la cobertura de invalidez permanente, la resolución emitida no se sustenta en la prescripción (como -reiteramos- sí lo hace tratándose de las coberturas vinculadas a gastos médicos e incapacidad temporal, que pudo reclamar en su momento el asegurado), sino en que no se ha configurado la invalidez cubierta por el SOAT, no siendo necesario por ello analizar si se produjo o no la prescripción respecto de dicha cobertura.</w:t>
      </w:r>
    </w:p>
    <w:p w14:paraId="27E158C7" w14:textId="054962D3" w:rsidR="006E2E5F" w:rsidRPr="006E2E5F" w:rsidRDefault="006E2E5F" w:rsidP="006E2E5F">
      <w:pPr>
        <w:spacing w:after="200" w:line="240" w:lineRule="auto"/>
        <w:jc w:val="both"/>
        <w:rPr>
          <w:rFonts w:ascii="Times New Roman" w:hAnsi="Times New Roman" w:cs="Times New Roman"/>
          <w:bCs/>
          <w:sz w:val="24"/>
          <w:szCs w:val="24"/>
          <w:lang w:val="es-PE"/>
        </w:rPr>
      </w:pPr>
      <w:r w:rsidRPr="006E2E5F">
        <w:rPr>
          <w:rFonts w:ascii="Times New Roman" w:hAnsi="Times New Roman" w:cs="Times New Roman"/>
          <w:bCs/>
          <w:sz w:val="24"/>
          <w:szCs w:val="24"/>
          <w:lang w:val="es-PE"/>
        </w:rPr>
        <w:t>En consecuencia, no se desconoce el diagnóstico del reclamante contenido en el Acta de Junta Médica, sin embargo, no se aprecia que el mismo corresponda a alguno de los supuestos de invalidez permanente cubiertos por la póliza SOAT.</w:t>
      </w:r>
    </w:p>
    <w:p w14:paraId="24C420BE" w14:textId="110556D0" w:rsidR="006E2E5F" w:rsidRPr="006E2E5F" w:rsidRDefault="006E2E5F" w:rsidP="006E2E5F">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En virtud de lo expuesto, este colegiado considera que no se han presentado pruebas suficientes que permitan evidenciar que se ha cometido un error en la Resolución Impugnada; y,en consecuencia, el recurso impugnativo interpuesto puede ser categorizado por su contenido mismo, como una solicitud de revisión general sustentado en el muy respetable criterio del reclamante que este colegiado no comparte.</w:t>
      </w:r>
    </w:p>
    <w:p w14:paraId="74C6DA4D" w14:textId="5ECC4E80" w:rsidR="006E2E5F" w:rsidRDefault="006E2E5F" w:rsidP="006E2E5F">
      <w:pPr>
        <w:spacing w:after="200" w:line="240" w:lineRule="auto"/>
        <w:jc w:val="both"/>
        <w:rPr>
          <w:rFonts w:ascii="Times New Roman" w:hAnsi="Times New Roman" w:cs="Times New Roman"/>
          <w:bCs/>
          <w:sz w:val="24"/>
          <w:szCs w:val="24"/>
          <w:lang w:val="es-PE"/>
        </w:rPr>
      </w:pPr>
      <w:r w:rsidRPr="006E2E5F">
        <w:rPr>
          <w:rFonts w:ascii="Times New Roman" w:hAnsi="Times New Roman" w:cs="Times New Roman"/>
          <w:bCs/>
          <w:sz w:val="24"/>
          <w:szCs w:val="24"/>
          <w:lang w:val="es-PE"/>
        </w:rPr>
        <w:t xml:space="preserve">Finalmente, este Colegiado estima por conveniente dejar constancia que, de acuerdo con el Reglamento de la DEFASEG, el sometimiento voluntario de controversias en materia de seguros ante esta Defensoría, no afecta el derecho a la tutela jurisdiccional del asegurado o reclamante, toda vez que lo resuelto por la DEFASEG no limita su derecho a iniciar procesos ante las instancias que considere pertinentes, en tanto las decisiones que expide esta Defensoría no son vinculantes para el asegurado o reclamante cuando éstas le son desfavorables. </w:t>
      </w:r>
    </w:p>
    <w:p w14:paraId="66F353A4" w14:textId="77777777" w:rsidR="008E6C3D" w:rsidRDefault="008E6C3D" w:rsidP="006E2E5F">
      <w:pPr>
        <w:spacing w:after="200" w:line="240" w:lineRule="auto"/>
        <w:jc w:val="both"/>
        <w:rPr>
          <w:rFonts w:ascii="Times New Roman" w:hAnsi="Times New Roman" w:cs="Times New Roman"/>
          <w:bCs/>
          <w:sz w:val="24"/>
          <w:szCs w:val="24"/>
          <w:lang w:val="es-PE"/>
        </w:rPr>
      </w:pPr>
    </w:p>
    <w:p w14:paraId="71DC7D7D" w14:textId="77777777" w:rsidR="008E6C3D" w:rsidRDefault="008E6C3D" w:rsidP="006E2E5F">
      <w:pPr>
        <w:spacing w:after="200" w:line="240" w:lineRule="auto"/>
        <w:jc w:val="both"/>
        <w:rPr>
          <w:rFonts w:ascii="Times New Roman" w:hAnsi="Times New Roman" w:cs="Times New Roman"/>
          <w:bCs/>
          <w:sz w:val="24"/>
          <w:szCs w:val="24"/>
          <w:lang w:val="es-PE"/>
        </w:rPr>
      </w:pPr>
    </w:p>
    <w:p w14:paraId="1C924FAF" w14:textId="77777777" w:rsidR="008E6C3D" w:rsidRDefault="008E6C3D" w:rsidP="006E2E5F">
      <w:pPr>
        <w:spacing w:after="200" w:line="240" w:lineRule="auto"/>
        <w:jc w:val="both"/>
        <w:rPr>
          <w:rFonts w:ascii="Times New Roman" w:hAnsi="Times New Roman" w:cs="Times New Roman"/>
          <w:bCs/>
          <w:sz w:val="24"/>
          <w:szCs w:val="24"/>
          <w:lang w:val="es-PE"/>
        </w:rPr>
      </w:pPr>
    </w:p>
    <w:p w14:paraId="26376601" w14:textId="77777777" w:rsidR="008E6C3D" w:rsidRDefault="008E6C3D" w:rsidP="006E2E5F">
      <w:pPr>
        <w:spacing w:after="200" w:line="240" w:lineRule="auto"/>
        <w:jc w:val="both"/>
        <w:rPr>
          <w:rFonts w:ascii="Times New Roman" w:hAnsi="Times New Roman" w:cs="Times New Roman"/>
          <w:bCs/>
          <w:sz w:val="24"/>
          <w:szCs w:val="24"/>
          <w:lang w:val="es-PE"/>
        </w:rPr>
      </w:pPr>
    </w:p>
    <w:p w14:paraId="5D222381" w14:textId="77777777" w:rsidR="008E6C3D" w:rsidRPr="006E2E5F" w:rsidRDefault="008E6C3D" w:rsidP="006E2E5F">
      <w:pPr>
        <w:spacing w:after="200" w:line="240" w:lineRule="auto"/>
        <w:jc w:val="both"/>
        <w:rPr>
          <w:rFonts w:ascii="Times New Roman" w:hAnsi="Times New Roman" w:cs="Times New Roman"/>
          <w:bCs/>
          <w:sz w:val="24"/>
          <w:szCs w:val="24"/>
          <w:lang w:val="es-PE"/>
        </w:rPr>
      </w:pPr>
    </w:p>
    <w:p w14:paraId="3F806372" w14:textId="1E5FECCF" w:rsidR="006E2E5F" w:rsidRPr="006E2E5F" w:rsidRDefault="006E2E5F" w:rsidP="006E2E5F">
      <w:pPr>
        <w:spacing w:after="200" w:line="240" w:lineRule="auto"/>
        <w:jc w:val="both"/>
        <w:rPr>
          <w:rFonts w:ascii="Times New Roman" w:hAnsi="Times New Roman" w:cs="Times New Roman"/>
          <w:b/>
          <w:sz w:val="24"/>
          <w:szCs w:val="24"/>
          <w:lang w:val="es-PE"/>
        </w:rPr>
      </w:pPr>
      <w:r w:rsidRPr="006E2E5F">
        <w:rPr>
          <w:rFonts w:ascii="Times New Roman" w:hAnsi="Times New Roman" w:cs="Times New Roman"/>
          <w:b/>
          <w:sz w:val="24"/>
          <w:szCs w:val="24"/>
          <w:lang w:val="es-PE"/>
        </w:rPr>
        <w:lastRenderedPageBreak/>
        <w:t xml:space="preserve">Atendiendo a lo expresado, conforme a su Reglamento, este colegiado </w:t>
      </w:r>
    </w:p>
    <w:p w14:paraId="6940D2AE" w14:textId="4002E9CB" w:rsidR="006E2E5F" w:rsidRPr="006E2E5F" w:rsidRDefault="006E2E5F" w:rsidP="006E2E5F">
      <w:pPr>
        <w:spacing w:after="200" w:line="240" w:lineRule="auto"/>
        <w:jc w:val="both"/>
        <w:rPr>
          <w:rFonts w:ascii="Times New Roman" w:hAnsi="Times New Roman" w:cs="Times New Roman"/>
          <w:b/>
          <w:sz w:val="24"/>
          <w:szCs w:val="24"/>
          <w:lang w:val="es-PE"/>
        </w:rPr>
      </w:pPr>
      <w:r w:rsidRPr="006E2E5F">
        <w:rPr>
          <w:rFonts w:ascii="Times New Roman" w:hAnsi="Times New Roman" w:cs="Times New Roman"/>
          <w:b/>
          <w:sz w:val="24"/>
          <w:szCs w:val="24"/>
          <w:lang w:val="es-PE"/>
        </w:rPr>
        <w:t>Resuelve:</w:t>
      </w:r>
    </w:p>
    <w:p w14:paraId="6BBC6D2B" w14:textId="2E1FCF8A" w:rsidR="006E2E5F" w:rsidRPr="006E2E5F" w:rsidRDefault="006E2E5F" w:rsidP="008E6C3D">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Declarar INFUNDADO el Recurso de Impugnación interpuesto y confirmar la Resolución Nº 13/25 que declaró infundado el reclamo interpuesto por don………………… …………………  contra …………………, dejando a salvo el derecho del reclamante de recurrir a las instancias que considere pertinentes</w:t>
      </w:r>
    </w:p>
    <w:p w14:paraId="10ECF88E" w14:textId="2B089130" w:rsidR="00033B9E" w:rsidRPr="00FA16E1" w:rsidRDefault="00033B9E" w:rsidP="00FA16E1">
      <w:pPr>
        <w:spacing w:after="200" w:line="240" w:lineRule="auto"/>
        <w:jc w:val="right"/>
        <w:rPr>
          <w:rFonts w:ascii="Times New Roman" w:hAnsi="Times New Roman" w:cs="Times New Roman"/>
          <w:sz w:val="24"/>
          <w:szCs w:val="24"/>
          <w:lang w:val="es-PE"/>
        </w:rPr>
      </w:pPr>
      <w:r w:rsidRPr="003943B9">
        <w:rPr>
          <w:rFonts w:ascii="Times New Roman" w:hAnsi="Times New Roman" w:cs="Times New Roman"/>
          <w:sz w:val="24"/>
          <w:szCs w:val="24"/>
          <w:lang w:val="es-PE"/>
        </w:rPr>
        <w:t xml:space="preserve">Lima, </w:t>
      </w:r>
      <w:r w:rsidR="005D20AB" w:rsidRPr="003943B9">
        <w:rPr>
          <w:rFonts w:ascii="Times New Roman" w:hAnsi="Times New Roman" w:cs="Times New Roman"/>
          <w:sz w:val="24"/>
          <w:szCs w:val="24"/>
          <w:lang w:val="es-PE"/>
        </w:rPr>
        <w:t>06</w:t>
      </w:r>
      <w:r w:rsidRPr="003943B9">
        <w:rPr>
          <w:rFonts w:ascii="Times New Roman" w:hAnsi="Times New Roman" w:cs="Times New Roman"/>
          <w:sz w:val="24"/>
          <w:szCs w:val="24"/>
          <w:lang w:val="es-PE"/>
        </w:rPr>
        <w:t xml:space="preserve"> de </w:t>
      </w:r>
      <w:r w:rsidR="00A0075C" w:rsidRPr="003943B9">
        <w:rPr>
          <w:rFonts w:ascii="Times New Roman" w:hAnsi="Times New Roman" w:cs="Times New Roman"/>
          <w:sz w:val="24"/>
          <w:szCs w:val="24"/>
          <w:lang w:val="es-PE"/>
        </w:rPr>
        <w:t>octubre</w:t>
      </w:r>
      <w:r w:rsidR="00304C79" w:rsidRPr="003943B9">
        <w:rPr>
          <w:rFonts w:ascii="Times New Roman" w:hAnsi="Times New Roman" w:cs="Times New Roman"/>
          <w:sz w:val="24"/>
          <w:szCs w:val="24"/>
          <w:lang w:val="es-PE"/>
        </w:rPr>
        <w:t xml:space="preserve"> </w:t>
      </w:r>
      <w:r w:rsidRPr="003943B9">
        <w:rPr>
          <w:rFonts w:ascii="Times New Roman" w:hAnsi="Times New Roman" w:cs="Times New Roman"/>
          <w:sz w:val="24"/>
          <w:szCs w:val="24"/>
          <w:lang w:val="es-PE"/>
        </w:rPr>
        <w:t xml:space="preserve">de 2025 </w:t>
      </w:r>
    </w:p>
    <w:p w14:paraId="6E081B4D" w14:textId="77777777" w:rsidR="00033B9E" w:rsidRDefault="00033B9E" w:rsidP="00207B29">
      <w:pPr>
        <w:spacing w:after="200" w:line="240" w:lineRule="auto"/>
        <w:jc w:val="both"/>
        <w:rPr>
          <w:rFonts w:ascii="Times New Roman" w:hAnsi="Times New Roman" w:cs="Times New Roman"/>
          <w:b/>
          <w:bCs/>
          <w:i/>
          <w:iCs/>
          <w:sz w:val="24"/>
          <w:szCs w:val="24"/>
          <w:lang w:val="es-PE"/>
        </w:rPr>
      </w:pPr>
      <w:r w:rsidRPr="003943B9">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2110EBA2" w14:textId="77777777" w:rsidR="008E6C3D" w:rsidRPr="003943B9" w:rsidRDefault="008E6C3D" w:rsidP="008E6C3D">
      <w:pPr>
        <w:spacing w:after="0" w:line="360" w:lineRule="auto"/>
        <w:jc w:val="center"/>
        <w:rPr>
          <w:rFonts w:ascii="Times New Roman" w:hAnsi="Times New Roman" w:cs="Times New Roman"/>
          <w:b/>
          <w:bCs/>
          <w:sz w:val="24"/>
          <w:szCs w:val="24"/>
          <w:lang w:val="es-PE"/>
        </w:rPr>
      </w:pPr>
    </w:p>
    <w:p w14:paraId="51897316" w14:textId="363A503B" w:rsidR="008E6C3D" w:rsidRPr="008E6C3D" w:rsidRDefault="008E6C3D" w:rsidP="008E6C3D">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Antonio Rodriguez Lobatón – </w:t>
      </w:r>
      <w:r>
        <w:rPr>
          <w:rFonts w:ascii="Times New Roman" w:hAnsi="Times New Roman" w:cs="Times New Roman"/>
          <w:b/>
          <w:bCs/>
          <w:sz w:val="24"/>
          <w:szCs w:val="24"/>
          <w:lang w:val="es-PE"/>
        </w:rPr>
        <w:t>Presidente</w:t>
      </w:r>
    </w:p>
    <w:p w14:paraId="1B6FD469" w14:textId="607D8023" w:rsidR="00033B9E" w:rsidRDefault="00033B9E" w:rsidP="00207B29">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María Eugenia Valdez Fernández Baca </w:t>
      </w:r>
      <w:r w:rsidR="008E6C3D">
        <w:rPr>
          <w:rFonts w:ascii="Times New Roman" w:hAnsi="Times New Roman" w:cs="Times New Roman"/>
          <w:b/>
          <w:bCs/>
          <w:sz w:val="24"/>
          <w:szCs w:val="24"/>
          <w:lang w:val="es-PE"/>
        </w:rPr>
        <w:t>–</w:t>
      </w:r>
      <w:r w:rsidRPr="003943B9">
        <w:rPr>
          <w:rFonts w:ascii="Times New Roman" w:hAnsi="Times New Roman" w:cs="Times New Roman"/>
          <w:b/>
          <w:bCs/>
          <w:sz w:val="24"/>
          <w:szCs w:val="24"/>
          <w:lang w:val="es-PE"/>
        </w:rPr>
        <w:t xml:space="preserve"> Vocal</w:t>
      </w:r>
    </w:p>
    <w:p w14:paraId="49A9ABBC" w14:textId="4521145A" w:rsidR="008E6C3D" w:rsidRPr="003943B9" w:rsidRDefault="008E6C3D" w:rsidP="008E6C3D">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Rolando Eyzaguirre </w:t>
      </w:r>
      <w:proofErr w:type="spellStart"/>
      <w:r w:rsidRPr="003943B9">
        <w:rPr>
          <w:rFonts w:ascii="Times New Roman" w:hAnsi="Times New Roman" w:cs="Times New Roman"/>
          <w:b/>
          <w:bCs/>
          <w:sz w:val="24"/>
          <w:szCs w:val="24"/>
          <w:lang w:val="es-PE"/>
        </w:rPr>
        <w:t>Maccan</w:t>
      </w:r>
      <w:proofErr w:type="spellEnd"/>
      <w:r w:rsidRPr="003943B9">
        <w:rPr>
          <w:rFonts w:ascii="Times New Roman" w:hAnsi="Times New Roman" w:cs="Times New Roman"/>
          <w:b/>
          <w:bCs/>
          <w:sz w:val="24"/>
          <w:szCs w:val="24"/>
          <w:lang w:val="es-PE"/>
        </w:rPr>
        <w:t xml:space="preserve"> - </w:t>
      </w:r>
      <w:r>
        <w:rPr>
          <w:rFonts w:ascii="Times New Roman" w:hAnsi="Times New Roman" w:cs="Times New Roman"/>
          <w:b/>
          <w:bCs/>
          <w:sz w:val="24"/>
          <w:szCs w:val="24"/>
          <w:lang w:val="es-PE"/>
        </w:rPr>
        <w:t>Vocal</w:t>
      </w:r>
    </w:p>
    <w:bookmarkEnd w:id="0"/>
    <w:p w14:paraId="01BF34EE" w14:textId="77777777" w:rsidR="00001989" w:rsidRPr="003943B9" w:rsidRDefault="00001989" w:rsidP="00F92849">
      <w:pPr>
        <w:spacing w:after="200" w:line="240" w:lineRule="auto"/>
        <w:jc w:val="center"/>
        <w:rPr>
          <w:rFonts w:ascii="Times New Roman" w:hAnsi="Times New Roman" w:cs="Times New Roman"/>
          <w:b/>
          <w:bCs/>
          <w:sz w:val="24"/>
          <w:szCs w:val="24"/>
          <w:lang w:val="es-PE"/>
        </w:rPr>
      </w:pPr>
    </w:p>
    <w:sectPr w:rsidR="00001989" w:rsidRPr="003943B9"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7E3DD" w14:textId="77777777" w:rsidR="00035232" w:rsidRDefault="00035232" w:rsidP="00784355">
      <w:pPr>
        <w:spacing w:after="0" w:line="240" w:lineRule="auto"/>
      </w:pPr>
      <w:r>
        <w:separator/>
      </w:r>
    </w:p>
  </w:endnote>
  <w:endnote w:type="continuationSeparator" w:id="0">
    <w:p w14:paraId="7E5FB976" w14:textId="77777777" w:rsidR="00035232" w:rsidRDefault="00035232"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13C38AB9" w:rsidR="00C671F5" w:rsidRPr="00207B29" w:rsidRDefault="00C671F5">
            <w:pPr>
              <w:pStyle w:val="Piedepgina"/>
              <w:jc w:val="right"/>
              <w:rPr>
                <w:rFonts w:ascii="Times New Roman" w:hAnsi="Times New Roman" w:cs="Times New Roman"/>
                <w:sz w:val="18"/>
                <w:szCs w:val="18"/>
              </w:rPr>
            </w:pPr>
            <w:r w:rsidRPr="00207B29">
              <w:rPr>
                <w:rFonts w:ascii="Times New Roman" w:hAnsi="Times New Roman" w:cs="Times New Roman"/>
                <w:sz w:val="18"/>
                <w:szCs w:val="18"/>
                <w:lang w:val="es-ES"/>
              </w:rPr>
              <w:t xml:space="preserve">Página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PAGE</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r w:rsidRPr="00207B29">
              <w:rPr>
                <w:rFonts w:ascii="Times New Roman" w:hAnsi="Times New Roman" w:cs="Times New Roman"/>
                <w:sz w:val="18"/>
                <w:szCs w:val="18"/>
                <w:lang w:val="es-ES"/>
              </w:rPr>
              <w:t xml:space="preserve"> de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NUMPAGES</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p>
        </w:sdtContent>
      </w:sdt>
    </w:sdtContent>
  </w:sdt>
  <w:p w14:paraId="3BA05C52" w14:textId="77777777" w:rsidR="00784355" w:rsidRPr="00207B29" w:rsidRDefault="00784355">
    <w:pPr>
      <w:pStyle w:val="Piedepgina"/>
      <w:spacing w:line="240" w:lineRule="auto"/>
      <w:rPr>
        <w:rFonts w:ascii="Times New Roman" w:hAnsi="Times New Roman" w:cs="Times New Roman"/>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4491D" w14:textId="77777777" w:rsidR="00035232" w:rsidRDefault="00035232" w:rsidP="00784355">
      <w:pPr>
        <w:spacing w:after="0" w:line="240" w:lineRule="auto"/>
      </w:pPr>
      <w:r>
        <w:separator/>
      </w:r>
    </w:p>
  </w:footnote>
  <w:footnote w:type="continuationSeparator" w:id="0">
    <w:p w14:paraId="52904BFF" w14:textId="77777777" w:rsidR="00035232" w:rsidRDefault="00035232"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6189FEAF" w:rsidR="00C671F5" w:rsidRDefault="00C671F5" w:rsidP="00207B29">
    <w:pPr>
      <w:pStyle w:val="Encabezado"/>
      <w:tabs>
        <w:tab w:val="clear" w:pos="4419"/>
        <w:tab w:val="clear" w:pos="8838"/>
        <w:tab w:val="left" w:pos="4007"/>
      </w:tabs>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32992624">
    <w:abstractNumId w:val="0"/>
  </w:num>
  <w:num w:numId="2" w16cid:durableId="1740133193">
    <w:abstractNumId w:val="2"/>
  </w:num>
  <w:num w:numId="3" w16cid:durableId="1223565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1866"/>
    <w:rsid w:val="00032687"/>
    <w:rsid w:val="0003359A"/>
    <w:rsid w:val="00033B9E"/>
    <w:rsid w:val="00035232"/>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34F"/>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180"/>
    <w:rsid w:val="000D7348"/>
    <w:rsid w:val="000D7B6B"/>
    <w:rsid w:val="000E6C90"/>
    <w:rsid w:val="000F17DA"/>
    <w:rsid w:val="000F1F1F"/>
    <w:rsid w:val="000F372E"/>
    <w:rsid w:val="000F4458"/>
    <w:rsid w:val="000F56CC"/>
    <w:rsid w:val="000F6340"/>
    <w:rsid w:val="0010277D"/>
    <w:rsid w:val="001035ED"/>
    <w:rsid w:val="001064A0"/>
    <w:rsid w:val="00107CAE"/>
    <w:rsid w:val="00110157"/>
    <w:rsid w:val="00111342"/>
    <w:rsid w:val="00112C8D"/>
    <w:rsid w:val="0011308C"/>
    <w:rsid w:val="0011380D"/>
    <w:rsid w:val="00113FB6"/>
    <w:rsid w:val="0011633B"/>
    <w:rsid w:val="00116708"/>
    <w:rsid w:val="00116B6A"/>
    <w:rsid w:val="00117C74"/>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61E0"/>
    <w:rsid w:val="001A6E42"/>
    <w:rsid w:val="001A6EBB"/>
    <w:rsid w:val="001B1E59"/>
    <w:rsid w:val="001B3EE9"/>
    <w:rsid w:val="001B58A3"/>
    <w:rsid w:val="001B6C30"/>
    <w:rsid w:val="001C052B"/>
    <w:rsid w:val="001C3A70"/>
    <w:rsid w:val="001C49C6"/>
    <w:rsid w:val="001D0EED"/>
    <w:rsid w:val="001D1D31"/>
    <w:rsid w:val="001D2203"/>
    <w:rsid w:val="001D2577"/>
    <w:rsid w:val="001D5286"/>
    <w:rsid w:val="001D59D9"/>
    <w:rsid w:val="001D5BEC"/>
    <w:rsid w:val="001D6136"/>
    <w:rsid w:val="001D6F7E"/>
    <w:rsid w:val="001E119C"/>
    <w:rsid w:val="001E212A"/>
    <w:rsid w:val="001E4145"/>
    <w:rsid w:val="001E4982"/>
    <w:rsid w:val="001E53E2"/>
    <w:rsid w:val="001E6143"/>
    <w:rsid w:val="001F0BD0"/>
    <w:rsid w:val="001F1398"/>
    <w:rsid w:val="001F522B"/>
    <w:rsid w:val="001F5DC4"/>
    <w:rsid w:val="002019FA"/>
    <w:rsid w:val="00201C0D"/>
    <w:rsid w:val="002041EC"/>
    <w:rsid w:val="00204407"/>
    <w:rsid w:val="00205AC5"/>
    <w:rsid w:val="00206378"/>
    <w:rsid w:val="00206718"/>
    <w:rsid w:val="0020749F"/>
    <w:rsid w:val="00207B29"/>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62031"/>
    <w:rsid w:val="0027261F"/>
    <w:rsid w:val="00272F4F"/>
    <w:rsid w:val="0027301E"/>
    <w:rsid w:val="00273738"/>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0F5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05B8"/>
    <w:rsid w:val="003812D2"/>
    <w:rsid w:val="0038290F"/>
    <w:rsid w:val="0038740F"/>
    <w:rsid w:val="00391C15"/>
    <w:rsid w:val="00391F72"/>
    <w:rsid w:val="00392259"/>
    <w:rsid w:val="003943B9"/>
    <w:rsid w:val="00394D1E"/>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06AFD"/>
    <w:rsid w:val="00411866"/>
    <w:rsid w:val="00411C32"/>
    <w:rsid w:val="00414109"/>
    <w:rsid w:val="00414A7B"/>
    <w:rsid w:val="00417CFB"/>
    <w:rsid w:val="00417E23"/>
    <w:rsid w:val="00420F89"/>
    <w:rsid w:val="0042236E"/>
    <w:rsid w:val="00425ACB"/>
    <w:rsid w:val="00425F75"/>
    <w:rsid w:val="00426C11"/>
    <w:rsid w:val="004310D6"/>
    <w:rsid w:val="004324AC"/>
    <w:rsid w:val="00440AE0"/>
    <w:rsid w:val="00440BC2"/>
    <w:rsid w:val="00443191"/>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48BF"/>
    <w:rsid w:val="005152C7"/>
    <w:rsid w:val="00516293"/>
    <w:rsid w:val="0051692C"/>
    <w:rsid w:val="005175FE"/>
    <w:rsid w:val="005201C0"/>
    <w:rsid w:val="005201E9"/>
    <w:rsid w:val="00521B4C"/>
    <w:rsid w:val="00522E2A"/>
    <w:rsid w:val="005256D3"/>
    <w:rsid w:val="005259E7"/>
    <w:rsid w:val="005265A5"/>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D26"/>
    <w:rsid w:val="0058358B"/>
    <w:rsid w:val="00583A87"/>
    <w:rsid w:val="00585D65"/>
    <w:rsid w:val="00586159"/>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0AB"/>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F6B"/>
    <w:rsid w:val="005F2582"/>
    <w:rsid w:val="005F265B"/>
    <w:rsid w:val="005F34F8"/>
    <w:rsid w:val="005F4C97"/>
    <w:rsid w:val="005F5311"/>
    <w:rsid w:val="005F579D"/>
    <w:rsid w:val="00601339"/>
    <w:rsid w:val="00601861"/>
    <w:rsid w:val="0060197F"/>
    <w:rsid w:val="00601CB2"/>
    <w:rsid w:val="00605902"/>
    <w:rsid w:val="00606105"/>
    <w:rsid w:val="0061124D"/>
    <w:rsid w:val="00611905"/>
    <w:rsid w:val="00613283"/>
    <w:rsid w:val="00613A39"/>
    <w:rsid w:val="006157B3"/>
    <w:rsid w:val="006214B0"/>
    <w:rsid w:val="00622ABC"/>
    <w:rsid w:val="00622B9F"/>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9E6"/>
    <w:rsid w:val="006832CF"/>
    <w:rsid w:val="00685D82"/>
    <w:rsid w:val="00686BB2"/>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E1CCD"/>
    <w:rsid w:val="006E2366"/>
    <w:rsid w:val="006E2E5F"/>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1598"/>
    <w:rsid w:val="007015BB"/>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413BB"/>
    <w:rsid w:val="007415C6"/>
    <w:rsid w:val="00744447"/>
    <w:rsid w:val="00751717"/>
    <w:rsid w:val="007542CA"/>
    <w:rsid w:val="00754CE1"/>
    <w:rsid w:val="0075586B"/>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07F1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2FE"/>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093"/>
    <w:rsid w:val="008B47F3"/>
    <w:rsid w:val="008B5C61"/>
    <w:rsid w:val="008B6C1E"/>
    <w:rsid w:val="008B760D"/>
    <w:rsid w:val="008C44CB"/>
    <w:rsid w:val="008C50AF"/>
    <w:rsid w:val="008D1D39"/>
    <w:rsid w:val="008D426D"/>
    <w:rsid w:val="008D4E58"/>
    <w:rsid w:val="008D5049"/>
    <w:rsid w:val="008D538C"/>
    <w:rsid w:val="008D6DDF"/>
    <w:rsid w:val="008D6FDB"/>
    <w:rsid w:val="008D721C"/>
    <w:rsid w:val="008E33FD"/>
    <w:rsid w:val="008E44D1"/>
    <w:rsid w:val="008E65A0"/>
    <w:rsid w:val="008E661B"/>
    <w:rsid w:val="008E6C3D"/>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4B39"/>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EE6"/>
    <w:rsid w:val="00A97287"/>
    <w:rsid w:val="00AA0B0F"/>
    <w:rsid w:val="00AA15E5"/>
    <w:rsid w:val="00AA18F9"/>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56E8"/>
    <w:rsid w:val="00B25C34"/>
    <w:rsid w:val="00B26EEA"/>
    <w:rsid w:val="00B30B53"/>
    <w:rsid w:val="00B313E9"/>
    <w:rsid w:val="00B32325"/>
    <w:rsid w:val="00B32AAC"/>
    <w:rsid w:val="00B3379E"/>
    <w:rsid w:val="00B340A4"/>
    <w:rsid w:val="00B340D4"/>
    <w:rsid w:val="00B34434"/>
    <w:rsid w:val="00B35531"/>
    <w:rsid w:val="00B355EC"/>
    <w:rsid w:val="00B41186"/>
    <w:rsid w:val="00B411A3"/>
    <w:rsid w:val="00B431AF"/>
    <w:rsid w:val="00B443CF"/>
    <w:rsid w:val="00B44B51"/>
    <w:rsid w:val="00B45C2D"/>
    <w:rsid w:val="00B46D45"/>
    <w:rsid w:val="00B47985"/>
    <w:rsid w:val="00B50F76"/>
    <w:rsid w:val="00B53696"/>
    <w:rsid w:val="00B541DE"/>
    <w:rsid w:val="00B56649"/>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2152"/>
    <w:rsid w:val="00BB2BE0"/>
    <w:rsid w:val="00BB3529"/>
    <w:rsid w:val="00BB405B"/>
    <w:rsid w:val="00BB4B19"/>
    <w:rsid w:val="00BB68F9"/>
    <w:rsid w:val="00BB7FC6"/>
    <w:rsid w:val="00BC1799"/>
    <w:rsid w:val="00BC2663"/>
    <w:rsid w:val="00BC29D0"/>
    <w:rsid w:val="00BC4043"/>
    <w:rsid w:val="00BC4A27"/>
    <w:rsid w:val="00BC4FD6"/>
    <w:rsid w:val="00BC6D3A"/>
    <w:rsid w:val="00BC7548"/>
    <w:rsid w:val="00BD128D"/>
    <w:rsid w:val="00BD6F2D"/>
    <w:rsid w:val="00BD797F"/>
    <w:rsid w:val="00BD7F12"/>
    <w:rsid w:val="00BE1470"/>
    <w:rsid w:val="00BE7C72"/>
    <w:rsid w:val="00BF1421"/>
    <w:rsid w:val="00BF2468"/>
    <w:rsid w:val="00BF414E"/>
    <w:rsid w:val="00BF5CEF"/>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E2834"/>
    <w:rsid w:val="00CE7264"/>
    <w:rsid w:val="00CF158B"/>
    <w:rsid w:val="00CF5301"/>
    <w:rsid w:val="00CF534A"/>
    <w:rsid w:val="00CF55D6"/>
    <w:rsid w:val="00CF6484"/>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5324"/>
    <w:rsid w:val="00D65726"/>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3F92"/>
    <w:rsid w:val="00E0595F"/>
    <w:rsid w:val="00E06847"/>
    <w:rsid w:val="00E06EE2"/>
    <w:rsid w:val="00E07CB1"/>
    <w:rsid w:val="00E107CA"/>
    <w:rsid w:val="00E1216B"/>
    <w:rsid w:val="00E1477F"/>
    <w:rsid w:val="00E14C65"/>
    <w:rsid w:val="00E16C63"/>
    <w:rsid w:val="00E2042E"/>
    <w:rsid w:val="00E23093"/>
    <w:rsid w:val="00E25D54"/>
    <w:rsid w:val="00E2709A"/>
    <w:rsid w:val="00E30E76"/>
    <w:rsid w:val="00E31E0C"/>
    <w:rsid w:val="00E32DAA"/>
    <w:rsid w:val="00E3322A"/>
    <w:rsid w:val="00E341F5"/>
    <w:rsid w:val="00E3654E"/>
    <w:rsid w:val="00E367B7"/>
    <w:rsid w:val="00E36DE4"/>
    <w:rsid w:val="00E37F93"/>
    <w:rsid w:val="00E4002A"/>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6052"/>
    <w:rsid w:val="00EE6D21"/>
    <w:rsid w:val="00EE6F4A"/>
    <w:rsid w:val="00EF15EF"/>
    <w:rsid w:val="00EF379C"/>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7EA2"/>
    <w:rsid w:val="00FA155E"/>
    <w:rsid w:val="00FA16E1"/>
    <w:rsid w:val="00FA2322"/>
    <w:rsid w:val="00FA244A"/>
    <w:rsid w:val="00FA31B9"/>
    <w:rsid w:val="00FB297F"/>
    <w:rsid w:val="00FB4B0C"/>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14"/>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2642E87-546A-48DE-A088-10580CA815B7}"/>
</file>

<file path=customXml/itemProps3.xml><?xml version="1.0" encoding="utf-8"?>
<ds:datastoreItem xmlns:ds="http://schemas.openxmlformats.org/officeDocument/2006/customXml" ds:itemID="{FAAE977B-BF43-48B8-9DF5-FE7FBC57B506}"/>
</file>

<file path=customXml/itemProps4.xml><?xml version="1.0" encoding="utf-8"?>
<ds:datastoreItem xmlns:ds="http://schemas.openxmlformats.org/officeDocument/2006/customXml" ds:itemID="{1DAB258E-BC83-4A17-87A5-93B7DD1F87CA}"/>
</file>

<file path=docProps/app.xml><?xml version="1.0" encoding="utf-8"?>
<Properties xmlns="http://schemas.openxmlformats.org/officeDocument/2006/extended-properties" xmlns:vt="http://schemas.openxmlformats.org/officeDocument/2006/docPropsVTypes">
  <Template>Normal</Template>
  <TotalTime>14</TotalTime>
  <Pages>3</Pages>
  <Words>1081</Words>
  <Characters>5946</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23</cp:revision>
  <cp:lastPrinted>2025-10-09T14:49:00Z</cp:lastPrinted>
  <dcterms:created xsi:type="dcterms:W3CDTF">2025-10-09T14:26:00Z</dcterms:created>
  <dcterms:modified xsi:type="dcterms:W3CDTF">2025-10-09T14:49:00Z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