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3943B9" w:rsidRDefault="00D12B6B" w:rsidP="003943B9">
      <w:pPr>
        <w:spacing w:after="0" w:line="240" w:lineRule="auto"/>
        <w:jc w:val="center"/>
        <w:rPr>
          <w:rFonts w:ascii="Times New Roman" w:hAnsi="Times New Roman" w:cs="Times New Roman"/>
          <w:b/>
          <w:sz w:val="24"/>
          <w:szCs w:val="24"/>
          <w:lang w:val="es-PE" w:eastAsia="ar-SA"/>
        </w:rPr>
      </w:pPr>
    </w:p>
    <w:p w14:paraId="2E2FA649" w14:textId="75DDD697" w:rsidR="00D12B6B" w:rsidRPr="003943B9" w:rsidRDefault="00201C0D" w:rsidP="003943B9">
      <w:pPr>
        <w:spacing w:after="0" w:line="240" w:lineRule="auto"/>
        <w:jc w:val="center"/>
        <w:rPr>
          <w:rFonts w:ascii="Times New Roman" w:hAnsi="Times New Roman" w:cs="Times New Roman"/>
          <w:b/>
          <w:sz w:val="24"/>
          <w:szCs w:val="24"/>
          <w:lang w:val="es-PE" w:eastAsia="ar-SA"/>
        </w:rPr>
      </w:pPr>
      <w:r w:rsidRPr="003943B9">
        <w:rPr>
          <w:rFonts w:ascii="Times New Roman" w:hAnsi="Times New Roman" w:cs="Times New Roman"/>
          <w:b/>
          <w:sz w:val="24"/>
          <w:szCs w:val="24"/>
          <w:lang w:val="es-PE" w:eastAsia="ar-SA"/>
        </w:rPr>
        <w:t>RESOLUCIÓN</w:t>
      </w:r>
      <w:r w:rsidR="009D55E8" w:rsidRPr="003943B9">
        <w:rPr>
          <w:rFonts w:ascii="Times New Roman" w:hAnsi="Times New Roman" w:cs="Times New Roman"/>
          <w:b/>
          <w:sz w:val="24"/>
          <w:szCs w:val="24"/>
          <w:lang w:val="es-PE" w:eastAsia="ar-SA"/>
        </w:rPr>
        <w:t xml:space="preserve"> DE IMPUGNACIÓN</w:t>
      </w:r>
      <w:r w:rsidRPr="003943B9">
        <w:rPr>
          <w:rFonts w:ascii="Times New Roman" w:hAnsi="Times New Roman" w:cs="Times New Roman"/>
          <w:b/>
          <w:sz w:val="24"/>
          <w:szCs w:val="24"/>
          <w:lang w:val="es-PE" w:eastAsia="ar-SA"/>
        </w:rPr>
        <w:t xml:space="preserve"> </w:t>
      </w:r>
      <w:r w:rsidR="00D12B6B" w:rsidRPr="003943B9">
        <w:rPr>
          <w:rFonts w:ascii="Times New Roman" w:hAnsi="Times New Roman" w:cs="Times New Roman"/>
          <w:b/>
          <w:sz w:val="24"/>
          <w:szCs w:val="24"/>
          <w:lang w:val="es-PE" w:eastAsia="ar-SA"/>
        </w:rPr>
        <w:t>N</w:t>
      </w:r>
      <w:r w:rsidR="00207B29" w:rsidRPr="003943B9">
        <w:rPr>
          <w:rFonts w:ascii="Times New Roman" w:hAnsi="Times New Roman" w:cs="Times New Roman"/>
          <w:b/>
          <w:sz w:val="24"/>
          <w:szCs w:val="24"/>
          <w:lang w:val="es-PE" w:eastAsia="ar-SA"/>
        </w:rPr>
        <w:t>° 05</w:t>
      </w:r>
      <w:r w:rsidR="00053C1F">
        <w:rPr>
          <w:rFonts w:ascii="Times New Roman" w:hAnsi="Times New Roman" w:cs="Times New Roman"/>
          <w:b/>
          <w:sz w:val="24"/>
          <w:szCs w:val="24"/>
          <w:lang w:val="es-PE" w:eastAsia="ar-SA"/>
        </w:rPr>
        <w:t>7</w:t>
      </w:r>
      <w:r w:rsidR="00AA2AA2" w:rsidRPr="003943B9">
        <w:rPr>
          <w:rFonts w:ascii="Times New Roman" w:hAnsi="Times New Roman" w:cs="Times New Roman"/>
          <w:b/>
          <w:sz w:val="24"/>
          <w:szCs w:val="24"/>
          <w:lang w:val="es-PE" w:eastAsia="ar-SA"/>
        </w:rPr>
        <w:t>/25</w:t>
      </w:r>
    </w:p>
    <w:p w14:paraId="3A99E2E3" w14:textId="77777777" w:rsidR="007741E7" w:rsidRDefault="007741E7" w:rsidP="007741E7">
      <w:pPr>
        <w:spacing w:after="200" w:line="240" w:lineRule="auto"/>
        <w:jc w:val="both"/>
        <w:rPr>
          <w:rFonts w:ascii="Times New Roman" w:hAnsi="Times New Roman" w:cs="Times New Roman"/>
          <w:b/>
          <w:sz w:val="24"/>
          <w:szCs w:val="24"/>
          <w:lang w:val="es-MX"/>
        </w:rPr>
      </w:pPr>
      <w:bookmarkStart w:id="0" w:name="_Hlk198053358"/>
    </w:p>
    <w:p w14:paraId="16D12700" w14:textId="7A3E1433" w:rsidR="007741E7" w:rsidRPr="007741E7" w:rsidRDefault="007741E7" w:rsidP="007741E7">
      <w:pPr>
        <w:spacing w:after="200" w:line="240" w:lineRule="auto"/>
        <w:jc w:val="both"/>
        <w:rPr>
          <w:rFonts w:ascii="Times New Roman" w:hAnsi="Times New Roman" w:cs="Times New Roman"/>
          <w:b/>
          <w:sz w:val="24"/>
          <w:szCs w:val="24"/>
          <w:lang w:val="es-MX"/>
        </w:rPr>
      </w:pPr>
      <w:r w:rsidRPr="007741E7">
        <w:rPr>
          <w:rFonts w:ascii="Times New Roman" w:hAnsi="Times New Roman" w:cs="Times New Roman"/>
          <w:b/>
          <w:sz w:val="24"/>
          <w:szCs w:val="24"/>
          <w:lang w:val="es-MX"/>
        </w:rPr>
        <w:t>VISTOS:</w:t>
      </w:r>
    </w:p>
    <w:p w14:paraId="40B22493" w14:textId="77777777" w:rsidR="007741E7" w:rsidRPr="007741E7" w:rsidRDefault="007741E7" w:rsidP="007741E7">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El Recurso de Impugnación presentado por ………………… respecto de la Resolución N° 228/24, expedida por esta Defensoría del Asegurado (DEFASEG), conforme a la cual se declaró INFUNDADA la reclamación interpuesta contra ………………… SEGUROS respecto de la Póliza de Seguro Vehicular N° ………………….</w:t>
      </w:r>
    </w:p>
    <w:bookmarkEnd w:id="1"/>
    <w:p w14:paraId="51DC0EB6" w14:textId="495826CF" w:rsidR="007741E7" w:rsidRPr="007741E7" w:rsidRDefault="007741E7" w:rsidP="007741E7">
      <w:pPr>
        <w:spacing w:after="200" w:line="240" w:lineRule="auto"/>
        <w:jc w:val="both"/>
        <w:rPr>
          <w:rFonts w:ascii="Times New Roman" w:hAnsi="Times New Roman" w:cs="Times New Roman"/>
          <w:bCs/>
          <w:sz w:val="24"/>
          <w:szCs w:val="24"/>
          <w:lang w:val="es-MX"/>
        </w:rPr>
      </w:pPr>
      <w:r>
        <w:rPr>
          <w:rFonts w:ascii="Times New Roman" w:hAnsi="Times New Roman"/>
          <w:sz w:val="24"/>
        </w:rPr>
        <w:t xml:space="preserve">Que, el indicado recurso se sustenta resumidamente en lo siguiente: a) la Resolución Impugnada carece de motivación por cuanto no hace un estudio analítico de los hechos, ni se pronuncia sobre cada argumento expuesto; b) no se ha tenido en consideración la necesidad de motivar la resolución más aun tratándose de una situación de afectación y negligencia por parte de la aseguradora que forzó al asegurado a recurrir a una asesoría legal particular más allá de la que el seguro contratado podía ofrecer; c) la aseguradora no ha demostrado que el abogado asignado para brindar apoyo legal al asegurado haya realizado las acciones que correspondían; por lo que la aseguradora no tenía sustento normativo alguno para rechazar la reclamación; d) el órgano resolutor no ha considerado la situación apremiante en la que se encontraba inmerso el asegurado y la prioridad de atención que tuvo que haber recibido.</w:t>
      </w:r>
    </w:p>
    <w:p w14:paraId="1B3C8C86" w14:textId="77777777" w:rsidR="007741E7" w:rsidRPr="007741E7" w:rsidRDefault="007741E7" w:rsidP="007741E7">
      <w:pPr>
        <w:spacing w:after="200" w:line="240" w:lineRule="auto"/>
        <w:jc w:val="both"/>
        <w:rPr>
          <w:rFonts w:ascii="Times New Roman" w:hAnsi="Times New Roman" w:cs="Times New Roman"/>
          <w:bCs/>
          <w:sz w:val="24"/>
          <w:szCs w:val="24"/>
          <w:lang w:val="es-PE"/>
        </w:rPr>
      </w:pPr>
      <w:r w:rsidRPr="007741E7">
        <w:rPr>
          <w:rFonts w:ascii="Times New Roman" w:hAnsi="Times New Roman" w:cs="Times New Roman"/>
          <w:bCs/>
          <w:sz w:val="24"/>
          <w:szCs w:val="24"/>
          <w:lang w:val="es-PE"/>
        </w:rPr>
        <w:t>Que, habiéndose corrido traslado de la respectiva impugnación a la compañía de seguros, esta no cumplió con absolverla, habiendo vencido en exceso el plazo correspondiente para dicho fin.</w:t>
      </w:r>
    </w:p>
    <w:p w14:paraId="5F96E3ED" w14:textId="77777777" w:rsidR="007741E7" w:rsidRPr="007741E7" w:rsidRDefault="007741E7" w:rsidP="007741E7">
      <w:pPr>
        <w:spacing w:after="200" w:line="240" w:lineRule="auto"/>
        <w:jc w:val="both"/>
        <w:rPr>
          <w:rFonts w:ascii="Times New Roman" w:hAnsi="Times New Roman" w:cs="Times New Roman"/>
          <w:bCs/>
          <w:sz w:val="24"/>
          <w:szCs w:val="24"/>
          <w:lang w:val="es-MX"/>
        </w:rPr>
      </w:pPr>
      <w:r w:rsidRPr="007741E7">
        <w:rPr>
          <w:rFonts w:ascii="Times New Roman" w:hAnsi="Times New Roman" w:cs="Times New Roman"/>
          <w:bCs/>
          <w:sz w:val="24"/>
          <w:szCs w:val="24"/>
          <w:lang w:val="es-MX"/>
        </w:rPr>
        <w:t>Atendiendo a lo expuesto, esta Defensoría resuelve finalmente lo siguiente:</w:t>
      </w:r>
    </w:p>
    <w:p w14:paraId="7C06F12E" w14:textId="77777777" w:rsidR="007741E7" w:rsidRPr="007741E7" w:rsidRDefault="007741E7" w:rsidP="007741E7">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35A1EFC1" w14:textId="77777777" w:rsidR="007741E7" w:rsidRPr="007741E7" w:rsidRDefault="007741E7" w:rsidP="007741E7">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282DAF10" w14:textId="77777777" w:rsidR="007741E7" w:rsidRPr="007741E7" w:rsidRDefault="007741E7" w:rsidP="007741E7">
      <w:pPr>
        <w:spacing w:after="200" w:line="240" w:lineRule="auto"/>
        <w:jc w:val="both"/>
        <w:rPr>
          <w:rFonts w:ascii="Times New Roman" w:hAnsi="Times New Roman" w:cs="Times New Roman"/>
          <w:sz w:val="24"/>
          <w:szCs w:val="24"/>
          <w:lang w:val="es-ES"/>
        </w:rPr>
      </w:pPr>
      <w:r w:rsidRPr="007741E7">
        <w:rPr>
          <w:rFonts w:ascii="Times New Roman" w:hAnsi="Times New Roman" w:cs="Times New Roman"/>
          <w:b/>
          <w:sz w:val="24"/>
          <w:szCs w:val="24"/>
          <w:u w:val="single"/>
          <w:lang w:val="es-PE"/>
        </w:rPr>
        <w:t>SEGUNDO:</w:t>
      </w:r>
      <w:r w:rsidRPr="007741E7">
        <w:rPr>
          <w:rFonts w:ascii="Times New Roman" w:hAnsi="Times New Roman" w:cs="Times New Roman"/>
          <w:bCs/>
          <w:sz w:val="24"/>
          <w:szCs w:val="24"/>
          <w:lang w:val="es-PE"/>
        </w:rPr>
        <w:t xml:space="preserve">  </w:t>
      </w:r>
      <w:r w:rsidRPr="007741E7">
        <w:rPr>
          <w:rFonts w:ascii="Times New Roman" w:hAnsi="Times New Roman" w:cs="Times New Roman"/>
          <w:sz w:val="24"/>
          <w:szCs w:val="24"/>
          <w:lang w:val="es-ES"/>
        </w:rPr>
        <w:t>Que el reclamante expresa su posición y manifiesta las razones por las cuales discrepa de lo resuelto por esta Defensoría, las cuales han sido resumidas en la introducción de la presente resolución.</w:t>
      </w:r>
    </w:p>
    <w:p w14:paraId="080D1A03" w14:textId="77777777" w:rsidR="007741E7" w:rsidRPr="007741E7" w:rsidRDefault="007741E7" w:rsidP="007741E7">
      <w:pPr>
        <w:spacing w:after="200" w:line="240" w:lineRule="auto"/>
        <w:jc w:val="both"/>
        <w:rPr>
          <w:rFonts w:ascii="Times New Roman" w:hAnsi="Times New Roman" w:cs="Times New Roman"/>
          <w:sz w:val="24"/>
          <w:szCs w:val="24"/>
          <w:lang w:val="es-ES"/>
        </w:rPr>
      </w:pPr>
      <w:r w:rsidRPr="007741E7">
        <w:rPr>
          <w:rFonts w:ascii="Times New Roman" w:hAnsi="Times New Roman" w:cs="Times New Roman"/>
          <w:sz w:val="24"/>
          <w:szCs w:val="24"/>
          <w:lang w:val="es-ES"/>
        </w:rPr>
        <w:t>Que, en lo que respecta a los argumentos referidos a que el abogado que le asignó la aseguradora no actuó efectivamente en favor del asegurado, ni le recomendó no realizar una transacción extrajudicial y a que no se tuvo en cuenta la situación apremiante que llevó al asegurado a recurrir a otro abogado; dichas aseveraciones corresponden a aspectos referidos a idoneidad de servicios, respecto de los cuales esta Defensoría carece de competencia.</w:t>
      </w:r>
    </w:p>
    <w:p w14:paraId="45035BA0" w14:textId="77777777" w:rsidR="007741E7" w:rsidRPr="007741E7" w:rsidRDefault="007741E7" w:rsidP="007741E7">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En efecto, cualquier reclamo referido a idoneidad de servicios puede ser canalizada por el reclamante ante otra instancia, mas no así ante la DEFASEG, la que solo es competente para pronunciarse sobre si un rechazo o una liquidación de siniestro, fue realizado conforme a derecho, tal como fue referido en el segundo considerando de la Resolución Impugnada.</w:t>
      </w:r>
    </w:p>
    <w:p w14:paraId="2CDEEF8E" w14:textId="77777777" w:rsidR="007741E7" w:rsidRPr="007741E7" w:rsidRDefault="007741E7" w:rsidP="007741E7">
      <w:pPr>
        <w:spacing w:after="200" w:line="240" w:lineRule="auto"/>
        <w:jc w:val="both"/>
        <w:rPr>
          <w:rFonts w:ascii="Times New Roman" w:hAnsi="Times New Roman" w:cs="Times New Roman"/>
          <w:sz w:val="24"/>
          <w:szCs w:val="24"/>
          <w:lang w:val="es-ES"/>
        </w:rPr>
      </w:pPr>
    </w:p>
    <w:p w14:paraId="7F98D9AC" w14:textId="77777777" w:rsidR="007741E7" w:rsidRPr="007741E7" w:rsidRDefault="007741E7" w:rsidP="007741E7">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Que, en lo que respecta al fondo del asunto, la póliza fue clara al señalar como exclusión de cobertura el reconocimiento de responsabilidad a través de la firma de transacciones, o acuerdos que no fueran aprobadas o autorizadas por la compañía, como fue referido en la Resolución Impugnada, por lo que el asegurado debía conocer que dicho acto realizado significaba la pérdida del derecho indemnizatorio, siendo que está acreditado que recibió la póliza de seguro donde figuran las exclusiones. Lo que este colegiado aprecia de los argumentos expuestos en el recurso impugnatorio presentado, es que este básicamente se fundamenta en que debió tomarse en cuenta la situación apremiante particular que llevó al asegurado a firmar dicho acuerdo, debido a la falta de atención del abogado asignado por la aseguradora, por lo que en realidad su reclamo versa sobre un aspecto (idoneidad de servicio) que -reiteramos- escapa a la competencia de la DEFASEG.</w:t>
      </w:r>
    </w:p>
    <w:p w14:paraId="27824491" w14:textId="77777777" w:rsidR="007741E7" w:rsidRPr="007741E7" w:rsidRDefault="007741E7" w:rsidP="007741E7">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En virtud de lo expuesto, este colegiado considera que no se han presentado pruebas suficientes que permitan evidenciar que se ha cometido un error en la Resolución Impugnada; y, en consecuencia, el recurso impugnativo interpuesto puede ser categorizado por su contenido mismo, como una solicitud de revisión general sustentado en el muy respetable criterio de la empresa …………………, refiriéndose más bien a aspectos de idoneidad de servicios sobre los cuales esta Defensoría carece de competencia.</w:t>
      </w:r>
    </w:p>
    <w:p w14:paraId="02A5C9D9" w14:textId="77777777" w:rsidR="007741E7" w:rsidRPr="007741E7" w:rsidRDefault="007741E7" w:rsidP="007741E7">
      <w:pPr>
        <w:spacing w:after="200" w:line="240" w:lineRule="auto"/>
        <w:jc w:val="both"/>
        <w:rPr>
          <w:rFonts w:ascii="Times New Roman" w:hAnsi="Times New Roman" w:cs="Times New Roman"/>
          <w:bCs/>
          <w:sz w:val="24"/>
          <w:szCs w:val="24"/>
          <w:lang w:val="es-PE"/>
        </w:rPr>
      </w:pPr>
      <w:r w:rsidRPr="007741E7">
        <w:rPr>
          <w:rFonts w:ascii="Times New Roman" w:hAnsi="Times New Roman" w:cs="Times New Roman"/>
          <w:bCs/>
          <w:sz w:val="24"/>
          <w:szCs w:val="24"/>
          <w:lang w:val="es-PE"/>
        </w:rPr>
        <w:t xml:space="preserve">Finalmente, este Colegiado estima por conveniente dejar constancia que, de acuerdo con el Reglamento de la DEFASEG, el sometimiento voluntario de controversias en materia de seguros ante esta Defensoría, no afecta el derecho a la tutela jurisdiccional del asegurado o reclamante, toda vez que lo resuelto por la DEFASEG no limita su derecho a iniciar procesos ante las instancias administrativas o judiciales que considere pertinentes, en tanto las decisiones que expide esta Defensoría no son vinculantes para el asegurado o reclamante cuando éstas le son desfavorables. </w:t>
      </w:r>
    </w:p>
    <w:p w14:paraId="23AD571F" w14:textId="77777777" w:rsidR="007741E7" w:rsidRPr="007741E7" w:rsidRDefault="007741E7" w:rsidP="007741E7">
      <w:pPr>
        <w:spacing w:after="200" w:line="240" w:lineRule="auto"/>
        <w:jc w:val="both"/>
        <w:rPr>
          <w:rFonts w:ascii="Times New Roman" w:hAnsi="Times New Roman" w:cs="Times New Roman"/>
          <w:b/>
          <w:sz w:val="24"/>
          <w:szCs w:val="24"/>
          <w:lang w:val="es-PE"/>
        </w:rPr>
      </w:pPr>
      <w:r w:rsidRPr="007741E7">
        <w:rPr>
          <w:rFonts w:ascii="Times New Roman" w:hAnsi="Times New Roman" w:cs="Times New Roman"/>
          <w:b/>
          <w:sz w:val="24"/>
          <w:szCs w:val="24"/>
          <w:lang w:val="es-PE"/>
        </w:rPr>
        <w:t xml:space="preserve">Atendiendo a lo expresado, conforme a su Reglamento, este colegiado </w:t>
      </w:r>
    </w:p>
    <w:p w14:paraId="6D583799" w14:textId="77777777" w:rsidR="007741E7" w:rsidRPr="007741E7" w:rsidRDefault="007741E7" w:rsidP="007741E7">
      <w:pPr>
        <w:spacing w:after="200" w:line="240" w:lineRule="auto"/>
        <w:jc w:val="both"/>
        <w:rPr>
          <w:rFonts w:ascii="Times New Roman" w:hAnsi="Times New Roman" w:cs="Times New Roman"/>
          <w:b/>
          <w:sz w:val="24"/>
          <w:szCs w:val="24"/>
          <w:lang w:val="es-PE"/>
        </w:rPr>
      </w:pPr>
      <w:r w:rsidRPr="007741E7">
        <w:rPr>
          <w:rFonts w:ascii="Times New Roman" w:hAnsi="Times New Roman" w:cs="Times New Roman"/>
          <w:b/>
          <w:sz w:val="24"/>
          <w:szCs w:val="24"/>
          <w:lang w:val="es-PE"/>
        </w:rPr>
        <w:t>Resuelve:</w:t>
      </w:r>
    </w:p>
    <w:p w14:paraId="5060F779" w14:textId="77777777" w:rsidR="007741E7" w:rsidRPr="007741E7" w:rsidRDefault="007741E7" w:rsidP="007741E7">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Declarar INFUNDADO el Recurso de Impugnación interpuesto y confirmar la Resolución Nº 228/24 que declaró infundado el reclamo interpuesto por ………………… contra ………………… SEGUROS, dejando a salvo el derecho de la empresa ………………….</w:t>
      </w:r>
    </w:p>
    <w:p w14:paraId="10ECF88E" w14:textId="2B089130" w:rsidR="00033B9E" w:rsidRPr="00FA16E1" w:rsidRDefault="00033B9E" w:rsidP="00FA16E1">
      <w:pPr>
        <w:spacing w:after="200" w:line="240" w:lineRule="auto"/>
        <w:jc w:val="right"/>
        <w:rPr>
          <w:rFonts w:ascii="Times New Roman" w:hAnsi="Times New Roman" w:cs="Times New Roman"/>
          <w:sz w:val="24"/>
          <w:szCs w:val="24"/>
          <w:lang w:val="es-PE"/>
        </w:rPr>
      </w:pPr>
      <w:r w:rsidRPr="003943B9">
        <w:rPr>
          <w:rFonts w:ascii="Times New Roman" w:hAnsi="Times New Roman" w:cs="Times New Roman"/>
          <w:sz w:val="24"/>
          <w:szCs w:val="24"/>
          <w:lang w:val="es-PE"/>
        </w:rPr>
        <w:t xml:space="preserve">Lima, </w:t>
      </w:r>
      <w:r w:rsidR="005D20AB" w:rsidRPr="003943B9">
        <w:rPr>
          <w:rFonts w:ascii="Times New Roman" w:hAnsi="Times New Roman" w:cs="Times New Roman"/>
          <w:sz w:val="24"/>
          <w:szCs w:val="24"/>
          <w:lang w:val="es-PE"/>
        </w:rPr>
        <w:t>06</w:t>
      </w:r>
      <w:r w:rsidRPr="003943B9">
        <w:rPr>
          <w:rFonts w:ascii="Times New Roman" w:hAnsi="Times New Roman" w:cs="Times New Roman"/>
          <w:sz w:val="24"/>
          <w:szCs w:val="24"/>
          <w:lang w:val="es-PE"/>
        </w:rPr>
        <w:t xml:space="preserve"> de </w:t>
      </w:r>
      <w:r w:rsidR="00A0075C" w:rsidRPr="003943B9">
        <w:rPr>
          <w:rFonts w:ascii="Times New Roman" w:hAnsi="Times New Roman" w:cs="Times New Roman"/>
          <w:sz w:val="24"/>
          <w:szCs w:val="24"/>
          <w:lang w:val="es-PE"/>
        </w:rPr>
        <w:t>octubre</w:t>
      </w:r>
      <w:r w:rsidR="00304C79" w:rsidRPr="003943B9">
        <w:rPr>
          <w:rFonts w:ascii="Times New Roman" w:hAnsi="Times New Roman" w:cs="Times New Roman"/>
          <w:sz w:val="24"/>
          <w:szCs w:val="24"/>
          <w:lang w:val="es-PE"/>
        </w:rPr>
        <w:t xml:space="preserve"> </w:t>
      </w:r>
      <w:r w:rsidRPr="003943B9">
        <w:rPr>
          <w:rFonts w:ascii="Times New Roman" w:hAnsi="Times New Roman" w:cs="Times New Roman"/>
          <w:sz w:val="24"/>
          <w:szCs w:val="24"/>
          <w:lang w:val="es-PE"/>
        </w:rPr>
        <w:t xml:space="preserve">de 2025 </w:t>
      </w:r>
    </w:p>
    <w:p w14:paraId="2110EBA2" w14:textId="77800BEF" w:rsidR="008E6C3D" w:rsidRPr="007741E7" w:rsidRDefault="00033B9E" w:rsidP="007741E7">
      <w:pPr>
        <w:spacing w:after="200" w:line="240" w:lineRule="auto"/>
        <w:jc w:val="both"/>
        <w:rPr>
          <w:rFonts w:ascii="Times New Roman" w:hAnsi="Times New Roman" w:cs="Times New Roman"/>
          <w:b/>
          <w:bCs/>
          <w:i/>
          <w:iCs/>
          <w:sz w:val="24"/>
          <w:szCs w:val="24"/>
          <w:lang w:val="es-PE"/>
        </w:rPr>
      </w:pPr>
      <w:r w:rsidRPr="003943B9">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51897316" w14:textId="363A503B" w:rsidR="008E6C3D" w:rsidRPr="008E6C3D" w:rsidRDefault="008E6C3D" w:rsidP="008E6C3D">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Antonio Rodriguez Lobatón – </w:t>
      </w:r>
      <w:proofErr w:type="gramStart"/>
      <w:r>
        <w:rPr>
          <w:rFonts w:ascii="Times New Roman" w:hAnsi="Times New Roman" w:cs="Times New Roman"/>
          <w:b/>
          <w:bCs/>
          <w:sz w:val="24"/>
          <w:szCs w:val="24"/>
          <w:lang w:val="es-PE"/>
        </w:rPr>
        <w:t>Presidente</w:t>
      </w:r>
      <w:proofErr w:type="gramEnd"/>
    </w:p>
    <w:p w14:paraId="1B6FD469" w14:textId="607D8023" w:rsidR="00033B9E" w:rsidRDefault="00033B9E" w:rsidP="00207B29">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María Eugenia Valdez Fernández Baca </w:t>
      </w:r>
      <w:r w:rsidR="008E6C3D">
        <w:rPr>
          <w:rFonts w:ascii="Times New Roman" w:hAnsi="Times New Roman" w:cs="Times New Roman"/>
          <w:b/>
          <w:bCs/>
          <w:sz w:val="24"/>
          <w:szCs w:val="24"/>
          <w:lang w:val="es-PE"/>
        </w:rPr>
        <w:t>–</w:t>
      </w:r>
      <w:r w:rsidRPr="003943B9">
        <w:rPr>
          <w:rFonts w:ascii="Times New Roman" w:hAnsi="Times New Roman" w:cs="Times New Roman"/>
          <w:b/>
          <w:bCs/>
          <w:sz w:val="24"/>
          <w:szCs w:val="24"/>
          <w:lang w:val="es-PE"/>
        </w:rPr>
        <w:t xml:space="preserve"> Vocal</w:t>
      </w:r>
    </w:p>
    <w:p w14:paraId="49A9ABBC" w14:textId="4521145A" w:rsidR="008E6C3D" w:rsidRPr="003943B9" w:rsidRDefault="008E6C3D" w:rsidP="008E6C3D">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Rolando Eyzaguirre </w:t>
      </w:r>
      <w:proofErr w:type="spellStart"/>
      <w:r w:rsidRPr="003943B9">
        <w:rPr>
          <w:rFonts w:ascii="Times New Roman" w:hAnsi="Times New Roman" w:cs="Times New Roman"/>
          <w:b/>
          <w:bCs/>
          <w:sz w:val="24"/>
          <w:szCs w:val="24"/>
          <w:lang w:val="es-PE"/>
        </w:rPr>
        <w:t>Maccan</w:t>
      </w:r>
      <w:proofErr w:type="spellEnd"/>
      <w:r w:rsidRPr="003943B9">
        <w:rPr>
          <w:rFonts w:ascii="Times New Roman" w:hAnsi="Times New Roman" w:cs="Times New Roman"/>
          <w:b/>
          <w:bCs/>
          <w:sz w:val="24"/>
          <w:szCs w:val="24"/>
          <w:lang w:val="es-PE"/>
        </w:rPr>
        <w:t xml:space="preserve"> - </w:t>
      </w:r>
      <w:r>
        <w:rPr>
          <w:rFonts w:ascii="Times New Roman" w:hAnsi="Times New Roman" w:cs="Times New Roman"/>
          <w:b/>
          <w:bCs/>
          <w:sz w:val="24"/>
          <w:szCs w:val="24"/>
          <w:lang w:val="es-PE"/>
        </w:rPr>
        <w:t>Vocal</w:t>
      </w:r>
    </w:p>
    <w:bookmarkEnd w:id="0"/>
    <w:p w14:paraId="01BF34EE" w14:textId="77777777" w:rsidR="00001989" w:rsidRPr="003943B9" w:rsidRDefault="00001989" w:rsidP="00F92849">
      <w:pPr>
        <w:spacing w:after="200" w:line="240" w:lineRule="auto"/>
        <w:jc w:val="center"/>
        <w:rPr>
          <w:rFonts w:ascii="Times New Roman" w:hAnsi="Times New Roman" w:cs="Times New Roman"/>
          <w:b/>
          <w:bCs/>
          <w:sz w:val="24"/>
          <w:szCs w:val="24"/>
          <w:lang w:val="es-PE"/>
        </w:rPr>
      </w:pPr>
    </w:p>
    <w:sectPr w:rsidR="00001989" w:rsidRPr="003943B9"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7E3DD" w14:textId="77777777" w:rsidR="00035232" w:rsidRDefault="00035232" w:rsidP="00784355">
      <w:pPr>
        <w:spacing w:after="0" w:line="240" w:lineRule="auto"/>
      </w:pPr>
      <w:r>
        <w:separator/>
      </w:r>
    </w:p>
  </w:endnote>
  <w:endnote w:type="continuationSeparator" w:id="0">
    <w:p w14:paraId="7E5FB976" w14:textId="77777777" w:rsidR="00035232" w:rsidRDefault="0003523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13C38AB9" w:rsidR="00C671F5" w:rsidRPr="00207B29" w:rsidRDefault="00C671F5">
            <w:pPr>
              <w:pStyle w:val="Piedepgina"/>
              <w:jc w:val="right"/>
              <w:rPr>
                <w:rFonts w:ascii="Times New Roman" w:hAnsi="Times New Roman" w:cs="Times New Roman"/>
                <w:sz w:val="18"/>
                <w:szCs w:val="18"/>
              </w:rPr>
            </w:pPr>
            <w:r w:rsidRPr="00207B29">
              <w:rPr>
                <w:rFonts w:ascii="Times New Roman" w:hAnsi="Times New Roman" w:cs="Times New Roman"/>
                <w:sz w:val="18"/>
                <w:szCs w:val="18"/>
                <w:lang w:val="es-ES"/>
              </w:rPr>
              <w:t xml:space="preserve">Página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PAGE</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r w:rsidRPr="00207B29">
              <w:rPr>
                <w:rFonts w:ascii="Times New Roman" w:hAnsi="Times New Roman" w:cs="Times New Roman"/>
                <w:sz w:val="18"/>
                <w:szCs w:val="18"/>
                <w:lang w:val="es-ES"/>
              </w:rPr>
              <w:t xml:space="preserve"> de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NUMPAGES</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p>
        </w:sdtContent>
      </w:sdt>
    </w:sdtContent>
  </w:sdt>
  <w:p w14:paraId="3BA05C52" w14:textId="77777777" w:rsidR="00784355" w:rsidRPr="00207B29"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491D" w14:textId="77777777" w:rsidR="00035232" w:rsidRDefault="00035232" w:rsidP="00784355">
      <w:pPr>
        <w:spacing w:after="0" w:line="240" w:lineRule="auto"/>
      </w:pPr>
      <w:r>
        <w:separator/>
      </w:r>
    </w:p>
  </w:footnote>
  <w:footnote w:type="continuationSeparator" w:id="0">
    <w:p w14:paraId="52904BFF" w14:textId="77777777" w:rsidR="00035232" w:rsidRDefault="00035232"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6189FEAF" w:rsidR="00C671F5" w:rsidRDefault="00C671F5" w:rsidP="00207B29">
    <w:pPr>
      <w:pStyle w:val="Encabezado"/>
      <w:tabs>
        <w:tab w:val="clear" w:pos="4419"/>
        <w:tab w:val="clear" w:pos="8838"/>
        <w:tab w:val="left" w:pos="4007"/>
      </w:tabs>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2992624">
    <w:abstractNumId w:val="0"/>
  </w:num>
  <w:num w:numId="2" w16cid:durableId="1740133193">
    <w:abstractNumId w:val="2"/>
  </w:num>
  <w:num w:numId="3" w16cid:durableId="122356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232"/>
    <w:rsid w:val="00035A04"/>
    <w:rsid w:val="0004067A"/>
    <w:rsid w:val="0004480C"/>
    <w:rsid w:val="000461D4"/>
    <w:rsid w:val="0004682F"/>
    <w:rsid w:val="00046990"/>
    <w:rsid w:val="00046DC0"/>
    <w:rsid w:val="0004799F"/>
    <w:rsid w:val="00047C8B"/>
    <w:rsid w:val="000512AD"/>
    <w:rsid w:val="00053453"/>
    <w:rsid w:val="00053740"/>
    <w:rsid w:val="00053C1F"/>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34F"/>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180"/>
    <w:rsid w:val="000D7348"/>
    <w:rsid w:val="000D7B6B"/>
    <w:rsid w:val="000E6C90"/>
    <w:rsid w:val="000F17DA"/>
    <w:rsid w:val="000F1F1F"/>
    <w:rsid w:val="000F372E"/>
    <w:rsid w:val="000F4458"/>
    <w:rsid w:val="000F56CC"/>
    <w:rsid w:val="000F6340"/>
    <w:rsid w:val="0010277D"/>
    <w:rsid w:val="001035ED"/>
    <w:rsid w:val="001064A0"/>
    <w:rsid w:val="00107CAE"/>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42"/>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145"/>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07B29"/>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0F5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5B8"/>
    <w:rsid w:val="003812D2"/>
    <w:rsid w:val="0038290F"/>
    <w:rsid w:val="0038740F"/>
    <w:rsid w:val="00391C15"/>
    <w:rsid w:val="00391F72"/>
    <w:rsid w:val="00392259"/>
    <w:rsid w:val="003943B9"/>
    <w:rsid w:val="00394D1E"/>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1C32"/>
    <w:rsid w:val="00414109"/>
    <w:rsid w:val="00414A7B"/>
    <w:rsid w:val="00417CFB"/>
    <w:rsid w:val="00417E23"/>
    <w:rsid w:val="00420F89"/>
    <w:rsid w:val="0042236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48BF"/>
    <w:rsid w:val="005152C7"/>
    <w:rsid w:val="00516293"/>
    <w:rsid w:val="0051692C"/>
    <w:rsid w:val="005175FE"/>
    <w:rsid w:val="005201C0"/>
    <w:rsid w:val="005201E9"/>
    <w:rsid w:val="00521B4C"/>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0AB"/>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5F579D"/>
    <w:rsid w:val="00601339"/>
    <w:rsid w:val="00601861"/>
    <w:rsid w:val="0060197F"/>
    <w:rsid w:val="00601CB2"/>
    <w:rsid w:val="00605902"/>
    <w:rsid w:val="00606105"/>
    <w:rsid w:val="0061124D"/>
    <w:rsid w:val="00611905"/>
    <w:rsid w:val="00613283"/>
    <w:rsid w:val="00613A39"/>
    <w:rsid w:val="006157B3"/>
    <w:rsid w:val="006214B0"/>
    <w:rsid w:val="00622ABC"/>
    <w:rsid w:val="00622B9F"/>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5D82"/>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2E5F"/>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1598"/>
    <w:rsid w:val="007015BB"/>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41E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07F1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2FE"/>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6C3D"/>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4B39"/>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86"/>
    <w:rsid w:val="00B411A3"/>
    <w:rsid w:val="00B431AF"/>
    <w:rsid w:val="00B443CF"/>
    <w:rsid w:val="00B44B51"/>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5B"/>
    <w:rsid w:val="00BB4B19"/>
    <w:rsid w:val="00BB68F9"/>
    <w:rsid w:val="00BB7FC6"/>
    <w:rsid w:val="00BC1799"/>
    <w:rsid w:val="00BC2663"/>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2042E"/>
    <w:rsid w:val="00E23093"/>
    <w:rsid w:val="00E25D54"/>
    <w:rsid w:val="00E2709A"/>
    <w:rsid w:val="00E30E76"/>
    <w:rsid w:val="00E31E0C"/>
    <w:rsid w:val="00E32DAA"/>
    <w:rsid w:val="00E3322A"/>
    <w:rsid w:val="00E341F5"/>
    <w:rsid w:val="00E3654E"/>
    <w:rsid w:val="00E367B7"/>
    <w:rsid w:val="00E36DE4"/>
    <w:rsid w:val="00E37F93"/>
    <w:rsid w:val="00E4002A"/>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E6F4A"/>
    <w:rsid w:val="00EF15EF"/>
    <w:rsid w:val="00EF379C"/>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16E1"/>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14"/>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4C3A7A8-63CF-498C-941D-A3741D0E25DD}"/>
</file>

<file path=customXml/itemProps3.xml><?xml version="1.0" encoding="utf-8"?>
<ds:datastoreItem xmlns:ds="http://schemas.openxmlformats.org/officeDocument/2006/customXml" ds:itemID="{BF47DFB3-0348-4465-921A-CBC7EE643F8B}"/>
</file>

<file path=customXml/itemProps4.xml><?xml version="1.0" encoding="utf-8"?>
<ds:datastoreItem xmlns:ds="http://schemas.openxmlformats.org/officeDocument/2006/customXml" ds:itemID="{7F40EC4E-8788-4537-9D59-85E7F1390C8D}"/>
</file>

<file path=docProps/app.xml><?xml version="1.0" encoding="utf-8"?>
<Properties xmlns="http://schemas.openxmlformats.org/officeDocument/2006/extended-properties" xmlns:vt="http://schemas.openxmlformats.org/officeDocument/2006/docPropsVTypes">
  <Template>Normal</Template>
  <TotalTime>16</TotalTime>
  <Pages>2</Pages>
  <Words>886</Words>
  <Characters>4877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26</cp:revision>
  <cp:lastPrinted>2025-10-09T14:53:00Z</cp:lastPrinted>
  <dcterms:created xsi:type="dcterms:W3CDTF">2025-10-09T14:26:00Z</dcterms:created>
  <dcterms:modified xsi:type="dcterms:W3CDTF">2025-10-09T14:53:00Z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