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styles.xml" ContentType="application/vnd.openxmlformats-officedocument.wordprocessingml.styles+xml"/>
  <Override PartName="/word/endnotes.xml" ContentType="application/vnd.openxmlformats-officedocument.wordprocessingml.endnotes+xml"/>
  <Override PartName="/word/numbering.xml" ContentType="application/vnd.openxmlformats-officedocument.wordprocessingml.numbering+xml"/>
  <Override PartName="/customXml/itemProps1.xml" ContentType="application/vnd.openxmlformats-officedocument.customXmlProperties+xml"/>
  <Override PartName="/word/footnotes.xml" ContentType="application/vnd.openxmlformats-officedocument.wordprocessingml.footnote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settings.xml" ContentType="application/vnd.openxmlformats-officedocument.wordprocessingml.settings+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0BB199" w14:textId="77777777" w:rsidR="00D12B6B" w:rsidRPr="009E7FFC" w:rsidRDefault="00D12B6B" w:rsidP="009E7FFC">
      <w:pPr>
        <w:spacing w:after="0" w:line="240" w:lineRule="auto"/>
        <w:jc w:val="center"/>
        <w:rPr>
          <w:rFonts w:ascii="Times New Roman" w:hAnsi="Times New Roman" w:cs="Times New Roman"/>
          <w:b/>
          <w:sz w:val="24"/>
          <w:szCs w:val="24"/>
          <w:lang w:val="es-PE" w:eastAsia="ar-SA"/>
        </w:rPr>
      </w:pPr>
    </w:p>
    <w:p w14:paraId="2E2FA649" w14:textId="3125AC8C" w:rsidR="00D12B6B" w:rsidRDefault="00201C0D" w:rsidP="009E7FFC">
      <w:pPr>
        <w:spacing w:after="0" w:line="240" w:lineRule="auto"/>
        <w:jc w:val="center"/>
        <w:rPr>
          <w:rFonts w:ascii="Times New Roman" w:hAnsi="Times New Roman" w:cs="Times New Roman"/>
          <w:b/>
          <w:sz w:val="24"/>
          <w:szCs w:val="24"/>
          <w:lang w:val="es-PE" w:eastAsia="ar-SA"/>
        </w:rPr>
      </w:pPr>
      <w:r w:rsidRPr="009E7FFC">
        <w:rPr>
          <w:rFonts w:ascii="Times New Roman" w:hAnsi="Times New Roman" w:cs="Times New Roman"/>
          <w:b/>
          <w:sz w:val="24"/>
          <w:szCs w:val="24"/>
          <w:lang w:val="es-PE" w:eastAsia="ar-SA"/>
        </w:rPr>
        <w:t>RESOLUCIÓN</w:t>
      </w:r>
      <w:r w:rsidR="009D55E8" w:rsidRPr="009E7FFC">
        <w:rPr>
          <w:rFonts w:ascii="Times New Roman" w:hAnsi="Times New Roman" w:cs="Times New Roman"/>
          <w:b/>
          <w:sz w:val="24"/>
          <w:szCs w:val="24"/>
          <w:lang w:val="es-PE" w:eastAsia="ar-SA"/>
        </w:rPr>
        <w:t xml:space="preserve"> DE IMPUGNACIÓN</w:t>
      </w:r>
      <w:r w:rsidRPr="009E7FFC">
        <w:rPr>
          <w:rFonts w:ascii="Times New Roman" w:hAnsi="Times New Roman" w:cs="Times New Roman"/>
          <w:b/>
          <w:sz w:val="24"/>
          <w:szCs w:val="24"/>
          <w:lang w:val="es-PE" w:eastAsia="ar-SA"/>
        </w:rPr>
        <w:t xml:space="preserve"> </w:t>
      </w:r>
      <w:r w:rsidR="00D12B6B" w:rsidRPr="009E7FFC">
        <w:rPr>
          <w:rFonts w:ascii="Times New Roman" w:hAnsi="Times New Roman" w:cs="Times New Roman"/>
          <w:b/>
          <w:sz w:val="24"/>
          <w:szCs w:val="24"/>
          <w:lang w:val="es-PE" w:eastAsia="ar-SA"/>
        </w:rPr>
        <w:t>N</w:t>
      </w:r>
      <w:r w:rsidR="008B2E4F" w:rsidRPr="009E7FFC">
        <w:rPr>
          <w:rFonts w:ascii="Times New Roman" w:hAnsi="Times New Roman" w:cs="Times New Roman"/>
          <w:b/>
          <w:sz w:val="24"/>
          <w:szCs w:val="24"/>
          <w:lang w:val="es-PE" w:eastAsia="ar-SA"/>
        </w:rPr>
        <w:t>° 060</w:t>
      </w:r>
      <w:r w:rsidR="00AA2AA2" w:rsidRPr="009E7FFC">
        <w:rPr>
          <w:rFonts w:ascii="Times New Roman" w:hAnsi="Times New Roman" w:cs="Times New Roman"/>
          <w:b/>
          <w:sz w:val="24"/>
          <w:szCs w:val="24"/>
          <w:lang w:val="es-PE" w:eastAsia="ar-SA"/>
        </w:rPr>
        <w:t>/25</w:t>
      </w:r>
    </w:p>
    <w:p w14:paraId="32E79DD3" w14:textId="77777777" w:rsidR="009E7FFC" w:rsidRPr="009E7FFC" w:rsidRDefault="009E7FFC" w:rsidP="009E7FFC">
      <w:pPr>
        <w:spacing w:after="0" w:line="240" w:lineRule="auto"/>
        <w:jc w:val="center"/>
        <w:rPr>
          <w:rFonts w:ascii="Times New Roman" w:hAnsi="Times New Roman" w:cs="Times New Roman"/>
          <w:b/>
          <w:sz w:val="24"/>
          <w:szCs w:val="24"/>
          <w:lang w:val="es-PE" w:eastAsia="ar-SA"/>
        </w:rPr>
      </w:pPr>
    </w:p>
    <w:p w14:paraId="01A76CCD" w14:textId="025912B7" w:rsidR="009117F7" w:rsidRPr="009E7FFC" w:rsidRDefault="009117F7" w:rsidP="009E7FFC">
      <w:pPr>
        <w:spacing w:after="200" w:line="240" w:lineRule="auto"/>
        <w:jc w:val="both"/>
        <w:outlineLvl w:val="0"/>
        <w:rPr>
          <w:rFonts w:ascii="Times New Roman" w:hAnsi="Times New Roman" w:cs="Times New Roman"/>
          <w:b/>
          <w:bCs/>
          <w:sz w:val="24"/>
          <w:szCs w:val="24"/>
          <w:lang w:val="es-MX"/>
        </w:rPr>
      </w:pPr>
      <w:r w:rsidRPr="009E7FFC">
        <w:rPr>
          <w:rFonts w:ascii="Times New Roman" w:hAnsi="Times New Roman" w:cs="Times New Roman"/>
          <w:b/>
          <w:bCs/>
          <w:sz w:val="24"/>
          <w:szCs w:val="24"/>
          <w:lang w:val="es-MX"/>
        </w:rPr>
        <w:t>VISTOS:</w:t>
      </w:r>
    </w:p>
    <w:p w14:paraId="0D20935F" w14:textId="3C9A6A11" w:rsidR="00614401" w:rsidRPr="009E7FFC" w:rsidRDefault="00D12B6B" w:rsidP="009E7FFC">
      <w:pPr>
        <w:spacing w:after="200" w:line="240" w:lineRule="auto"/>
        <w:jc w:val="both"/>
        <w:rPr>
          <w:rFonts w:ascii="Times New Roman" w:hAnsi="Times New Roman" w:cs="Times New Roman"/>
          <w:sz w:val="24"/>
          <w:szCs w:val="24"/>
          <w:lang w:val="es-PE"/>
        </w:rPr>
      </w:pPr>
      <w:r>
        <w:rPr>
          <w:rFonts w:ascii="Times New Roman" w:hAnsi="Times New Roman"/>
          <w:sz w:val="24"/>
        </w:rPr>
        <w:t xml:space="preserve">Que, con fecha 16 de septiembre de 2025, ………………… COMPAÑÍA DE SEGUROS Y REASEGUROS (“…………………”) interpuso Recurso de Impugnación ante la Defensoría del Asegurado (“…………………”) contra la Resolución n.° 128/25 (la “Resolución Impugnada”) de fecha 25 de agosto de 2025, expedida por la Sala Colegiada a través de la cual se declaró FUNDADO el reclamo presentado por la señora ………………… (la señora “…………………”), para que ………………… cumpla con otorgarle cobertura de acuerdo con el Seguro de Protección de Tarjetas plus n.° ………………… / ………………… (el “Certificado”).</w:t>
      </w:r>
    </w:p>
    <w:p w14:paraId="5740F041" w14:textId="03A3DFC5" w:rsidR="00EE6F4A" w:rsidRPr="009E7FFC" w:rsidRDefault="003D1A7E" w:rsidP="009E7FFC">
      <w:pPr>
        <w:spacing w:after="200" w:line="240" w:lineRule="auto"/>
        <w:jc w:val="both"/>
        <w:rPr>
          <w:rFonts w:ascii="Times New Roman" w:hAnsi="Times New Roman" w:cs="Times New Roman"/>
          <w:sz w:val="24"/>
          <w:szCs w:val="24"/>
          <w:lang w:val="es-PE"/>
        </w:rPr>
      </w:pPr>
      <w:r>
        <w:rPr>
          <w:rFonts w:ascii="Times New Roman" w:hAnsi="Times New Roman"/>
          <w:sz w:val="24"/>
        </w:rPr>
        <w:t xml:space="preserve">Que, ………………… solicita que se declare fundado su Recurso de Impugnación y, por lo tanto, infundado el reclamo presentado por la asegurada en su oportunidad, sobre la base de los siguientes hechos y argumentos: a) que, la DEFASEG ha declarado fundado el reclamo interpuesto por la asegurada, debido a que para rechazar la cobertura por fraude la empresa ………………… la prueba del polígrafo y no habría empleado otros medios probatorios o indicios que acompañen a dicha prueba para justificar que nos encontramos ante una reclamación fraudulenta; b) que, en realidad ………………… no se basó solo en los resultados de la prueba del polígrafo, sino también en otras circunstancias que presentaron dudas razonables que justifican el rechazo a brindar cobertura por reclamación fraudulenta; c) que, la primera y más significativa duda razonable radica en que la asegurada registra un siniestro anterior por la misma causa —robo de celular seguido de transferencias no reconocidas— por un monto de PEN 7,900 (siete mil novecientos soles y 00/100) ocurrido el 9 de agosto del 2023, amparado en la póliza N° ………………… contratada el 19 de mayo de 2023 y cancelada el 19 de agosto del mismo año; d) que, este antecedente no es un simple dato histórico, sino un elemento objetivo que eleva sustancialmente el perfil de riesgo de la asegurada y exige un escrutinio reforzado en el nuevo reclamo actualmente bajo análisis; e) que, el siniestro consistió también en el robo de equipo celular y tarjetas con posteriores operaciones no reconocidas por un monto de PEN 8,271.60 (ocho mil doscientos setenta y un soles y 60/00); f) que, la coincidencia —hurto de teléfono seguido de movimientos bancarios no reconocidos— configura un patrón que, en el ámbito asegurador, se considera un indicador clásico de potencial fraude; g) que, si bien la aseguradora cumplió con su deber de indemnizar a la asegurada en el siniestro anterior, el hecho de que exista un episodio previo con las mismas características otorga plena justificación para solicitar pruebas complementarias, como la prueba del polígrafo; h) que, el principio de máxima buena fe que se encuentra materializado en el artículo 69 de la Ley del Contrato de Seguro, obliga al asegurado a proporcionar información veraz y a colaborar en las indagaciones del siniestro, i) que, la reiteración de un evento idéntico en un lapso tan breve —menos de un año— exige una explicación convincente de la asegurada sobre las circunstancias que lo rodean, así, la ausencia de dicha explicación convierte el antecedente en un indicio objetivo de duda que ………………… no podía ignorar sin comprometer la prudencia exigida en la gestión de los fondos comunes de los asegurados; j) que, la jurisprudencia de la propia DEFASEG y de INDECOPI reconocen que la existencia de siniestros anteriores es un factor relevante de análisis de riesgo y un elemento válido para requerir medios de prueba adicionales cuando surgen sospechas de fraude; k) que, la sola presencia de un historial de reclamación con características prácticamente idénticas constituye base suficiente para justificar la exigencia y valoración de la prueba poligráfica en el presente expediente; l) que, en el siniestro previo del 9 de agosto del 2023, la propia entidad bancaria generó una alerta de fraude al detectar depósitos previos de dinero por montos inusuales, realizados poco antes del robo. Según el estado de cuenta de la asegurada, se registraron abonos los días 25 de julio, 4 de agosto y 5 de agosto de 2023, cuyas sumas totales resultaron cercanas a la cantidad reclamada PEN 7,900 (siete mil novecientos soles y 00/100); m) que, en materia de análisis antifraude, este patrón —ingresos extraordinarios inmediatamente previos a la denuncia de un siniestro—, es un indicador típico de riesgo, no se trata de una mera coincidencia, la concentración de abonos inusuales en fechas tan próximas al evento sugiere la posibilidad de “autoabastecimiento” de fondos para luego simular una pérdida patrimonial; n) que, la propia alerta de fraude emitida por el banco evidencia que la conducta transaccional no correspondía al perfil habitual de la asegurada; ñ) que, si bien este antecedente corresponde al siniestro anterior, su relevancia para el nuevo reclamo es incuestionable, y es que ………………… tiene la obligación de evaluar la conducta histórica del asegurado para determinar la veracidad de un segundo evento con características idénticas; o) que, conforme al artículo 69 de la Ley del Contrato de Seguro, el asegurador tiene derecho a indagar y el asegurado el deber de colaborar, proporcionando información veraz. La falta de una explicación convincente sobre estos abonos atípicos, y la existencia de una alerta de fraude en el siniestro previo, constituyen fundamentos sólidos para dudar de la buena fe en el nuevo reclamo para requerir la prueba del polígrafo como mecanismo de verificación adicional; p) que, un tercer elemento refuerza la duda razonable, el hecho que, tras percibir la indemnización por el siniestro anterior, la asegurada dejó de pagar las primas de su seguro inmediatamente, lo que provocó la cancelación de la póliza el 19 de agosto del 2023; q) que, este comportamiento revela un posible patrón de utilización oportunista del contrato de seguro; r) que, en el ámbito técnico-asegurador, la cancelación inmediata luego de recibir una indemnización es considerada una señal de alto riesgo, pues denota un interés puramente indemnizatorio y no de protección patrimonial genuina; s) que, el artículo 69 de la Ley del Contrato de Seguro impone al asegurado un deber de buena fe y cooperación. Al cesar voluntariamente el pago de las primas inmediatamente después de obtener una indemnización, la asegurada demuestra una conducta que se aparta de ese estándar y que, en el contexto de un segundo siniestro de características idénticas, genera un indicio objetivo de duda sobre la veracidad del nuevo reclamo; t) que, este antecedente, evaluado en conjunto con el patrón de depósitos inusuales y la reiteración de un siniestro con la misma causa, configura un cuadro indiciario robusto que justificó la decisión de nuestra representada de exigir y valorar la prueba del polígrafo; u) que, ignorar este comportamiento hubiera supuesto una omisión grave del deber de prudencia en la administración de los recursos del fondo común de asegurados; v) que, finalmente, un cuarto elemento que refuerza la duda razonable es la conducta secuencial de la asegurada, consistente en: (1) contratar una póliza, (2) obtener una indemnización a los pocos meses, (3) dejar de pagar las primas inmediatamente después, provocando la cancelación del seguro, y (4) meses más tarde, vuelve a contratar un seguro similar para reclamar una nueva indemnización en un corto plazo; x) que, este comportamiento configura un patrón de uso instrumental del contrato de seguro, orientado más a la obtención de beneficios económicos puntuales que a una auténtica necesidad de protección; y) que, en el análisis de riesgos, la repetición de este ciclo de contratación–cobro–cancelación–recontratación constituye un indicador clásico de fraude oportunista; las aseguradoras y las autoridades de supervisión reconocen que esta conducta es altamente sospechosa porque sugiere una planificación deliberada para a un asegurado de buena fe; y, z) que, es claro que ………………… no solo se basó en los resultados del polígrafo para rechazar la cobertura reclamada, sino también en los demás indicios que, en su conjunto, llevan a una conclusión razonable de que estaríamos ante un caso de reclamación de cobertura fraudulenta.</w:t>
      </w:r>
    </w:p>
    <w:bookmarkEnd w:id="1"/>
    <w:p w14:paraId="7614DD16" w14:textId="655A05BB" w:rsidR="001F5408" w:rsidRPr="009E7FFC" w:rsidRDefault="00E07CB1" w:rsidP="009E7FFC">
      <w:pPr>
        <w:spacing w:after="200" w:line="240" w:lineRule="auto"/>
        <w:jc w:val="both"/>
        <w:rPr>
          <w:rFonts w:ascii="Times New Roman" w:hAnsi="Times New Roman" w:cs="Times New Roman"/>
          <w:sz w:val="24"/>
          <w:szCs w:val="24"/>
          <w:lang w:val="es-PE"/>
        </w:rPr>
      </w:pPr>
      <w:r>
        <w:rPr>
          <w:rFonts w:ascii="Times New Roman" w:hAnsi="Times New Roman"/>
          <w:sz w:val="24"/>
        </w:rPr>
        <w:t xml:space="preserve">Que, el 22 de septiembre de 2025, la señora ………………… absolvió el Recurso de Impugnación presentado por …………………, solicitando se declare infundado por  los siguientes argumentos: a) que, la empresa ………………… y un patrón de fraude, argumentando una serie de hechos, un siniestro previo, depósitos inusuales, la cancelación de una póliza y la recontratación de otra, que configuraría una justificación para el rechazo de su siniestro; b) que, la acusación que los depósitos realizados en el año 2023 son un indicio de un patrón de fraude es una afirmación maliciosa y carente de contexto; c) que, estos abonos no fueron el resultado de un plan premeditado, sino de una recaudación de fondos de sus familiares para costear los gastos de salud y exámenes de su padre; d) que, los fondos se obtuvieron por la solidaridad de su familia, guiados por una necesidad humanitaria, no por un ánimo de defraudación; e) que, como informó oportunamente a la Defensoría, su padre continúa con graves problemas de salud tras un diagnóstico de cáncer, esta difícil situación le obligó a continuar residiendo en Lima; f) que, el hecho de que la empresa …………………, sin considerar el contexto de la situación familiar, demuestra una falta de empatía y de diligencia; g) que, el siniestro de 2023 fue debidamente investigado por la propia aseguradora, la cual en su momento verificó su autenticidad y procedió a cancelar la indemnización, validando la ocurrencia del evento; h) que, intentar usar un caso cerrado y legítimo para justificar el rechazo de un nuevo siniestro demuestra la falta de argumentos sólidos por parte de la aseguradora; i) que, la empresa ………………… voluntario de mala fe, omitiendo el hecho central que la provocó, la falta de seguridad con la entidad bancaria; j) que, tras el primer robo, el Banco de Crédito del Perú (“BCP”) fue la única entidad que no realizó un bloqueo preventivo, lo que le obligó a migrar sus cuentas a otras plataformas más seguras; k) que, la cancelación se produjo de manera automática debido a que no había dinero en la cuenta para el cobro de la prima; su decisión fue migrar sus ahorros, no cancelar el seguro voluntariamente; l) que, su retorno a la plataforma del BCP se dio por una necesidad. Siendo el BCP la entidad bancaria más grande del país y principal motor de servicios como Yape, hace que sea de uso cotidiano e indispensable para sus transacciones diarias, m) que, fue por dicho motivo que, al volver a operar con el banco, contrató de manera voluntaria nuevamente el seguro en septiembre de 2024; n) que, a pesar de todas las situaciones incómodas y el estrés que le ha causado este proceso, ha continuado pagando su seguro desde septiembre de 2024 hasta la fecha, lo que demuestra su intención de contar con una póliza activa y su buena fe, refutando directamente la afirmación de que busca darse de baja; o) que, la DEFASEG ya ha establecido que el resultado de una prueba de polígrafo no puede ser el único elemento para justificar un rechazo; ñ) que, la aseguradora, en su impugnación, ha intentado crear una historia de fraude, con indicios débiles que, al ser confrontados con la realidad, se desmoronan; o) que, su conducta, desde la recaudación de fondos para su padre hasta la necesidad de operar con el banco más grande, no refleja la de un defraudador, sino la de una persona lidiando con circunstancias personales y comerciales difíciles; y, p) que, la impugnación de la empresa ………………… una narrativa de fraude que ha sido desmentida con pruebas y contexto real. </w:t>
      </w:r>
    </w:p>
    <w:p w14:paraId="44312610" w14:textId="40CC3FB7" w:rsidR="005271DD" w:rsidRPr="009E7FFC" w:rsidRDefault="005271DD" w:rsidP="009E7FFC">
      <w:pPr>
        <w:spacing w:after="200" w:line="240" w:lineRule="auto"/>
        <w:jc w:val="both"/>
        <w:rPr>
          <w:rFonts w:ascii="Times New Roman" w:hAnsi="Times New Roman" w:cs="Times New Roman"/>
          <w:sz w:val="24"/>
          <w:szCs w:val="24"/>
          <w:lang w:val="es-PE"/>
        </w:rPr>
      </w:pPr>
      <w:r w:rsidRPr="009E7FFC">
        <w:rPr>
          <w:rFonts w:ascii="Times New Roman" w:hAnsi="Times New Roman" w:cs="Times New Roman"/>
          <w:sz w:val="24"/>
          <w:szCs w:val="24"/>
          <w:lang w:val="es-PE"/>
        </w:rPr>
        <w:t>Con su absolución de</w:t>
      </w:r>
      <w:r w:rsidR="005A083F" w:rsidRPr="009E7FFC">
        <w:rPr>
          <w:rFonts w:ascii="Times New Roman" w:hAnsi="Times New Roman" w:cs="Times New Roman"/>
          <w:sz w:val="24"/>
          <w:szCs w:val="24"/>
          <w:lang w:val="es-PE"/>
        </w:rPr>
        <w:t>l</w:t>
      </w:r>
      <w:r w:rsidRPr="009E7FFC">
        <w:rPr>
          <w:rFonts w:ascii="Times New Roman" w:hAnsi="Times New Roman" w:cs="Times New Roman"/>
          <w:sz w:val="24"/>
          <w:szCs w:val="24"/>
          <w:lang w:val="es-PE"/>
        </w:rPr>
        <w:t xml:space="preserve"> Recurso impugnativo la asegurada presentó los siguientes documentos: </w:t>
      </w:r>
      <w:r w:rsidRPr="009E7FFC">
        <w:rPr>
          <w:rFonts w:ascii="Times New Roman" w:hAnsi="Times New Roman" w:cs="Times New Roman"/>
          <w:b/>
          <w:bCs/>
          <w:i/>
          <w:iCs/>
          <w:sz w:val="24"/>
          <w:szCs w:val="24"/>
          <w:lang w:val="es-PE"/>
        </w:rPr>
        <w:t>(i)</w:t>
      </w:r>
      <w:r w:rsidRPr="009E7FFC">
        <w:rPr>
          <w:rFonts w:ascii="Times New Roman" w:hAnsi="Times New Roman" w:cs="Times New Roman"/>
          <w:sz w:val="24"/>
          <w:szCs w:val="24"/>
          <w:lang w:val="es-PE"/>
        </w:rPr>
        <w:t xml:space="preserve"> copia de informe médico y examen realizado a su padre en agosto de 2023; y, </w:t>
      </w:r>
      <w:r w:rsidRPr="009E7FFC">
        <w:rPr>
          <w:rFonts w:ascii="Times New Roman" w:hAnsi="Times New Roman" w:cs="Times New Roman"/>
          <w:b/>
          <w:bCs/>
          <w:i/>
          <w:iCs/>
          <w:sz w:val="24"/>
          <w:szCs w:val="24"/>
          <w:lang w:val="es-PE"/>
        </w:rPr>
        <w:t>(ii)</w:t>
      </w:r>
      <w:r w:rsidRPr="009E7FFC">
        <w:rPr>
          <w:rFonts w:ascii="Times New Roman" w:hAnsi="Times New Roman" w:cs="Times New Roman"/>
          <w:sz w:val="24"/>
          <w:szCs w:val="24"/>
          <w:lang w:val="es-PE"/>
        </w:rPr>
        <w:t xml:space="preserve"> copia de informe médico realizado en julio de 2025. </w:t>
      </w:r>
    </w:p>
    <w:p w14:paraId="5E5FAFD2" w14:textId="0A013A1E" w:rsidR="00EF15EF" w:rsidRPr="009E7FFC" w:rsidRDefault="00EF15EF" w:rsidP="009E7FFC">
      <w:pPr>
        <w:spacing w:after="200" w:line="240" w:lineRule="auto"/>
        <w:jc w:val="both"/>
        <w:rPr>
          <w:rFonts w:ascii="Times New Roman" w:hAnsi="Times New Roman" w:cs="Times New Roman"/>
          <w:color w:val="000000"/>
          <w:sz w:val="24"/>
          <w:szCs w:val="24"/>
          <w:lang w:val="es-PE"/>
        </w:rPr>
      </w:pPr>
      <w:r w:rsidRPr="009E7FFC">
        <w:rPr>
          <w:rFonts w:ascii="Times New Roman" w:hAnsi="Times New Roman" w:cs="Times New Roman"/>
          <w:sz w:val="24"/>
          <w:szCs w:val="24"/>
          <w:lang w:val="es-PE"/>
        </w:rPr>
        <w:lastRenderedPageBreak/>
        <w:t>Al resolver, este Colegiado ha tomado en cuenta las argumentaciones de las partes expresadas a lo largo del procedimiento.</w:t>
      </w:r>
    </w:p>
    <w:p w14:paraId="7441012C" w14:textId="682DBE99" w:rsidR="00A90707" w:rsidRPr="009E7FFC" w:rsidRDefault="00E07CB1" w:rsidP="009E7FFC">
      <w:pPr>
        <w:spacing w:after="200" w:line="240" w:lineRule="auto"/>
        <w:jc w:val="both"/>
        <w:outlineLvl w:val="0"/>
        <w:rPr>
          <w:rFonts w:ascii="Times New Roman" w:hAnsi="Times New Roman" w:cs="Times New Roman"/>
          <w:b/>
          <w:bCs/>
          <w:sz w:val="24"/>
          <w:szCs w:val="24"/>
          <w:lang w:val="es-MX"/>
        </w:rPr>
      </w:pPr>
      <w:r w:rsidRPr="009E7FFC">
        <w:rPr>
          <w:rFonts w:ascii="Times New Roman" w:hAnsi="Times New Roman" w:cs="Times New Roman"/>
          <w:b/>
          <w:bCs/>
          <w:sz w:val="24"/>
          <w:szCs w:val="24"/>
          <w:lang w:val="es-MX"/>
        </w:rPr>
        <w:t>C</w:t>
      </w:r>
      <w:r w:rsidR="00A90707" w:rsidRPr="009E7FFC">
        <w:rPr>
          <w:rFonts w:ascii="Times New Roman" w:hAnsi="Times New Roman" w:cs="Times New Roman"/>
          <w:b/>
          <w:bCs/>
          <w:sz w:val="24"/>
          <w:szCs w:val="24"/>
          <w:lang w:val="es-MX"/>
        </w:rPr>
        <w:t>ONSIDERANDO:</w:t>
      </w:r>
    </w:p>
    <w:p w14:paraId="5B38040C" w14:textId="5C759813" w:rsidR="00142F5B" w:rsidRPr="009E7FFC" w:rsidRDefault="00A90707" w:rsidP="009E7FFC">
      <w:pPr>
        <w:spacing w:after="200" w:line="240" w:lineRule="auto"/>
        <w:jc w:val="both"/>
        <w:rPr>
          <w:rFonts w:ascii="Times New Roman" w:hAnsi="Times New Roman" w:cs="Times New Roman"/>
          <w:sz w:val="24"/>
          <w:szCs w:val="24"/>
          <w:lang w:val="es-PE"/>
        </w:rPr>
      </w:pPr>
      <w:r>
        <w:rPr>
          <w:rFonts w:ascii="Times New Roman" w:hAnsi="Times New Roman"/>
          <w:sz w:val="24"/>
        </w:rPr>
        <w:t xml:space="preserve">PRIMERO: El artículo 10 del Reglamento establece que cualquiera de las partes que no se encuentre de acuerdo con la decisión adoptada por la Sala Colegiada sobre la materia reclamada, podrá cuestionarla, interponiendo el correspondiente Recurso de Impugnación. </w:t>
      </w:r>
    </w:p>
    <w:p w14:paraId="7918B6A4" w14:textId="7BD63D4A" w:rsidR="00142F5B" w:rsidRPr="009E7FFC" w:rsidRDefault="00142F5B" w:rsidP="009E7FFC">
      <w:pPr>
        <w:spacing w:after="200" w:line="240" w:lineRule="auto"/>
        <w:jc w:val="both"/>
        <w:rPr>
          <w:rFonts w:ascii="Times New Roman" w:hAnsi="Times New Roman" w:cs="Times New Roman"/>
          <w:sz w:val="24"/>
          <w:szCs w:val="24"/>
          <w:lang w:val="es-PE"/>
        </w:rPr>
      </w:pPr>
      <w:r>
        <w:rPr>
          <w:rFonts w:ascii="Times New Roman" w:hAnsi="Times New Roman"/>
          <w:sz w:val="24"/>
        </w:rPr>
        <w:t xml:space="preserve">Conforme a ello, en el caso concreto, al interponer su Recurso de Impugnación la empresa ………………… resuelto por la Sala Colegiada de esta Defensoría.</w:t>
      </w:r>
    </w:p>
    <w:p w14:paraId="3B797C73" w14:textId="259E9E91" w:rsidR="00406AFD" w:rsidRPr="009E7FFC" w:rsidRDefault="00745039" w:rsidP="009E7FFC">
      <w:pPr>
        <w:spacing w:after="200" w:line="240" w:lineRule="auto"/>
        <w:jc w:val="both"/>
        <w:rPr>
          <w:rFonts w:ascii="Times New Roman" w:hAnsi="Times New Roman" w:cs="Times New Roman"/>
          <w:sz w:val="24"/>
          <w:szCs w:val="24"/>
          <w:lang w:val="es-PE"/>
        </w:rPr>
      </w:pPr>
      <w:r>
        <w:rPr>
          <w:rFonts w:ascii="Times New Roman" w:hAnsi="Times New Roman"/>
          <w:sz w:val="24"/>
        </w:rPr>
        <w:t xml:space="preserve">SEGUNDO: Que, a través de su recurso impugnativo, la empresa ………………… Sala Colegiada. Señala …………………, que para determinar que la asegurada debía de someterse a la prueba de polígrafo se evaluaron una serie de hechos los cuales serían los siguientes: (i) la asegurada registra un siniestro anterior similar —robo de celular seguido de transferencias no reconocidas— por un importe de PEN 7,900 (siete mil novecientos soles y 00/100) ocurrido en el mes de agosto de 2023, amparado en la póliza contratada el 19 de mayo de 2023; (ii) en dicho siniestro, la entidad bancaria generó una alerta de fraude al detectar depósitos previos de dinero por montos inusuales, realizados poco antes del robo; (iii) el hecho que, tras percibir la indemnización por el siniestro anterior, la asegurada dejara de pagar las primas de su seguro inmediatamente, lo que provocó finalmente la cancelación de la póliza el día 19 de agosto del 2023; y, (iv) la conducta secuencial de la asegurada, consistente en: (1) contratar una póliza, (2) obtener una indemnización a los pocos meses, (3) dejar de pagar las primas inmediatamente después, provocando la cancelación del seguro, y (4) meses más tarde, vuelve a contratar un seguro similar para reclamar una nueva indemnización en un corto plazo. </w:t>
      </w:r>
    </w:p>
    <w:p w14:paraId="606565B8" w14:textId="378A96BA" w:rsidR="00BD68AF" w:rsidRPr="009E7FFC" w:rsidRDefault="00745039" w:rsidP="009E7FFC">
      <w:pPr>
        <w:spacing w:after="200" w:line="240" w:lineRule="auto"/>
        <w:jc w:val="both"/>
        <w:rPr>
          <w:rFonts w:ascii="Times New Roman" w:hAnsi="Times New Roman" w:cs="Times New Roman"/>
          <w:sz w:val="24"/>
          <w:szCs w:val="24"/>
          <w:lang w:val="es-PE"/>
        </w:rPr>
      </w:pPr>
      <w:r>
        <w:rPr>
          <w:rFonts w:ascii="Times New Roman" w:hAnsi="Times New Roman"/>
          <w:sz w:val="24"/>
        </w:rPr>
        <w:t xml:space="preserve">TERCERO:  Es conocido que de acuerdo con el artículo 73 de la Ley del Contrato de Seguro, el asegurado pierde sus derechos indemnizatorios si actúa fraudulentamente, exagera los daños o emplea medios falsos para probarlos. Es por ello que, el artículo 69 de la Ley del Contrato de Seguro establece que cuando se realice un aviso de siniestro, el contratante, el asegurado o el beneficiario -según sea el caso-, debe suministrar a la empresa aseguradora, información veraz, razonable y necesaria para verificar la real ocurrencia del mismo. </w:t>
      </w:r>
    </w:p>
    <w:p w14:paraId="0408C548" w14:textId="51C60B25" w:rsidR="00745039" w:rsidRPr="009E7FFC" w:rsidRDefault="00E765BF" w:rsidP="009E7FFC">
      <w:pPr>
        <w:spacing w:after="200" w:line="240" w:lineRule="auto"/>
        <w:jc w:val="both"/>
        <w:rPr>
          <w:rFonts w:ascii="Times New Roman" w:hAnsi="Times New Roman" w:cs="Times New Roman"/>
          <w:sz w:val="24"/>
          <w:szCs w:val="24"/>
          <w:lang w:val="es-PE"/>
        </w:rPr>
      </w:pPr>
      <w:r w:rsidRPr="009E7FFC">
        <w:rPr>
          <w:rFonts w:ascii="Times New Roman" w:hAnsi="Times New Roman" w:cs="Times New Roman"/>
          <w:sz w:val="24"/>
          <w:szCs w:val="24"/>
          <w:lang w:val="es-PE"/>
        </w:rPr>
        <w:t xml:space="preserve">Como ha señalado en repetidas oportunidades este colegiado, la prueba de polígrafo no arroja resultados </w:t>
      </w:r>
      <w:r w:rsidR="002C7D90" w:rsidRPr="009E7FFC">
        <w:rPr>
          <w:rFonts w:ascii="Times New Roman" w:hAnsi="Times New Roman" w:cs="Times New Roman"/>
          <w:sz w:val="24"/>
          <w:szCs w:val="24"/>
          <w:lang w:val="es-PE"/>
        </w:rPr>
        <w:t>totalmente fiables en la medida que</w:t>
      </w:r>
      <w:r w:rsidRPr="009E7FFC">
        <w:rPr>
          <w:rFonts w:ascii="Times New Roman" w:hAnsi="Times New Roman" w:cs="Times New Roman"/>
          <w:sz w:val="24"/>
          <w:szCs w:val="24"/>
          <w:lang w:val="es-PE"/>
        </w:rPr>
        <w:t xml:space="preserve"> puede presentar márgenes de error</w:t>
      </w:r>
      <w:r w:rsidR="002C7D90" w:rsidRPr="009E7FFC">
        <w:rPr>
          <w:rFonts w:ascii="Times New Roman" w:hAnsi="Times New Roman" w:cs="Times New Roman"/>
          <w:sz w:val="24"/>
          <w:szCs w:val="24"/>
          <w:lang w:val="es-PE"/>
        </w:rPr>
        <w:t>,</w:t>
      </w:r>
      <w:r w:rsidRPr="009E7FFC">
        <w:rPr>
          <w:rFonts w:ascii="Times New Roman" w:hAnsi="Times New Roman" w:cs="Times New Roman"/>
          <w:sz w:val="24"/>
          <w:szCs w:val="24"/>
          <w:lang w:val="es-PE"/>
        </w:rPr>
        <w:t xml:space="preserve"> pues </w:t>
      </w:r>
      <w:r w:rsidR="002C7D90" w:rsidRPr="009E7FFC">
        <w:rPr>
          <w:rFonts w:ascii="Times New Roman" w:hAnsi="Times New Roman" w:cs="Times New Roman"/>
          <w:sz w:val="24"/>
          <w:szCs w:val="24"/>
          <w:lang w:val="es-PE"/>
        </w:rPr>
        <w:t xml:space="preserve">únicamente constituye un </w:t>
      </w:r>
      <w:r w:rsidRPr="009E7FFC">
        <w:rPr>
          <w:rFonts w:ascii="Times New Roman" w:hAnsi="Times New Roman" w:cs="Times New Roman"/>
          <w:sz w:val="24"/>
          <w:szCs w:val="24"/>
          <w:lang w:val="es-PE"/>
        </w:rPr>
        <w:t>registr</w:t>
      </w:r>
      <w:r w:rsidR="002C7D90" w:rsidRPr="009E7FFC">
        <w:rPr>
          <w:rFonts w:ascii="Times New Roman" w:hAnsi="Times New Roman" w:cs="Times New Roman"/>
          <w:sz w:val="24"/>
          <w:szCs w:val="24"/>
          <w:lang w:val="es-PE"/>
        </w:rPr>
        <w:t>o</w:t>
      </w:r>
      <w:r w:rsidRPr="009E7FFC">
        <w:rPr>
          <w:rFonts w:ascii="Times New Roman" w:hAnsi="Times New Roman" w:cs="Times New Roman"/>
          <w:sz w:val="24"/>
          <w:szCs w:val="24"/>
          <w:lang w:val="es-PE"/>
        </w:rPr>
        <w:t xml:space="preserve"> </w:t>
      </w:r>
      <w:r w:rsidR="002C7D90" w:rsidRPr="009E7FFC">
        <w:rPr>
          <w:rFonts w:ascii="Times New Roman" w:hAnsi="Times New Roman" w:cs="Times New Roman"/>
          <w:sz w:val="24"/>
          <w:szCs w:val="24"/>
          <w:lang w:val="es-PE"/>
        </w:rPr>
        <w:t xml:space="preserve">de </w:t>
      </w:r>
      <w:r w:rsidRPr="009E7FFC">
        <w:rPr>
          <w:rFonts w:ascii="Times New Roman" w:hAnsi="Times New Roman" w:cs="Times New Roman"/>
          <w:sz w:val="24"/>
          <w:szCs w:val="24"/>
          <w:lang w:val="es-PE"/>
        </w:rPr>
        <w:t>reacciones</w:t>
      </w:r>
      <w:r w:rsidR="002C7D90" w:rsidRPr="009E7FFC">
        <w:rPr>
          <w:rFonts w:ascii="Times New Roman" w:hAnsi="Times New Roman" w:cs="Times New Roman"/>
          <w:sz w:val="24"/>
          <w:szCs w:val="24"/>
          <w:lang w:val="es-PE"/>
        </w:rPr>
        <w:t xml:space="preserve"> fisiológicas como respuesta a estímulos psicológicos a partir de una serie de preguntas</w:t>
      </w:r>
      <w:r w:rsidRPr="009E7FFC">
        <w:rPr>
          <w:rFonts w:ascii="Times New Roman" w:hAnsi="Times New Roman" w:cs="Times New Roman"/>
          <w:sz w:val="24"/>
          <w:szCs w:val="24"/>
          <w:lang w:val="es-PE"/>
        </w:rPr>
        <w:t>, por lo que configura un elemento de apoyo que por sí solo no es suficiente para generar convicción</w:t>
      </w:r>
      <w:r w:rsidR="002C7D90" w:rsidRPr="009E7FFC">
        <w:rPr>
          <w:rFonts w:ascii="Times New Roman" w:hAnsi="Times New Roman" w:cs="Times New Roman"/>
          <w:sz w:val="24"/>
          <w:szCs w:val="24"/>
          <w:lang w:val="es-PE"/>
        </w:rPr>
        <w:t xml:space="preserve"> respecto de sus resultados</w:t>
      </w:r>
      <w:r w:rsidRPr="009E7FFC">
        <w:rPr>
          <w:rStyle w:val="Refdenotaalpie"/>
          <w:rFonts w:ascii="Times New Roman" w:hAnsi="Times New Roman" w:cs="Times New Roman"/>
          <w:sz w:val="24"/>
          <w:szCs w:val="24"/>
          <w:lang w:val="es-PE"/>
        </w:rPr>
        <w:footnoteReference w:id="4"/>
      </w:r>
      <w:r w:rsidRPr="009E7FFC">
        <w:rPr>
          <w:rFonts w:ascii="Times New Roman" w:hAnsi="Times New Roman" w:cs="Times New Roman"/>
          <w:sz w:val="24"/>
          <w:szCs w:val="24"/>
          <w:lang w:val="es-PE"/>
        </w:rPr>
        <w:t xml:space="preserve">. Es decir, que </w:t>
      </w:r>
      <w:r w:rsidR="00745039" w:rsidRPr="009E7FFC">
        <w:rPr>
          <w:rFonts w:ascii="Times New Roman" w:hAnsi="Times New Roman" w:cs="Times New Roman"/>
          <w:sz w:val="24"/>
          <w:szCs w:val="24"/>
          <w:lang w:val="es-PE"/>
        </w:rPr>
        <w:t xml:space="preserve">únicamente con </w:t>
      </w:r>
      <w:r w:rsidR="002C7D90" w:rsidRPr="009E7FFC">
        <w:rPr>
          <w:rFonts w:ascii="Times New Roman" w:hAnsi="Times New Roman" w:cs="Times New Roman"/>
          <w:sz w:val="24"/>
          <w:szCs w:val="24"/>
          <w:lang w:val="es-PE"/>
        </w:rPr>
        <w:t xml:space="preserve">dicho examen </w:t>
      </w:r>
      <w:r w:rsidR="00745039" w:rsidRPr="009E7FFC">
        <w:rPr>
          <w:rFonts w:ascii="Times New Roman" w:hAnsi="Times New Roman" w:cs="Times New Roman"/>
          <w:sz w:val="24"/>
          <w:szCs w:val="24"/>
          <w:lang w:val="es-PE"/>
        </w:rPr>
        <w:t>no se cumple con el estándar necesario para determinar de forma razonada, la posible naturaleza fraudulenta de</w:t>
      </w:r>
      <w:r w:rsidR="005A083F" w:rsidRPr="009E7FFC">
        <w:rPr>
          <w:rFonts w:ascii="Times New Roman" w:hAnsi="Times New Roman" w:cs="Times New Roman"/>
          <w:sz w:val="24"/>
          <w:szCs w:val="24"/>
          <w:lang w:val="es-PE"/>
        </w:rPr>
        <w:t xml:space="preserve"> un </w:t>
      </w:r>
      <w:r w:rsidR="00745039" w:rsidRPr="009E7FFC">
        <w:rPr>
          <w:rFonts w:ascii="Times New Roman" w:hAnsi="Times New Roman" w:cs="Times New Roman"/>
          <w:sz w:val="24"/>
          <w:szCs w:val="24"/>
          <w:lang w:val="es-PE"/>
        </w:rPr>
        <w:t>aviso de siniestro; si acaso,</w:t>
      </w:r>
      <w:r w:rsidRPr="009E7FFC">
        <w:rPr>
          <w:rFonts w:ascii="Times New Roman" w:hAnsi="Times New Roman" w:cs="Times New Roman"/>
          <w:sz w:val="24"/>
          <w:szCs w:val="24"/>
          <w:lang w:val="es-PE"/>
        </w:rPr>
        <w:t xml:space="preserve"> los resultados de la prueba de polígrafo </w:t>
      </w:r>
      <w:r w:rsidR="00745039" w:rsidRPr="009E7FFC">
        <w:rPr>
          <w:rFonts w:ascii="Times New Roman" w:hAnsi="Times New Roman" w:cs="Times New Roman"/>
          <w:sz w:val="24"/>
          <w:szCs w:val="24"/>
          <w:lang w:val="es-PE"/>
        </w:rPr>
        <w:t xml:space="preserve">podrían ser tomados en cuenta como un indicio, para que la aseguradora, realice mayores pesquisas con la finalidad de determinar con un grado de certeza razonable si efectivamente el siniestro se produjo en los términos señalados por </w:t>
      </w:r>
      <w:r w:rsidR="002C7D90" w:rsidRPr="009E7FFC">
        <w:rPr>
          <w:rFonts w:ascii="Times New Roman" w:hAnsi="Times New Roman" w:cs="Times New Roman"/>
          <w:sz w:val="24"/>
          <w:szCs w:val="24"/>
          <w:lang w:val="es-PE"/>
        </w:rPr>
        <w:t>el</w:t>
      </w:r>
      <w:r w:rsidR="00745039" w:rsidRPr="009E7FFC">
        <w:rPr>
          <w:rFonts w:ascii="Times New Roman" w:hAnsi="Times New Roman" w:cs="Times New Roman"/>
          <w:sz w:val="24"/>
          <w:szCs w:val="24"/>
          <w:lang w:val="es-PE"/>
        </w:rPr>
        <w:t xml:space="preserve"> asegurad</w:t>
      </w:r>
      <w:r w:rsidR="002C7D90" w:rsidRPr="009E7FFC">
        <w:rPr>
          <w:rFonts w:ascii="Times New Roman" w:hAnsi="Times New Roman" w:cs="Times New Roman"/>
          <w:sz w:val="24"/>
          <w:szCs w:val="24"/>
          <w:lang w:val="es-PE"/>
        </w:rPr>
        <w:t>o, o en su defecto nos encontramos ante una conducta fraudulenta</w:t>
      </w:r>
      <w:r w:rsidR="00745039" w:rsidRPr="009E7FFC">
        <w:rPr>
          <w:rFonts w:ascii="Times New Roman" w:hAnsi="Times New Roman" w:cs="Times New Roman"/>
          <w:sz w:val="24"/>
          <w:szCs w:val="24"/>
          <w:lang w:val="es-PE"/>
        </w:rPr>
        <w:t xml:space="preserve">. </w:t>
      </w:r>
    </w:p>
    <w:p w14:paraId="03B96F16" w14:textId="742D340A" w:rsidR="00BD68AF" w:rsidRPr="009E7FFC" w:rsidRDefault="00BD68AF" w:rsidP="009E7FFC">
      <w:pPr>
        <w:spacing w:after="200" w:line="240" w:lineRule="auto"/>
        <w:jc w:val="both"/>
        <w:rPr>
          <w:rFonts w:ascii="Times New Roman" w:hAnsi="Times New Roman" w:cs="Times New Roman"/>
          <w:sz w:val="24"/>
          <w:szCs w:val="24"/>
          <w:lang w:val="es-PE"/>
        </w:rPr>
      </w:pPr>
      <w:r>
        <w:rPr>
          <w:rFonts w:ascii="Times New Roman" w:hAnsi="Times New Roman"/>
          <w:sz w:val="24"/>
        </w:rPr>
        <w:t xml:space="preserve">Como se advierte en la Resolución Impugnada, este Colegiado no niega que ………………… se encontraba habilita a actuar la prueba de polígrafo para aclarar las reales circunstancias del siniestro, sin embargo, la realización de esta prueba no puede relevar a la empresa …………………, poniendo en evidencia aquellos elementos o indicios que determinen inconsistencias y contradicciones, a tal punto que amerite someter al asegurado a un examen adicional vía prueba de polígrafo. </w:t>
      </w:r>
    </w:p>
    <w:p w14:paraId="321951D2" w14:textId="347D6EC9" w:rsidR="00907807" w:rsidRPr="009E7FFC" w:rsidRDefault="00FA303A" w:rsidP="009E7FFC">
      <w:pPr>
        <w:spacing w:after="200" w:line="240" w:lineRule="auto"/>
        <w:jc w:val="both"/>
        <w:rPr>
          <w:rFonts w:ascii="Times New Roman" w:hAnsi="Times New Roman" w:cs="Times New Roman"/>
          <w:sz w:val="24"/>
          <w:szCs w:val="24"/>
          <w:lang w:val="es-PE"/>
        </w:rPr>
      </w:pPr>
      <w:r>
        <w:rPr>
          <w:rFonts w:ascii="Times New Roman" w:hAnsi="Times New Roman"/>
          <w:sz w:val="24"/>
        </w:rPr>
        <w:t xml:space="preserve">Por lo tanto, habiendo ………………… expuesto una serie de argumentos adicionales, los cuales no presentó en su Carta de Rechazo dirigida a la asegurada, así como tampoco al momento de absolver su reclamo, corresponde que este Colegiado proceda a evaluarlos con la finalidad de determinar si procede modificar lo dispuesto en la Resolución Impugnada. </w:t>
      </w:r>
    </w:p>
    <w:p w14:paraId="55545A11" w14:textId="5BAEB402" w:rsidR="00FB31BF" w:rsidRPr="009E7FFC" w:rsidRDefault="00745039" w:rsidP="009E7FFC">
      <w:pPr>
        <w:spacing w:after="200" w:line="240" w:lineRule="auto"/>
        <w:jc w:val="both"/>
        <w:rPr>
          <w:rFonts w:ascii="Times New Roman" w:hAnsi="Times New Roman" w:cs="Times New Roman"/>
          <w:sz w:val="24"/>
          <w:szCs w:val="24"/>
          <w:lang w:val="es-PE"/>
        </w:rPr>
      </w:pPr>
      <w:r>
        <w:rPr>
          <w:rFonts w:ascii="Times New Roman" w:hAnsi="Times New Roman"/>
          <w:sz w:val="24"/>
        </w:rPr>
        <w:t xml:space="preserve">CUARTO: Como se ha indicado, ………………… señala como uno de los indicios que revelarían un posible accionar fraudulento de la asegurada, el hecho que la señora ………………… registrara un siniestro anterior con similares características del que es objeto de revisión en este procedimiento, puntualmente, dicha ocurrencia aconteció en el mes de agosto del año 2023, producto del cual la asegurada recibió -sin objeción-, una indemnización por la suma de PEN 7,900 (siete mil novecientos soles y 00/100). La empresa …………………, en dicha oportunidad, el siniestro presentó las mismas circunstancias que en el caso que venimos discutiendo: robo del equipo celular seguido de transferencias no reconocidas.</w:t>
      </w:r>
    </w:p>
    <w:p w14:paraId="4E339F88" w14:textId="199B3F60" w:rsidR="00F67367" w:rsidRPr="009E7FFC" w:rsidRDefault="00CF3985" w:rsidP="009E7FFC">
      <w:pPr>
        <w:spacing w:after="200" w:line="240" w:lineRule="auto"/>
        <w:jc w:val="both"/>
        <w:rPr>
          <w:rFonts w:ascii="Times New Roman" w:hAnsi="Times New Roman" w:cs="Times New Roman"/>
          <w:sz w:val="24"/>
          <w:szCs w:val="24"/>
          <w:lang w:val="es-PE"/>
        </w:rPr>
      </w:pPr>
      <w:r>
        <w:rPr>
          <w:rFonts w:ascii="Times New Roman" w:hAnsi="Times New Roman"/>
          <w:sz w:val="24"/>
        </w:rPr>
        <w:t xml:space="preserve">Cabe recordar sobre el particular, que si bien un siniestro anterior constituye un supuesto a través del cual la empresa ………………… un accionar fraudulento, lo cierto es que, el siniestro del año 2023 constituyó un reclamo de cobertura que no fue cuestionado en su oportunidad por la empresa aseguradora, en dicho sentido, no corresponde a este Colegiado reevaluar la legitimidad de la mencionada solicitud de cobertura o aceptar la calificación de fraudulento respecto del mismo que parece hacer la empresa aseguradora, sino evaluar si constituye una circunstancia válida que habilite a la empresa ………………….   </w:t>
      </w:r>
    </w:p>
    <w:p w14:paraId="3BF41CC7" w14:textId="26838180" w:rsidR="006F06C3" w:rsidRPr="009E7FFC" w:rsidRDefault="006F06C3" w:rsidP="009E7FFC">
      <w:pPr>
        <w:spacing w:after="200" w:line="240" w:lineRule="auto"/>
        <w:jc w:val="both"/>
        <w:rPr>
          <w:rFonts w:ascii="Times New Roman" w:hAnsi="Times New Roman" w:cs="Times New Roman"/>
          <w:sz w:val="24"/>
          <w:szCs w:val="24"/>
          <w:lang w:val="es-PE"/>
        </w:rPr>
      </w:pPr>
      <w:r w:rsidRPr="009E7FFC">
        <w:rPr>
          <w:rFonts w:ascii="Times New Roman" w:hAnsi="Times New Roman" w:cs="Times New Roman"/>
          <w:sz w:val="24"/>
          <w:szCs w:val="24"/>
          <w:lang w:val="es-PE"/>
        </w:rPr>
        <w:t xml:space="preserve">No constituye un hecho controvertido que el siniestro anterior efectivamente se produjo, puesto que ha sido reconocido por la asegurada. </w:t>
      </w:r>
      <w:r w:rsidR="00CF3985" w:rsidRPr="009E7FFC">
        <w:rPr>
          <w:rFonts w:ascii="Times New Roman" w:hAnsi="Times New Roman" w:cs="Times New Roman"/>
          <w:sz w:val="24"/>
          <w:szCs w:val="24"/>
          <w:lang w:val="es-PE"/>
        </w:rPr>
        <w:t xml:space="preserve">No obstante, </w:t>
      </w:r>
      <w:r w:rsidRPr="009E7FFC">
        <w:rPr>
          <w:rFonts w:ascii="Times New Roman" w:hAnsi="Times New Roman" w:cs="Times New Roman"/>
          <w:sz w:val="24"/>
          <w:szCs w:val="24"/>
          <w:lang w:val="es-PE"/>
        </w:rPr>
        <w:t xml:space="preserve">en la medida que dicho </w:t>
      </w:r>
      <w:r w:rsidR="00CF3985" w:rsidRPr="009E7FFC">
        <w:rPr>
          <w:rFonts w:ascii="Times New Roman" w:hAnsi="Times New Roman" w:cs="Times New Roman"/>
          <w:sz w:val="24"/>
          <w:szCs w:val="24"/>
          <w:lang w:val="es-PE"/>
        </w:rPr>
        <w:t xml:space="preserve">reclamo de </w:t>
      </w:r>
      <w:r w:rsidR="00CF3985" w:rsidRPr="009E7FFC">
        <w:rPr>
          <w:rFonts w:ascii="Times New Roman" w:hAnsi="Times New Roman" w:cs="Times New Roman"/>
          <w:sz w:val="24"/>
          <w:szCs w:val="24"/>
          <w:lang w:val="es-PE"/>
        </w:rPr>
        <w:lastRenderedPageBreak/>
        <w:t xml:space="preserve">cobertura </w:t>
      </w:r>
      <w:r w:rsidRPr="009E7FFC">
        <w:rPr>
          <w:rFonts w:ascii="Times New Roman" w:hAnsi="Times New Roman" w:cs="Times New Roman"/>
          <w:sz w:val="24"/>
          <w:szCs w:val="24"/>
          <w:lang w:val="es-PE"/>
        </w:rPr>
        <w:t>no fue cuestionado</w:t>
      </w:r>
      <w:r w:rsidR="00CF3985" w:rsidRPr="009E7FFC">
        <w:rPr>
          <w:rFonts w:ascii="Times New Roman" w:hAnsi="Times New Roman" w:cs="Times New Roman"/>
          <w:sz w:val="24"/>
          <w:szCs w:val="24"/>
          <w:lang w:val="es-PE"/>
        </w:rPr>
        <w:t>, su legalidad no puede ser discutida en esta oportunidad</w:t>
      </w:r>
      <w:r w:rsidRPr="009E7FFC">
        <w:rPr>
          <w:rFonts w:ascii="Times New Roman" w:hAnsi="Times New Roman" w:cs="Times New Roman"/>
          <w:sz w:val="24"/>
          <w:szCs w:val="24"/>
          <w:lang w:val="es-PE"/>
        </w:rPr>
        <w:t xml:space="preserve">, </w:t>
      </w:r>
      <w:r w:rsidR="00CF3985" w:rsidRPr="009E7FFC">
        <w:rPr>
          <w:rFonts w:ascii="Times New Roman" w:hAnsi="Times New Roman" w:cs="Times New Roman"/>
          <w:sz w:val="24"/>
          <w:szCs w:val="24"/>
          <w:lang w:val="es-PE"/>
        </w:rPr>
        <w:t xml:space="preserve">por lo tanto, </w:t>
      </w:r>
      <w:r w:rsidRPr="009E7FFC">
        <w:rPr>
          <w:rFonts w:ascii="Times New Roman" w:hAnsi="Times New Roman" w:cs="Times New Roman"/>
          <w:sz w:val="24"/>
          <w:szCs w:val="24"/>
          <w:lang w:val="es-PE"/>
        </w:rPr>
        <w:t xml:space="preserve">este </w:t>
      </w:r>
      <w:r w:rsidR="00CF3985" w:rsidRPr="009E7FFC">
        <w:rPr>
          <w:rFonts w:ascii="Times New Roman" w:hAnsi="Times New Roman" w:cs="Times New Roman"/>
          <w:sz w:val="24"/>
          <w:szCs w:val="24"/>
          <w:lang w:val="es-PE"/>
        </w:rPr>
        <w:t>C</w:t>
      </w:r>
      <w:r w:rsidRPr="009E7FFC">
        <w:rPr>
          <w:rFonts w:ascii="Times New Roman" w:hAnsi="Times New Roman" w:cs="Times New Roman"/>
          <w:sz w:val="24"/>
          <w:szCs w:val="24"/>
          <w:lang w:val="es-PE"/>
        </w:rPr>
        <w:t>olegiado considera que</w:t>
      </w:r>
      <w:r w:rsidR="000F77BC" w:rsidRPr="009E7FFC">
        <w:rPr>
          <w:rFonts w:ascii="Times New Roman" w:hAnsi="Times New Roman" w:cs="Times New Roman"/>
          <w:sz w:val="24"/>
          <w:szCs w:val="24"/>
          <w:lang w:val="es-PE"/>
        </w:rPr>
        <w:t xml:space="preserve"> </w:t>
      </w:r>
      <w:r w:rsidR="00CF3985" w:rsidRPr="009E7FFC">
        <w:rPr>
          <w:rFonts w:ascii="Times New Roman" w:hAnsi="Times New Roman" w:cs="Times New Roman"/>
          <w:sz w:val="24"/>
          <w:szCs w:val="24"/>
          <w:lang w:val="es-PE"/>
        </w:rPr>
        <w:t xml:space="preserve">el siniestro del 2023 </w:t>
      </w:r>
      <w:r w:rsidRPr="009E7FFC">
        <w:rPr>
          <w:rFonts w:ascii="Times New Roman" w:hAnsi="Times New Roman" w:cs="Times New Roman"/>
          <w:sz w:val="24"/>
          <w:szCs w:val="24"/>
          <w:lang w:val="es-PE"/>
        </w:rPr>
        <w:t>no puede ser considerado</w:t>
      </w:r>
      <w:r w:rsidR="000F77BC" w:rsidRPr="009E7FFC">
        <w:rPr>
          <w:rFonts w:ascii="Times New Roman" w:hAnsi="Times New Roman" w:cs="Times New Roman"/>
          <w:sz w:val="24"/>
          <w:szCs w:val="24"/>
          <w:lang w:val="es-PE"/>
        </w:rPr>
        <w:t xml:space="preserve"> aisladamente</w:t>
      </w:r>
      <w:r w:rsidRPr="009E7FFC">
        <w:rPr>
          <w:rFonts w:ascii="Times New Roman" w:hAnsi="Times New Roman" w:cs="Times New Roman"/>
          <w:sz w:val="24"/>
          <w:szCs w:val="24"/>
          <w:lang w:val="es-PE"/>
        </w:rPr>
        <w:t xml:space="preserve"> como un patrón de potencial fraude para inferir un accionar </w:t>
      </w:r>
      <w:r w:rsidR="00CF3985" w:rsidRPr="009E7FFC">
        <w:rPr>
          <w:rFonts w:ascii="Times New Roman" w:hAnsi="Times New Roman" w:cs="Times New Roman"/>
          <w:sz w:val="24"/>
          <w:szCs w:val="24"/>
          <w:lang w:val="es-PE"/>
        </w:rPr>
        <w:t xml:space="preserve">fraudulento </w:t>
      </w:r>
      <w:r w:rsidRPr="009E7FFC">
        <w:rPr>
          <w:rFonts w:ascii="Times New Roman" w:hAnsi="Times New Roman" w:cs="Times New Roman"/>
          <w:sz w:val="24"/>
          <w:szCs w:val="24"/>
          <w:lang w:val="es-PE"/>
        </w:rPr>
        <w:t xml:space="preserve">respecto del presente siniestro. </w:t>
      </w:r>
    </w:p>
    <w:p w14:paraId="0B6E21A4" w14:textId="7A87BF22" w:rsidR="00BC31DB" w:rsidRPr="009E7FFC" w:rsidRDefault="006F06C3" w:rsidP="009E7FFC">
      <w:pPr>
        <w:spacing w:after="200" w:line="240" w:lineRule="auto"/>
        <w:jc w:val="both"/>
        <w:rPr>
          <w:rFonts w:ascii="Times New Roman" w:hAnsi="Times New Roman" w:cs="Times New Roman"/>
          <w:sz w:val="24"/>
          <w:szCs w:val="24"/>
          <w:lang w:val="es-PE"/>
        </w:rPr>
      </w:pPr>
      <w:r>
        <w:rPr>
          <w:rFonts w:ascii="Times New Roman" w:hAnsi="Times New Roman"/>
          <w:sz w:val="24"/>
        </w:rPr>
        <w:t xml:space="preserve">Asimismo, ………………… señala como otro indicio de la posible conducta fraudulenta de la asegurada, el hecho que en el siniestro del 2023 la entidad bancaria generara una alerta de fraude al detectar depósitos previos por montos inusuales, lo cuales fueron realizados poco antes de producido el robo y las transferencias no autorizadas de las cuentas de la asegurada. Sobre el particular, consideramos que no nos encontramos ante un indicio adicional al señalado en los párrafos anteriores, puesto que nos encontramos ante un mismo hecho. Para este Colegiado, en la medida que los depósitos a los que hace referencia ………………… como indicios de fraude, no fueron reparados con ocasión de la solicitud de cobertura que realizara la asegurada en dicha oportunidad, no es conducente que sean considerados como indicio adicional a la existencia del propio precedente del año 2023 identificado por la empresa aseguradora.</w:t>
      </w:r>
    </w:p>
    <w:p w14:paraId="4FE8BFD1" w14:textId="4F3F9D6C" w:rsidR="00490B5E" w:rsidRPr="009E7FFC" w:rsidRDefault="005A6ACA" w:rsidP="009E7FFC">
      <w:pPr>
        <w:spacing w:after="200" w:line="240" w:lineRule="auto"/>
        <w:jc w:val="both"/>
        <w:rPr>
          <w:rFonts w:ascii="Times New Roman" w:hAnsi="Times New Roman" w:cs="Times New Roman"/>
          <w:sz w:val="24"/>
          <w:szCs w:val="24"/>
          <w:lang w:val="es-PE"/>
        </w:rPr>
      </w:pPr>
      <w:r>
        <w:rPr>
          <w:rFonts w:ascii="Times New Roman" w:hAnsi="Times New Roman"/>
          <w:sz w:val="24"/>
        </w:rPr>
        <w:t xml:space="preserve">Finalmente, como tercer y cuarto indicios, la empresa …………………, la señora …………………, tras percibir la indemnización por el siniestro anterior, dejó de pagar las primas de su Seguro de Protección de Tarjetas inmediatamente después de recibida la indemnización, lo que finalmente generó la cancelación de la póliza el 19 de agosto del 2023, accionar que se encontraría relacionado -siguiendo la línea de …………………-, con el supuesto iter criminis desplegado por la asegurada también para el presente aviso de siniestro. Como en los anteriores indicios, estos hallazgos también se encuentran relacionados con el siniestro del año 2023, sin embargo, la empresa ………………… este Colegiado identificar que nos encontremos efectivamente ante la secuencia de hechos que detalla en su Resolución de impugnación.</w:t>
      </w:r>
    </w:p>
    <w:p w14:paraId="4CDF9041" w14:textId="724661BE" w:rsidR="00190BAF" w:rsidRPr="009E7FFC" w:rsidRDefault="00EA6B9E" w:rsidP="009E7FFC">
      <w:pPr>
        <w:spacing w:after="200" w:line="240" w:lineRule="auto"/>
        <w:jc w:val="both"/>
        <w:rPr>
          <w:rFonts w:ascii="Times New Roman" w:hAnsi="Times New Roman" w:cs="Times New Roman"/>
          <w:sz w:val="24"/>
          <w:szCs w:val="24"/>
          <w:lang w:val="es-PE"/>
        </w:rPr>
      </w:pPr>
      <w:r>
        <w:rPr>
          <w:rFonts w:ascii="Times New Roman" w:hAnsi="Times New Roman"/>
          <w:sz w:val="24"/>
        </w:rPr>
        <w:t xml:space="preserve">Como ha señalado en numerosas oportunidades este Colegiado, la empresa ………………… existencia de una reclamación fraudulenta, acreditando que, en el relato de lo sucedido se encuentran inexactitudes, contradicciones o inconsistencias, de manera que no se llega a probar realmente la existencia del siniestro. Tal como ha señalado ………………… en su Recurso de Impugnación, uno de estos elementos de sospecha, es ciertamente la conducta pasada del asegurado, puesto que, incluso con los actuales niveles de inseguridad que aqueja a la nación, lo lógico es que si una persona sufre un acto delictivo que le genere un daño patrimonial, agudice esfuerzos para que estos hechos no se vuelvan a repetir, conducta esperable incluso en situaciones de riesgo moral, como las que suelen incurrir aquellas personas que logran trasladar a un tercero las consecuencias de su falta de diligencia, tal como ocurre en el ámbito de los seguros. Sin embargo, con ocasión de la presentación de su recurso impugnativo, ………………… ha presentado como único argumento la existencia de una solicitud de cobertura por un hecho similar en el año 2023 y toda su tesis de reclamación fraudulenta parte de cuestionar el accionar de la asegurada en dicha oportunidad, sin presentar información adicional que permita a este Colegiado enlazar este hecho del pasado, con la solicitud de cobertura que se discute en el presente procedimiento.</w:t>
      </w:r>
    </w:p>
    <w:p w14:paraId="60ED1ED5" w14:textId="4A715480" w:rsidR="00190BAF" w:rsidRPr="009E7FFC" w:rsidRDefault="00190BAF" w:rsidP="009E7FFC">
      <w:pPr>
        <w:spacing w:after="200" w:line="240" w:lineRule="auto"/>
        <w:jc w:val="both"/>
        <w:rPr>
          <w:rFonts w:ascii="Times New Roman" w:hAnsi="Times New Roman" w:cs="Times New Roman"/>
          <w:sz w:val="24"/>
          <w:szCs w:val="24"/>
          <w:lang w:val="es-PE"/>
        </w:rPr>
      </w:pPr>
      <w:r>
        <w:rPr>
          <w:rFonts w:ascii="Times New Roman" w:hAnsi="Times New Roman"/>
          <w:sz w:val="24"/>
        </w:rPr>
        <w:t xml:space="preserve">Efectivamente, además de la identificación de este hecho del pasado, ………………… ha levantado una serie de dudas respecto de su legitimidad sobre la base de que: (i) se generó una alerta de fraude por depósitos previos con montos inusuales realizados por la asegurada momentos antes del robo; (ii) que se dejara de pagar la póliza de protección de tarjetas después de recibir la indemnización, y, (iii) la conducta secuencial de la asegurada. Sobre el particular, en la medida que el siniestro del año 2023 habría sido reconocido pacíficamente por la empresa aseguradora, para que aquellos elementos generen válida sospecha respecto del presente procedimiento, debían de estarse reproduciendo también en esta oportunidad, sin embargo, ………………… no ha presentado documentación que acredite una situación como la que señala ocurrió en el año 2023. </w:t>
      </w:r>
    </w:p>
    <w:p w14:paraId="6C3CFC86" w14:textId="7DEAD9B1" w:rsidR="00B52907" w:rsidRPr="009E7FFC" w:rsidRDefault="00B52907" w:rsidP="009E7FFC">
      <w:pPr>
        <w:spacing w:after="200" w:line="240" w:lineRule="auto"/>
        <w:jc w:val="both"/>
        <w:rPr>
          <w:rFonts w:ascii="Times New Roman" w:hAnsi="Times New Roman" w:cs="Times New Roman"/>
          <w:sz w:val="24"/>
          <w:szCs w:val="24"/>
          <w:lang w:val="es-PE"/>
        </w:rPr>
      </w:pPr>
      <w:r>
        <w:rPr>
          <w:rFonts w:ascii="Times New Roman" w:hAnsi="Times New Roman"/>
          <w:sz w:val="24"/>
        </w:rPr>
        <w:t xml:space="preserve">Efectivamente, si bien una serie de depósitos inusuales realizados poco antes de un siniestro de robo de las tarjetas del asegurado, es un indicativo de un posible accionar fraudulento, no basta señalar que estos se dieron en el pasado, respecto de un siniestro que fue cubierto sin mayor inconveniente por la empresa aseguradora, sino que debe identificarse que dicho patrón de conducta también se produjo en el presente caso. Sin embargo, ………………… no ha señalado que esta conducta se hubiera reproducido. Lo mismo ocurre respecto de la cancelación de la póliza, según …………………, el 19 de agosto del 2023 cuando el siniestro se produjo el 9 de agosto del mismo año, es decir diez días después del sinestro y probablemente incluso antes de que la asegurada recibiera la indemnización por el siniestro. Puesto que, de acuerdo con lo señalado por la asegurada en la absolución del recurso impugnativo de …………………, la póliza que generó la solicitud de cobertura materia del presente procedimiento todavía se encuentra vigente, es claro que no se está repitiendo el patrón del año 2023. </w:t>
      </w:r>
    </w:p>
    <w:p w14:paraId="7E83671F" w14:textId="390AE6C3" w:rsidR="000E2BD2" w:rsidRPr="009E7FFC" w:rsidRDefault="00D460C3" w:rsidP="009E7FFC">
      <w:pPr>
        <w:spacing w:after="200" w:line="240" w:lineRule="auto"/>
        <w:jc w:val="both"/>
        <w:rPr>
          <w:rFonts w:ascii="Times New Roman" w:hAnsi="Times New Roman" w:cs="Times New Roman"/>
          <w:sz w:val="24"/>
          <w:szCs w:val="24"/>
          <w:lang w:val="es-PE"/>
        </w:rPr>
      </w:pPr>
      <w:r>
        <w:rPr>
          <w:rFonts w:ascii="Times New Roman" w:hAnsi="Times New Roman"/>
          <w:sz w:val="24"/>
        </w:rPr>
        <w:t xml:space="preserve">En la medida que ………………… no ha logrado presentar ningún indicio, inexactitud, contradicción o inconsistencia respecto de la solicitud de cobertura presentada por la asegurada, más allá de un caso resuelto favorablemente para la asegurada en el año 2023, este Colegiado considera que no es posible amprar el recurso impugnativo presentado por la empresa aseguradora.</w:t>
      </w:r>
    </w:p>
    <w:p w14:paraId="3356E798" w14:textId="7CE1D3B3" w:rsidR="006E1CCD" w:rsidRPr="009E7FFC" w:rsidRDefault="004858EC" w:rsidP="009E7FFC">
      <w:pPr>
        <w:spacing w:after="200" w:line="240" w:lineRule="auto"/>
        <w:jc w:val="both"/>
        <w:rPr>
          <w:rFonts w:ascii="Times New Roman" w:hAnsi="Times New Roman" w:cs="Times New Roman"/>
          <w:sz w:val="24"/>
          <w:szCs w:val="24"/>
          <w:lang w:val="es-PE"/>
        </w:rPr>
      </w:pPr>
      <w:r w:rsidRPr="009E7FFC">
        <w:rPr>
          <w:rFonts w:ascii="Times New Roman" w:hAnsi="Times New Roman" w:cs="Times New Roman"/>
          <w:sz w:val="24"/>
          <w:szCs w:val="24"/>
          <w:lang w:val="es-PE"/>
        </w:rPr>
        <w:t>Q</w:t>
      </w:r>
      <w:r w:rsidR="006E1CCD" w:rsidRPr="009E7FFC">
        <w:rPr>
          <w:rFonts w:ascii="Times New Roman" w:hAnsi="Times New Roman" w:cs="Times New Roman"/>
          <w:sz w:val="24"/>
          <w:szCs w:val="24"/>
          <w:lang w:val="es-PE"/>
        </w:rPr>
        <w:t>ue, en consecuencia, esta Defensoría del Asegurado concluye su apreciación razonada y conjunta al amparo de lo establecido en su Reglamento, por lo que:</w:t>
      </w:r>
    </w:p>
    <w:p w14:paraId="27FF9234" w14:textId="77777777" w:rsidR="006E1CCD" w:rsidRPr="009E7FFC" w:rsidRDefault="006E1CCD" w:rsidP="009E7FFC">
      <w:pPr>
        <w:spacing w:after="200" w:line="240" w:lineRule="auto"/>
        <w:jc w:val="both"/>
        <w:rPr>
          <w:rFonts w:ascii="Times New Roman" w:hAnsi="Times New Roman" w:cs="Times New Roman"/>
          <w:b/>
          <w:bCs/>
          <w:sz w:val="24"/>
          <w:szCs w:val="24"/>
          <w:u w:val="single"/>
          <w:lang w:val="es-PE"/>
        </w:rPr>
      </w:pPr>
      <w:r w:rsidRPr="009E7FFC">
        <w:rPr>
          <w:rFonts w:ascii="Times New Roman" w:hAnsi="Times New Roman" w:cs="Times New Roman"/>
          <w:b/>
          <w:bCs/>
          <w:sz w:val="24"/>
          <w:szCs w:val="24"/>
          <w:lang w:val="es-PE"/>
        </w:rPr>
        <w:t>RESUELVE:</w:t>
      </w:r>
    </w:p>
    <w:p w14:paraId="27D6AB13" w14:textId="4FD09BB0" w:rsidR="00B541DE" w:rsidRPr="009E7FFC" w:rsidRDefault="00AB4214" w:rsidP="009E7FFC">
      <w:pPr>
        <w:spacing w:after="200" w:line="240" w:lineRule="auto"/>
        <w:jc w:val="both"/>
        <w:rPr>
          <w:rFonts w:ascii="Times New Roman" w:hAnsi="Times New Roman" w:cs="Times New Roman"/>
          <w:sz w:val="24"/>
          <w:szCs w:val="24"/>
          <w:lang w:val="es-PE"/>
        </w:rPr>
      </w:pPr>
      <w:r>
        <w:rPr>
          <w:rFonts w:ascii="Times New Roman" w:hAnsi="Times New Roman"/>
          <w:sz w:val="24"/>
        </w:rPr>
        <w:t xml:space="preserve">Declarar INFUNDADO el Recurso de Impugnación interpuesto por ………………… COMPAÑÍA DE SEGUROS Y REASEGUROS contra la Resolución n.° 128/25 de fecha 25 de agosto de 2025.</w:t>
      </w:r>
    </w:p>
    <w:p w14:paraId="5ED79E9E" w14:textId="72981CF6" w:rsidR="00033B9E" w:rsidRPr="009E7FFC" w:rsidRDefault="00033B9E" w:rsidP="009E7FFC">
      <w:pPr>
        <w:spacing w:after="200" w:line="240" w:lineRule="auto"/>
        <w:jc w:val="right"/>
        <w:rPr>
          <w:rFonts w:ascii="Times New Roman" w:hAnsi="Times New Roman" w:cs="Times New Roman"/>
          <w:sz w:val="24"/>
          <w:szCs w:val="24"/>
          <w:lang w:val="es-PE"/>
        </w:rPr>
      </w:pPr>
      <w:r w:rsidRPr="009E7FFC">
        <w:rPr>
          <w:rFonts w:ascii="Times New Roman" w:hAnsi="Times New Roman" w:cs="Times New Roman"/>
          <w:sz w:val="24"/>
          <w:szCs w:val="24"/>
          <w:lang w:val="es-PE"/>
        </w:rPr>
        <w:t xml:space="preserve">Lima, </w:t>
      </w:r>
      <w:r w:rsidR="009E7FFC" w:rsidRPr="009E7FFC">
        <w:rPr>
          <w:rFonts w:ascii="Times New Roman" w:hAnsi="Times New Roman" w:cs="Times New Roman"/>
          <w:sz w:val="24"/>
          <w:szCs w:val="24"/>
          <w:lang w:val="es-PE"/>
        </w:rPr>
        <w:t>16</w:t>
      </w:r>
      <w:r w:rsidRPr="009E7FFC">
        <w:rPr>
          <w:rFonts w:ascii="Times New Roman" w:hAnsi="Times New Roman" w:cs="Times New Roman"/>
          <w:sz w:val="24"/>
          <w:szCs w:val="24"/>
          <w:lang w:val="es-PE"/>
        </w:rPr>
        <w:t xml:space="preserve"> de </w:t>
      </w:r>
      <w:r w:rsidR="00A0075C" w:rsidRPr="009E7FFC">
        <w:rPr>
          <w:rFonts w:ascii="Times New Roman" w:hAnsi="Times New Roman" w:cs="Times New Roman"/>
          <w:sz w:val="24"/>
          <w:szCs w:val="24"/>
          <w:lang w:val="es-PE"/>
        </w:rPr>
        <w:t>octubre</w:t>
      </w:r>
      <w:r w:rsidR="00304C79" w:rsidRPr="009E7FFC">
        <w:rPr>
          <w:rFonts w:ascii="Times New Roman" w:hAnsi="Times New Roman" w:cs="Times New Roman"/>
          <w:sz w:val="24"/>
          <w:szCs w:val="24"/>
          <w:lang w:val="es-PE"/>
        </w:rPr>
        <w:t xml:space="preserve"> </w:t>
      </w:r>
      <w:r w:rsidRPr="009E7FFC">
        <w:rPr>
          <w:rFonts w:ascii="Times New Roman" w:hAnsi="Times New Roman" w:cs="Times New Roman"/>
          <w:sz w:val="24"/>
          <w:szCs w:val="24"/>
          <w:lang w:val="es-PE"/>
        </w:rPr>
        <w:t xml:space="preserve">de 2025 </w:t>
      </w:r>
    </w:p>
    <w:p w14:paraId="10ECF88E" w14:textId="77777777" w:rsidR="00033B9E" w:rsidRPr="009E7FFC" w:rsidRDefault="00033B9E" w:rsidP="009E7FFC">
      <w:pPr>
        <w:suppressAutoHyphens/>
        <w:spacing w:after="0" w:line="240" w:lineRule="auto"/>
        <w:outlineLvl w:val="0"/>
        <w:rPr>
          <w:rFonts w:ascii="Times New Roman" w:eastAsia="Times New Roman" w:hAnsi="Times New Roman" w:cs="Times New Roman"/>
          <w:sz w:val="24"/>
          <w:szCs w:val="24"/>
          <w:lang w:val="es-PE" w:eastAsia="ar-SA"/>
        </w:rPr>
      </w:pPr>
    </w:p>
    <w:p w14:paraId="6E081B4D" w14:textId="77777777" w:rsidR="00033B9E" w:rsidRPr="009E7FFC" w:rsidRDefault="00033B9E" w:rsidP="009E7FFC">
      <w:pPr>
        <w:spacing w:after="200" w:line="240" w:lineRule="auto"/>
        <w:jc w:val="both"/>
        <w:rPr>
          <w:rFonts w:ascii="Times New Roman" w:hAnsi="Times New Roman" w:cs="Times New Roman"/>
          <w:b/>
          <w:bCs/>
          <w:i/>
          <w:iCs/>
          <w:sz w:val="24"/>
          <w:szCs w:val="24"/>
          <w:lang w:val="es-PE"/>
        </w:rPr>
      </w:pPr>
      <w:r w:rsidRPr="009E7FFC">
        <w:rPr>
          <w:rFonts w:ascii="Times New Roman" w:hAnsi="Times New Roman" w:cs="Times New Roman"/>
          <w:b/>
          <w:bCs/>
          <w:i/>
          <w:iCs/>
          <w:sz w:val="24"/>
          <w:szCs w:val="24"/>
          <w:lang w:val="es-PE"/>
        </w:rPr>
        <w:t xml:space="preserve">La Secretaría Técnica certifica que la presente resolución cuenta con el voto de los vocales cuyos nombres figuran en el presente documento. </w:t>
      </w:r>
    </w:p>
    <w:p w14:paraId="63C38086" w14:textId="5EA6AF3E" w:rsidR="008B2E4F" w:rsidRPr="009E7FFC" w:rsidRDefault="008B2E4F" w:rsidP="009E7FFC">
      <w:pPr>
        <w:spacing w:after="0" w:line="360" w:lineRule="auto"/>
        <w:jc w:val="center"/>
        <w:rPr>
          <w:rFonts w:ascii="Times New Roman" w:hAnsi="Times New Roman" w:cs="Times New Roman"/>
          <w:b/>
          <w:bCs/>
          <w:sz w:val="24"/>
          <w:szCs w:val="24"/>
          <w:lang w:val="es-PE"/>
        </w:rPr>
      </w:pPr>
      <w:r w:rsidRPr="009E7FFC">
        <w:rPr>
          <w:rFonts w:ascii="Times New Roman" w:hAnsi="Times New Roman" w:cs="Times New Roman"/>
          <w:b/>
          <w:bCs/>
          <w:sz w:val="24"/>
          <w:szCs w:val="24"/>
          <w:lang w:val="es-PE"/>
        </w:rPr>
        <w:t xml:space="preserve">Antonio Rodriguez Lobatón – </w:t>
      </w:r>
      <w:proofErr w:type="gramStart"/>
      <w:r w:rsidRPr="009E7FFC">
        <w:rPr>
          <w:rFonts w:ascii="Times New Roman" w:hAnsi="Times New Roman" w:cs="Times New Roman"/>
          <w:b/>
          <w:bCs/>
          <w:sz w:val="24"/>
          <w:szCs w:val="24"/>
          <w:lang w:val="es-PE"/>
        </w:rPr>
        <w:t>Presidente</w:t>
      </w:r>
      <w:proofErr w:type="gramEnd"/>
    </w:p>
    <w:p w14:paraId="1B6FD469" w14:textId="495C3B94" w:rsidR="00033B9E" w:rsidRPr="009E7FFC" w:rsidRDefault="00033B9E" w:rsidP="009E7FFC">
      <w:pPr>
        <w:spacing w:after="0" w:line="360" w:lineRule="auto"/>
        <w:jc w:val="center"/>
        <w:rPr>
          <w:rFonts w:ascii="Times New Roman" w:hAnsi="Times New Roman" w:cs="Times New Roman"/>
          <w:b/>
          <w:bCs/>
          <w:sz w:val="24"/>
          <w:szCs w:val="24"/>
          <w:lang w:val="es-PE"/>
        </w:rPr>
      </w:pPr>
      <w:r w:rsidRPr="009E7FFC">
        <w:rPr>
          <w:rFonts w:ascii="Times New Roman" w:hAnsi="Times New Roman" w:cs="Times New Roman"/>
          <w:b/>
          <w:bCs/>
          <w:sz w:val="24"/>
          <w:szCs w:val="24"/>
          <w:lang w:val="es-PE"/>
        </w:rPr>
        <w:t xml:space="preserve">María Eugenia Valdez Fernández Baca </w:t>
      </w:r>
      <w:r w:rsidR="008B2E4F" w:rsidRPr="009E7FFC">
        <w:rPr>
          <w:rFonts w:ascii="Times New Roman" w:hAnsi="Times New Roman" w:cs="Times New Roman"/>
          <w:b/>
          <w:bCs/>
          <w:sz w:val="24"/>
          <w:szCs w:val="24"/>
          <w:lang w:val="es-PE"/>
        </w:rPr>
        <w:t>–</w:t>
      </w:r>
      <w:r w:rsidRPr="009E7FFC">
        <w:rPr>
          <w:rFonts w:ascii="Times New Roman" w:hAnsi="Times New Roman" w:cs="Times New Roman"/>
          <w:b/>
          <w:bCs/>
          <w:sz w:val="24"/>
          <w:szCs w:val="24"/>
          <w:lang w:val="es-PE"/>
        </w:rPr>
        <w:t xml:space="preserve"> Vocal</w:t>
      </w:r>
    </w:p>
    <w:p w14:paraId="72668417" w14:textId="3E4F69D6" w:rsidR="008B2E4F" w:rsidRPr="009E7FFC" w:rsidRDefault="008B2E4F" w:rsidP="009E7FFC">
      <w:pPr>
        <w:spacing w:after="0" w:line="360" w:lineRule="auto"/>
        <w:jc w:val="center"/>
        <w:rPr>
          <w:rFonts w:ascii="Times New Roman" w:hAnsi="Times New Roman" w:cs="Times New Roman"/>
          <w:b/>
          <w:bCs/>
          <w:sz w:val="24"/>
          <w:szCs w:val="24"/>
          <w:lang w:val="es-PE"/>
        </w:rPr>
      </w:pPr>
      <w:r w:rsidRPr="009E7FFC">
        <w:rPr>
          <w:rFonts w:ascii="Times New Roman" w:hAnsi="Times New Roman" w:cs="Times New Roman"/>
          <w:b/>
          <w:bCs/>
          <w:sz w:val="24"/>
          <w:szCs w:val="24"/>
          <w:lang w:val="es-PE"/>
        </w:rPr>
        <w:t xml:space="preserve">Rolando Eyzaguirre </w:t>
      </w:r>
      <w:proofErr w:type="spellStart"/>
      <w:r w:rsidRPr="009E7FFC">
        <w:rPr>
          <w:rFonts w:ascii="Times New Roman" w:hAnsi="Times New Roman" w:cs="Times New Roman"/>
          <w:b/>
          <w:bCs/>
          <w:sz w:val="24"/>
          <w:szCs w:val="24"/>
          <w:lang w:val="es-PE"/>
        </w:rPr>
        <w:t>Maccan</w:t>
      </w:r>
      <w:proofErr w:type="spellEnd"/>
      <w:r w:rsidRPr="009E7FFC">
        <w:rPr>
          <w:rFonts w:ascii="Times New Roman" w:hAnsi="Times New Roman" w:cs="Times New Roman"/>
          <w:b/>
          <w:bCs/>
          <w:sz w:val="24"/>
          <w:szCs w:val="24"/>
          <w:lang w:val="es-PE"/>
        </w:rPr>
        <w:t xml:space="preserve"> - </w:t>
      </w:r>
      <w:r w:rsidRPr="009E7FFC">
        <w:rPr>
          <w:rFonts w:ascii="Times New Roman" w:hAnsi="Times New Roman" w:cs="Times New Roman"/>
          <w:b/>
          <w:bCs/>
          <w:sz w:val="24"/>
          <w:szCs w:val="24"/>
          <w:lang w:val="es-PE"/>
        </w:rPr>
        <w:t>Vocal</w:t>
      </w:r>
    </w:p>
    <w:bookmarkEnd w:id="2"/>
    <w:p w14:paraId="13F685E1" w14:textId="77777777" w:rsidR="008B2E4F" w:rsidRPr="00F92849" w:rsidRDefault="008B2E4F" w:rsidP="00033B9E">
      <w:pPr>
        <w:spacing w:after="200" w:line="240" w:lineRule="auto"/>
        <w:jc w:val="center"/>
        <w:rPr>
          <w:rFonts w:ascii="Georgia" w:hAnsi="Georgia" w:cs="Times New Roman"/>
          <w:b/>
          <w:bCs/>
          <w:sz w:val="24"/>
          <w:szCs w:val="24"/>
          <w:lang w:val="es-PE"/>
        </w:rPr>
      </w:pPr>
    </w:p>
    <w:sectPr w:rsidR="008B2E4F" w:rsidRPr="00F92849" w:rsidSect="002019FA">
      <w:headerReference w:type="default" r:id="rId8"/>
      <w:footerReference w:type="default" r:id="rId9"/>
      <w:headerReference w:type="first" r:id="rId12"/>
      <w:footerReference w:type="first" r:id="rId13"/>
      <w:pgSz w:w="11906" w:h="16838" w:code="9"/>
      <w:pgMar w:top="1700" w:right="1420" w:bottom="1400" w:left="14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28A290" w14:textId="77777777" w:rsidR="00E54410" w:rsidRDefault="00E54410" w:rsidP="00784355">
      <w:pPr>
        <w:spacing w:after="0" w:line="240" w:lineRule="auto"/>
      </w:pPr>
      <w:r>
        <w:separator/>
      </w:r>
    </w:p>
  </w:endnote>
  <w:endnote w:type="continuationSeparator" w:id="0">
    <w:p w14:paraId="64F199CD" w14:textId="77777777" w:rsidR="00E54410" w:rsidRDefault="00E54410" w:rsidP="007843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Georgia" w:hAnsi="Georgia" w:cs="Times New Roman"/>
        <w:sz w:val="18"/>
        <w:szCs w:val="18"/>
      </w:rPr>
      <w:id w:val="-552618902"/>
      <w:docPartObj>
        <w:docPartGallery w:val="Page Numbers (Bottom of Page)"/>
        <w:docPartUnique/>
      </w:docPartObj>
    </w:sdtPr>
    <w:sdtContent>
      <w:sdt>
        <w:sdtPr>
          <w:rPr>
            <w:rFonts w:ascii="Georgia" w:hAnsi="Georgia" w:cs="Times New Roman"/>
            <w:sz w:val="18"/>
            <w:szCs w:val="18"/>
          </w:rPr>
          <w:id w:val="-1769616900"/>
          <w:docPartObj>
            <w:docPartGallery w:val="Page Numbers (Top of Page)"/>
            <w:docPartUnique/>
          </w:docPartObj>
        </w:sdtPr>
        <w:sdtContent>
          <w:p w14:paraId="1A7D4DE2" w14:textId="13C38AB9" w:rsidR="00C671F5" w:rsidRPr="006444A9" w:rsidRDefault="00C671F5">
            <w:pPr>
              <w:pStyle w:val="Piedepgina"/>
              <w:jc w:val="right"/>
              <w:rPr>
                <w:rFonts w:ascii="Georgia" w:hAnsi="Georgia" w:cs="Times New Roman"/>
                <w:sz w:val="18"/>
                <w:szCs w:val="18"/>
              </w:rPr>
            </w:pPr>
            <w:r w:rsidRPr="009E7FFC">
              <w:rPr>
                <w:rFonts w:ascii="Times New Roman" w:hAnsi="Times New Roman" w:cs="Times New Roman"/>
                <w:sz w:val="18"/>
                <w:szCs w:val="18"/>
                <w:lang w:val="es-ES"/>
              </w:rPr>
              <w:t xml:space="preserve">Página </w:t>
            </w:r>
            <w:r w:rsidRPr="009E7FFC">
              <w:rPr>
                <w:rFonts w:ascii="Times New Roman" w:hAnsi="Times New Roman" w:cs="Times New Roman"/>
                <w:b/>
                <w:bCs/>
                <w:sz w:val="18"/>
                <w:szCs w:val="18"/>
              </w:rPr>
              <w:fldChar w:fldCharType="begin"/>
            </w:r>
            <w:r w:rsidRPr="009E7FFC">
              <w:rPr>
                <w:rFonts w:ascii="Times New Roman" w:hAnsi="Times New Roman" w:cs="Times New Roman"/>
                <w:b/>
                <w:bCs/>
                <w:sz w:val="18"/>
                <w:szCs w:val="18"/>
              </w:rPr>
              <w:instrText>PAGE</w:instrText>
            </w:r>
            <w:r w:rsidRPr="009E7FFC">
              <w:rPr>
                <w:rFonts w:ascii="Times New Roman" w:hAnsi="Times New Roman" w:cs="Times New Roman"/>
                <w:b/>
                <w:bCs/>
                <w:sz w:val="18"/>
                <w:szCs w:val="18"/>
              </w:rPr>
              <w:fldChar w:fldCharType="separate"/>
            </w:r>
            <w:r w:rsidRPr="009E7FFC">
              <w:rPr>
                <w:rFonts w:ascii="Times New Roman" w:hAnsi="Times New Roman" w:cs="Times New Roman"/>
                <w:b/>
                <w:bCs/>
                <w:sz w:val="18"/>
                <w:szCs w:val="18"/>
                <w:lang w:val="es-ES"/>
              </w:rPr>
              <w:t>2</w:t>
            </w:r>
            <w:r w:rsidRPr="009E7FFC">
              <w:rPr>
                <w:rFonts w:ascii="Times New Roman" w:hAnsi="Times New Roman" w:cs="Times New Roman"/>
                <w:b/>
                <w:bCs/>
                <w:sz w:val="18"/>
                <w:szCs w:val="18"/>
              </w:rPr>
              <w:fldChar w:fldCharType="end"/>
            </w:r>
            <w:r w:rsidRPr="009E7FFC">
              <w:rPr>
                <w:rFonts w:ascii="Times New Roman" w:hAnsi="Times New Roman" w:cs="Times New Roman"/>
                <w:sz w:val="18"/>
                <w:szCs w:val="18"/>
                <w:lang w:val="es-ES"/>
              </w:rPr>
              <w:t xml:space="preserve"> de </w:t>
            </w:r>
            <w:r w:rsidRPr="009E7FFC">
              <w:rPr>
                <w:rFonts w:ascii="Times New Roman" w:hAnsi="Times New Roman" w:cs="Times New Roman"/>
                <w:b/>
                <w:bCs/>
                <w:sz w:val="18"/>
                <w:szCs w:val="18"/>
              </w:rPr>
              <w:fldChar w:fldCharType="begin"/>
            </w:r>
            <w:r w:rsidRPr="009E7FFC">
              <w:rPr>
                <w:rFonts w:ascii="Times New Roman" w:hAnsi="Times New Roman" w:cs="Times New Roman"/>
                <w:b/>
                <w:bCs/>
                <w:sz w:val="18"/>
                <w:szCs w:val="18"/>
              </w:rPr>
              <w:instrText>NUMPAGES</w:instrText>
            </w:r>
            <w:r w:rsidRPr="009E7FFC">
              <w:rPr>
                <w:rFonts w:ascii="Times New Roman" w:hAnsi="Times New Roman" w:cs="Times New Roman"/>
                <w:b/>
                <w:bCs/>
                <w:sz w:val="18"/>
                <w:szCs w:val="18"/>
              </w:rPr>
              <w:fldChar w:fldCharType="separate"/>
            </w:r>
            <w:r w:rsidRPr="009E7FFC">
              <w:rPr>
                <w:rFonts w:ascii="Times New Roman" w:hAnsi="Times New Roman" w:cs="Times New Roman"/>
                <w:b/>
                <w:bCs/>
                <w:sz w:val="18"/>
                <w:szCs w:val="18"/>
                <w:lang w:val="es-ES"/>
              </w:rPr>
              <w:t>2</w:t>
            </w:r>
            <w:r w:rsidRPr="009E7FFC">
              <w:rPr>
                <w:rFonts w:ascii="Times New Roman" w:hAnsi="Times New Roman" w:cs="Times New Roman"/>
                <w:b/>
                <w:bCs/>
                <w:sz w:val="18"/>
                <w:szCs w:val="18"/>
              </w:rPr>
              <w:fldChar w:fldCharType="end"/>
            </w:r>
          </w:p>
        </w:sdtContent>
      </w:sdt>
    </w:sdtContent>
  </w:sdt>
  <w:p w14:paraId="3BA05C52" w14:textId="77777777" w:rsidR="00784355" w:rsidRDefault="00784355">
    <w:pPr>
      <w:pStyle w:val="Piedepgina"/>
      <w:spacing w:line="240" w:lineRule="auto"/>
    </w:pP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852CA2" w14:textId="77777777" w:rsidR="00E54410" w:rsidRDefault="00E54410" w:rsidP="00784355">
      <w:pPr>
        <w:spacing w:after="0" w:line="240" w:lineRule="auto"/>
      </w:pPr>
      <w:r>
        <w:separator/>
      </w:r>
    </w:p>
  </w:footnote>
  <w:footnote w:type="continuationSeparator" w:id="0">
    <w:p w14:paraId="35B96710" w14:textId="77777777" w:rsidR="00E54410" w:rsidRDefault="00E54410" w:rsidP="00784355">
      <w:pPr>
        <w:spacing w:after="0" w:line="240" w:lineRule="auto"/>
      </w:pPr>
      <w:r>
        <w:continuationSeparator/>
      </w:r>
    </w:p>
  </w:footnote>
  <w:footnote w:id="1">
    <w:p w14:paraId="5026D32B" w14:textId="77777777" w:rsidR="001035ED" w:rsidRPr="009E7FFC" w:rsidRDefault="001035ED" w:rsidP="009E7FFC">
      <w:pPr>
        <w:pStyle w:val="Textonotapie"/>
        <w:tabs>
          <w:tab w:val="left" w:pos="284"/>
        </w:tabs>
        <w:spacing w:after="60"/>
        <w:ind w:left="284" w:hanging="284"/>
        <w:jc w:val="both"/>
        <w:rPr>
          <w:rFonts w:ascii="Times New Roman" w:hAnsi="Times New Roman" w:cs="Times New Roman"/>
          <w:b/>
          <w:bCs/>
          <w:sz w:val="18"/>
          <w:szCs w:val="18"/>
          <w:lang w:val="es-PE"/>
        </w:rPr>
      </w:pPr>
      <w:r w:rsidRPr="009E7FFC">
        <w:rPr>
          <w:rStyle w:val="Refdenotaalpie"/>
          <w:rFonts w:ascii="Times New Roman" w:hAnsi="Times New Roman" w:cs="Times New Roman"/>
          <w:sz w:val="18"/>
          <w:szCs w:val="18"/>
          <w:lang w:val="es-PE"/>
        </w:rPr>
        <w:footnoteRef/>
      </w:r>
      <w:r w:rsidRPr="009E7FFC">
        <w:rPr>
          <w:rFonts w:ascii="Times New Roman" w:hAnsi="Times New Roman" w:cs="Times New Roman"/>
          <w:sz w:val="18"/>
          <w:szCs w:val="18"/>
          <w:lang w:val="es-PE"/>
        </w:rPr>
        <w:t xml:space="preserve"> </w:t>
      </w:r>
      <w:r w:rsidRPr="009E7FFC">
        <w:rPr>
          <w:rFonts w:ascii="Times New Roman" w:hAnsi="Times New Roman" w:cs="Times New Roman"/>
          <w:sz w:val="18"/>
          <w:szCs w:val="18"/>
          <w:lang w:val="es-PE"/>
        </w:rPr>
        <w:tab/>
      </w:r>
      <w:r w:rsidRPr="009E7FFC">
        <w:rPr>
          <w:rFonts w:ascii="Times New Roman" w:hAnsi="Times New Roman" w:cs="Times New Roman"/>
          <w:b/>
          <w:bCs/>
          <w:sz w:val="18"/>
          <w:szCs w:val="18"/>
          <w:lang w:val="es-PE"/>
        </w:rPr>
        <w:t>Reglamento de DEFASEG</w:t>
      </w:r>
    </w:p>
    <w:p w14:paraId="7C7FF2C2" w14:textId="77777777" w:rsidR="001035ED" w:rsidRPr="009E7FFC" w:rsidRDefault="001035ED" w:rsidP="009E7FFC">
      <w:pPr>
        <w:pStyle w:val="Textonotapie"/>
        <w:tabs>
          <w:tab w:val="left" w:pos="284"/>
        </w:tabs>
        <w:spacing w:after="60"/>
        <w:ind w:left="284" w:hanging="284"/>
        <w:jc w:val="both"/>
        <w:rPr>
          <w:rFonts w:ascii="Times New Roman" w:hAnsi="Times New Roman" w:cs="Times New Roman"/>
          <w:b/>
          <w:bCs/>
          <w:sz w:val="18"/>
          <w:szCs w:val="18"/>
          <w:lang w:val="es-PE"/>
        </w:rPr>
      </w:pPr>
      <w:r w:rsidRPr="009E7FFC">
        <w:rPr>
          <w:rFonts w:ascii="Times New Roman" w:hAnsi="Times New Roman" w:cs="Times New Roman"/>
          <w:sz w:val="18"/>
          <w:szCs w:val="18"/>
          <w:lang w:val="es-PE"/>
        </w:rPr>
        <w:tab/>
      </w:r>
      <w:r w:rsidRPr="009E7FFC">
        <w:rPr>
          <w:rFonts w:ascii="Times New Roman" w:hAnsi="Times New Roman" w:cs="Times New Roman"/>
          <w:b/>
          <w:bCs/>
          <w:sz w:val="18"/>
          <w:szCs w:val="18"/>
          <w:lang w:val="es-PE"/>
        </w:rPr>
        <w:t>10. Procedimiento</w:t>
      </w:r>
    </w:p>
    <w:p w14:paraId="5390EA05" w14:textId="77777777" w:rsidR="001035ED" w:rsidRPr="009E7FFC" w:rsidRDefault="001035ED" w:rsidP="009E7FFC">
      <w:pPr>
        <w:pStyle w:val="Textonotapie"/>
        <w:tabs>
          <w:tab w:val="left" w:pos="284"/>
        </w:tabs>
        <w:spacing w:after="60"/>
        <w:ind w:left="284" w:hanging="284"/>
        <w:jc w:val="both"/>
        <w:rPr>
          <w:rFonts w:ascii="Times New Roman" w:hAnsi="Times New Roman" w:cs="Times New Roman"/>
          <w:sz w:val="18"/>
          <w:szCs w:val="18"/>
          <w:lang w:val="es-PE"/>
        </w:rPr>
      </w:pPr>
      <w:r w:rsidRPr="009E7FFC">
        <w:rPr>
          <w:rFonts w:ascii="Times New Roman" w:hAnsi="Times New Roman" w:cs="Times New Roman"/>
          <w:sz w:val="18"/>
          <w:szCs w:val="18"/>
          <w:lang w:val="es-PE"/>
        </w:rPr>
        <w:tab/>
        <w:t>(…)</w:t>
      </w:r>
    </w:p>
    <w:p w14:paraId="796EB13B" w14:textId="77777777" w:rsidR="001035ED" w:rsidRPr="009E7FFC" w:rsidRDefault="001035ED" w:rsidP="009E7FFC">
      <w:pPr>
        <w:pStyle w:val="Textonotapie"/>
        <w:tabs>
          <w:tab w:val="left" w:pos="284"/>
        </w:tabs>
        <w:spacing w:after="60"/>
        <w:ind w:left="284" w:hanging="284"/>
        <w:jc w:val="both"/>
        <w:rPr>
          <w:rFonts w:ascii="Times New Roman" w:hAnsi="Times New Roman" w:cs="Times New Roman"/>
          <w:sz w:val="18"/>
          <w:szCs w:val="18"/>
          <w:lang w:val="es-PE"/>
        </w:rPr>
      </w:pPr>
      <w:r w:rsidRPr="009E7FFC">
        <w:rPr>
          <w:rFonts w:ascii="Times New Roman" w:hAnsi="Times New Roman" w:cs="Times New Roman"/>
          <w:sz w:val="18"/>
          <w:szCs w:val="18"/>
          <w:lang w:val="es-PE"/>
        </w:rPr>
        <w:tab/>
        <w:t xml:space="preserve">En caso cualquiera de las partes no se encuentre conforme con la decisión adoptada, podrá impugnarla, en el plazo de cinco (5) días hábiles de notificada. </w:t>
      </w:r>
    </w:p>
    <w:p w14:paraId="26922876" w14:textId="77777777" w:rsidR="001035ED" w:rsidRPr="009E7FFC" w:rsidRDefault="001035ED" w:rsidP="009E7FFC">
      <w:pPr>
        <w:pStyle w:val="Textonotapie"/>
        <w:tabs>
          <w:tab w:val="left" w:pos="284"/>
        </w:tabs>
        <w:spacing w:after="120"/>
        <w:ind w:left="284" w:hanging="284"/>
        <w:jc w:val="both"/>
        <w:rPr>
          <w:rFonts w:ascii="Times New Roman" w:hAnsi="Times New Roman" w:cs="Times New Roman"/>
          <w:sz w:val="18"/>
          <w:szCs w:val="18"/>
          <w:lang w:val="es-PE"/>
        </w:rPr>
      </w:pPr>
      <w:r w:rsidRPr="009E7FFC">
        <w:rPr>
          <w:rFonts w:ascii="Times New Roman" w:hAnsi="Times New Roman" w:cs="Times New Roman"/>
          <w:sz w:val="18"/>
          <w:szCs w:val="18"/>
          <w:lang w:val="es-PE"/>
        </w:rPr>
        <w:tab/>
        <w:t>Recibido el recurso, la Defensoría correrá traslado a la otra parte por el plazo de cinco (5) días hábiles para que exprese su posición.</w:t>
      </w:r>
    </w:p>
  </w:footnote>
  <w:footnote w:id="2">
    <w:p w14:paraId="38CE580C" w14:textId="77777777" w:rsidR="00745039" w:rsidRPr="009E7FFC" w:rsidRDefault="00745039" w:rsidP="009E7FFC">
      <w:pPr>
        <w:pStyle w:val="Textonotapie"/>
        <w:tabs>
          <w:tab w:val="left" w:pos="284"/>
        </w:tabs>
        <w:spacing w:after="60"/>
        <w:ind w:left="284" w:hanging="284"/>
        <w:jc w:val="both"/>
        <w:rPr>
          <w:rFonts w:ascii="Times New Roman" w:hAnsi="Times New Roman" w:cs="Times New Roman"/>
          <w:sz w:val="18"/>
          <w:szCs w:val="18"/>
          <w:lang w:val="es-PE"/>
        </w:rPr>
      </w:pPr>
      <w:r w:rsidRPr="009E7FFC">
        <w:rPr>
          <w:rStyle w:val="Refdenotaalpie"/>
          <w:rFonts w:ascii="Times New Roman" w:hAnsi="Times New Roman" w:cs="Times New Roman"/>
          <w:sz w:val="18"/>
          <w:szCs w:val="18"/>
          <w:lang w:val="es-PE"/>
        </w:rPr>
        <w:footnoteRef/>
      </w:r>
      <w:r w:rsidRPr="009E7FFC">
        <w:rPr>
          <w:rFonts w:ascii="Times New Roman" w:hAnsi="Times New Roman" w:cs="Times New Roman"/>
          <w:sz w:val="18"/>
          <w:szCs w:val="18"/>
          <w:lang w:val="es-PE"/>
        </w:rPr>
        <w:t xml:space="preserve"> </w:t>
      </w:r>
      <w:r w:rsidRPr="009E7FFC">
        <w:rPr>
          <w:rFonts w:ascii="Times New Roman" w:hAnsi="Times New Roman" w:cs="Times New Roman"/>
          <w:sz w:val="18"/>
          <w:szCs w:val="18"/>
          <w:lang w:val="es-PE"/>
        </w:rPr>
        <w:tab/>
      </w:r>
      <w:r w:rsidRPr="009E7FFC">
        <w:rPr>
          <w:rFonts w:ascii="Times New Roman" w:hAnsi="Times New Roman" w:cs="Times New Roman"/>
          <w:b/>
          <w:bCs/>
          <w:sz w:val="18"/>
          <w:szCs w:val="18"/>
          <w:lang w:val="es-PE"/>
        </w:rPr>
        <w:t>Ley del Contrato de Seguro</w:t>
      </w:r>
    </w:p>
    <w:p w14:paraId="5F14A4B7" w14:textId="77777777" w:rsidR="00745039" w:rsidRPr="009E7FFC" w:rsidRDefault="00745039" w:rsidP="009E7FFC">
      <w:pPr>
        <w:pStyle w:val="Textonotapie"/>
        <w:tabs>
          <w:tab w:val="left" w:pos="284"/>
        </w:tabs>
        <w:spacing w:after="60"/>
        <w:ind w:left="284" w:hanging="284"/>
        <w:jc w:val="both"/>
        <w:rPr>
          <w:rFonts w:ascii="Times New Roman" w:hAnsi="Times New Roman" w:cs="Times New Roman"/>
          <w:b/>
          <w:bCs/>
          <w:sz w:val="18"/>
          <w:szCs w:val="18"/>
          <w:lang w:val="es-PE"/>
        </w:rPr>
      </w:pPr>
      <w:r w:rsidRPr="009E7FFC">
        <w:rPr>
          <w:rFonts w:ascii="Times New Roman" w:hAnsi="Times New Roman" w:cs="Times New Roman"/>
          <w:sz w:val="18"/>
          <w:szCs w:val="18"/>
          <w:lang w:val="es-PE"/>
        </w:rPr>
        <w:tab/>
      </w:r>
      <w:r w:rsidRPr="009E7FFC">
        <w:rPr>
          <w:rFonts w:ascii="Times New Roman" w:hAnsi="Times New Roman" w:cs="Times New Roman"/>
          <w:b/>
          <w:bCs/>
          <w:sz w:val="18"/>
          <w:szCs w:val="18"/>
          <w:lang w:val="es-PE"/>
        </w:rPr>
        <w:t>Artículo 73.- Fraude</w:t>
      </w:r>
    </w:p>
    <w:p w14:paraId="35FFF0F3" w14:textId="77777777" w:rsidR="00745039" w:rsidRPr="009E7FFC" w:rsidRDefault="00745039" w:rsidP="009E7FFC">
      <w:pPr>
        <w:pStyle w:val="Textonotapie"/>
        <w:tabs>
          <w:tab w:val="left" w:pos="284"/>
        </w:tabs>
        <w:spacing w:after="120"/>
        <w:ind w:left="284" w:hanging="284"/>
        <w:jc w:val="both"/>
        <w:rPr>
          <w:rFonts w:ascii="Times New Roman" w:hAnsi="Times New Roman" w:cs="Times New Roman"/>
          <w:sz w:val="18"/>
          <w:szCs w:val="18"/>
          <w:lang w:val="es-PE"/>
        </w:rPr>
      </w:pPr>
      <w:r w:rsidRPr="009E7FFC">
        <w:rPr>
          <w:rFonts w:ascii="Times New Roman" w:hAnsi="Times New Roman" w:cs="Times New Roman"/>
          <w:sz w:val="18"/>
          <w:szCs w:val="18"/>
          <w:lang w:val="es-PE"/>
        </w:rPr>
        <w:tab/>
        <w:t>El asegurado pierde el derecho a ser indemnizado si actúa fraudulentamente, exagera los daños o emplea medios falsos para probarlos.</w:t>
      </w:r>
    </w:p>
  </w:footnote>
  <w:footnote w:id="3">
    <w:p w14:paraId="2746CE78" w14:textId="77777777" w:rsidR="00BD68AF" w:rsidRPr="009E7FFC" w:rsidRDefault="00BD68AF" w:rsidP="009E7FFC">
      <w:pPr>
        <w:pStyle w:val="Textonotapie"/>
        <w:tabs>
          <w:tab w:val="left" w:pos="284"/>
        </w:tabs>
        <w:spacing w:after="60"/>
        <w:ind w:left="284" w:hanging="284"/>
        <w:jc w:val="both"/>
        <w:rPr>
          <w:rFonts w:ascii="Times New Roman" w:hAnsi="Times New Roman" w:cs="Times New Roman"/>
          <w:sz w:val="18"/>
          <w:szCs w:val="18"/>
          <w:lang w:val="es-PE"/>
        </w:rPr>
      </w:pPr>
      <w:r w:rsidRPr="009E7FFC">
        <w:rPr>
          <w:rStyle w:val="Refdenotaalpie"/>
          <w:rFonts w:ascii="Times New Roman" w:hAnsi="Times New Roman" w:cs="Times New Roman"/>
          <w:sz w:val="18"/>
          <w:szCs w:val="18"/>
          <w:lang w:val="es-PE"/>
        </w:rPr>
        <w:footnoteRef/>
      </w:r>
      <w:r w:rsidRPr="009E7FFC">
        <w:rPr>
          <w:rFonts w:ascii="Times New Roman" w:hAnsi="Times New Roman" w:cs="Times New Roman"/>
          <w:sz w:val="18"/>
          <w:szCs w:val="18"/>
          <w:lang w:val="es-PE"/>
        </w:rPr>
        <w:t xml:space="preserve"> </w:t>
      </w:r>
      <w:r w:rsidRPr="009E7FFC">
        <w:rPr>
          <w:rFonts w:ascii="Times New Roman" w:hAnsi="Times New Roman" w:cs="Times New Roman"/>
          <w:sz w:val="18"/>
          <w:szCs w:val="18"/>
          <w:lang w:val="es-PE"/>
        </w:rPr>
        <w:tab/>
      </w:r>
      <w:r w:rsidRPr="009E7FFC">
        <w:rPr>
          <w:rFonts w:ascii="Times New Roman" w:hAnsi="Times New Roman" w:cs="Times New Roman"/>
          <w:b/>
          <w:bCs/>
          <w:sz w:val="18"/>
          <w:szCs w:val="18"/>
          <w:lang w:val="es-PE"/>
        </w:rPr>
        <w:t>Ley del Contrato de Seguro</w:t>
      </w:r>
    </w:p>
    <w:p w14:paraId="626B8D16" w14:textId="77777777" w:rsidR="00BD68AF" w:rsidRPr="009E7FFC" w:rsidRDefault="00BD68AF" w:rsidP="009E7FFC">
      <w:pPr>
        <w:pStyle w:val="Textonotapie"/>
        <w:tabs>
          <w:tab w:val="left" w:pos="284"/>
        </w:tabs>
        <w:spacing w:after="60"/>
        <w:ind w:left="284" w:hanging="284"/>
        <w:jc w:val="both"/>
        <w:rPr>
          <w:rFonts w:ascii="Times New Roman" w:hAnsi="Times New Roman" w:cs="Times New Roman"/>
          <w:b/>
          <w:bCs/>
          <w:sz w:val="18"/>
          <w:szCs w:val="18"/>
          <w:lang w:val="es-PE"/>
        </w:rPr>
      </w:pPr>
      <w:r w:rsidRPr="009E7FFC">
        <w:rPr>
          <w:rFonts w:ascii="Times New Roman" w:hAnsi="Times New Roman" w:cs="Times New Roman"/>
          <w:b/>
          <w:bCs/>
          <w:sz w:val="18"/>
          <w:szCs w:val="18"/>
          <w:lang w:val="es-PE"/>
        </w:rPr>
        <w:tab/>
        <w:t>Artículo 69.- Informaciones</w:t>
      </w:r>
    </w:p>
    <w:p w14:paraId="5310675F" w14:textId="77777777" w:rsidR="00BD68AF" w:rsidRPr="009E7FFC" w:rsidRDefault="00BD68AF" w:rsidP="009E7FFC">
      <w:pPr>
        <w:pStyle w:val="Textonotapie"/>
        <w:tabs>
          <w:tab w:val="left" w:pos="284"/>
        </w:tabs>
        <w:spacing w:after="120"/>
        <w:ind w:left="284" w:hanging="284"/>
        <w:jc w:val="both"/>
        <w:rPr>
          <w:rFonts w:ascii="Times New Roman" w:hAnsi="Times New Roman" w:cs="Times New Roman"/>
          <w:sz w:val="18"/>
          <w:szCs w:val="18"/>
          <w:lang w:val="es-PE"/>
        </w:rPr>
      </w:pPr>
      <w:r w:rsidRPr="009E7FFC">
        <w:rPr>
          <w:rFonts w:ascii="Times New Roman" w:hAnsi="Times New Roman" w:cs="Times New Roman"/>
          <w:sz w:val="18"/>
          <w:szCs w:val="18"/>
          <w:lang w:val="es-PE"/>
        </w:rPr>
        <w:tab/>
        <w:t xml:space="preserve">Sin perjuicio de lo dispuesto en el artículo anterior, el contratante, el asegurado o el beneficiario deben suministrar al asegurador, a su pedido, la información veraz, razonable y necesaria para verificar el siniestro o la extensión de la prestación a su cargo y </w:t>
      </w:r>
      <w:proofErr w:type="gramStart"/>
      <w:r w:rsidRPr="009E7FFC">
        <w:rPr>
          <w:rFonts w:ascii="Times New Roman" w:hAnsi="Times New Roman" w:cs="Times New Roman"/>
          <w:sz w:val="18"/>
          <w:szCs w:val="18"/>
          <w:lang w:val="es-PE"/>
        </w:rPr>
        <w:t>permitirle</w:t>
      </w:r>
      <w:proofErr w:type="gramEnd"/>
      <w:r w:rsidRPr="009E7FFC">
        <w:rPr>
          <w:rFonts w:ascii="Times New Roman" w:hAnsi="Times New Roman" w:cs="Times New Roman"/>
          <w:sz w:val="18"/>
          <w:szCs w:val="18"/>
          <w:lang w:val="es-PE"/>
        </w:rPr>
        <w:t xml:space="preserve"> las indagaciones necesarias a tales fines.</w:t>
      </w:r>
    </w:p>
  </w:footnote>
  <w:footnote w:id="4">
    <w:p w14:paraId="0A83C407" w14:textId="25891728" w:rsidR="00E765BF" w:rsidRPr="009E7FFC" w:rsidRDefault="00E765BF" w:rsidP="009E7FFC">
      <w:pPr>
        <w:pStyle w:val="Textonotapie"/>
        <w:tabs>
          <w:tab w:val="left" w:pos="284"/>
        </w:tabs>
        <w:spacing w:after="120"/>
        <w:ind w:left="284" w:hanging="284"/>
        <w:jc w:val="both"/>
        <w:rPr>
          <w:rFonts w:ascii="Times New Roman" w:hAnsi="Times New Roman" w:cs="Times New Roman"/>
          <w:sz w:val="18"/>
          <w:szCs w:val="18"/>
          <w:lang w:val="es-PE"/>
        </w:rPr>
      </w:pPr>
      <w:r w:rsidRPr="009E7FFC">
        <w:rPr>
          <w:rStyle w:val="Refdenotaalpie"/>
          <w:rFonts w:ascii="Times New Roman" w:hAnsi="Times New Roman" w:cs="Times New Roman"/>
          <w:sz w:val="18"/>
          <w:szCs w:val="18"/>
          <w:lang w:val="es-PE"/>
        </w:rPr>
        <w:footnoteRef/>
      </w:r>
      <w:r w:rsidRPr="009E7FFC">
        <w:rPr>
          <w:rFonts w:ascii="Times New Roman" w:hAnsi="Times New Roman" w:cs="Times New Roman"/>
          <w:sz w:val="18"/>
          <w:szCs w:val="18"/>
          <w:lang w:val="es-PE"/>
        </w:rPr>
        <w:t xml:space="preserve"> </w:t>
      </w:r>
      <w:r w:rsidRPr="009E7FFC">
        <w:rPr>
          <w:rFonts w:ascii="Times New Roman" w:hAnsi="Times New Roman" w:cs="Times New Roman"/>
          <w:sz w:val="18"/>
          <w:szCs w:val="18"/>
          <w:lang w:val="es-PE"/>
        </w:rPr>
        <w:tab/>
      </w:r>
      <w:proofErr w:type="gramStart"/>
      <w:r w:rsidRPr="009E7FFC">
        <w:rPr>
          <w:rFonts w:ascii="Times New Roman" w:hAnsi="Times New Roman" w:cs="Times New Roman"/>
          <w:sz w:val="18"/>
          <w:szCs w:val="18"/>
          <w:lang w:val="es-PE"/>
        </w:rPr>
        <w:t>Véase</w:t>
      </w:r>
      <w:proofErr w:type="gramEnd"/>
      <w:r w:rsidRPr="009E7FFC">
        <w:rPr>
          <w:rFonts w:ascii="Times New Roman" w:hAnsi="Times New Roman" w:cs="Times New Roman"/>
          <w:sz w:val="18"/>
          <w:szCs w:val="18"/>
          <w:lang w:val="es-PE"/>
        </w:rPr>
        <w:t xml:space="preserve"> por ejemplo, Resolución DEFASEG n.° 40/25 (</w:t>
      </w:r>
      <w:r w:rsidRPr="009E7FFC">
        <w:rPr>
          <w:rFonts w:ascii="Times New Roman" w:hAnsi="Times New Roman" w:cs="Times New Roman"/>
          <w:i/>
          <w:iCs/>
          <w:sz w:val="18"/>
          <w:szCs w:val="18"/>
          <w:u w:val="single"/>
          <w:lang w:val="es-PE"/>
        </w:rPr>
        <w:t xml:space="preserve">Expediente n.° 6279, Caso Paredes </w:t>
      </w:r>
      <w:r w:rsidR="00C810CC" w:rsidRPr="009E7FFC">
        <w:rPr>
          <w:rFonts w:ascii="Times New Roman" w:hAnsi="Times New Roman" w:cs="Times New Roman"/>
          <w:i/>
          <w:iCs/>
          <w:sz w:val="18"/>
          <w:szCs w:val="18"/>
          <w:u w:val="single"/>
          <w:lang w:val="es-PE"/>
        </w:rPr>
        <w:t>C</w:t>
      </w:r>
      <w:r w:rsidRPr="009E7FFC">
        <w:rPr>
          <w:rFonts w:ascii="Times New Roman" w:hAnsi="Times New Roman" w:cs="Times New Roman"/>
          <w:i/>
          <w:iCs/>
          <w:sz w:val="18"/>
          <w:szCs w:val="18"/>
          <w:u w:val="single"/>
          <w:lang w:val="es-PE"/>
        </w:rPr>
        <w:t>olorado v</w:t>
      </w:r>
      <w:bookmarkStart w:id="3" w:name="OLE_LINK2"/>
      <w:r w:rsidRPr="009E7FFC">
        <w:rPr>
          <w:rFonts w:ascii="Times New Roman" w:hAnsi="Times New Roman" w:cs="Times New Roman"/>
          <w:i/>
          <w:iCs/>
          <w:sz w:val="18"/>
          <w:szCs w:val="18"/>
          <w:u w:val="single"/>
          <w:lang w:val="es-PE"/>
        </w:rPr>
        <w:t>. Interseguro</w:t>
      </w:r>
      <w:r w:rsidRPr="009E7FFC">
        <w:rPr>
          <w:rFonts w:ascii="Times New Roman" w:hAnsi="Times New Roman" w:cs="Times New Roman"/>
          <w:sz w:val="18"/>
          <w:szCs w:val="18"/>
          <w:lang w:val="es-PE"/>
        </w:rPr>
        <w:t xml:space="preserve">) del </w:t>
      </w:r>
      <w:bookmarkEnd w:id="3"/>
      <w:r w:rsidRPr="009E7FFC">
        <w:rPr>
          <w:rFonts w:ascii="Times New Roman" w:hAnsi="Times New Roman" w:cs="Times New Roman"/>
          <w:sz w:val="18"/>
          <w:szCs w:val="18"/>
          <w:lang w:val="es-PE"/>
        </w:rPr>
        <w:t>4 de agosto de 2025.</w:t>
      </w:r>
    </w:p>
  </w:footnote>
  <w:footnote w:id="5">
    <w:p w14:paraId="63F46C6D" w14:textId="22F2B1B5" w:rsidR="00B25701" w:rsidRPr="00B25701" w:rsidRDefault="00B25701" w:rsidP="009E7FFC">
      <w:pPr>
        <w:pStyle w:val="Textonotapie"/>
        <w:tabs>
          <w:tab w:val="left" w:pos="284"/>
        </w:tabs>
        <w:spacing w:after="120"/>
        <w:ind w:left="284" w:hanging="284"/>
        <w:jc w:val="both"/>
        <w:rPr>
          <w:lang w:val="es-MX"/>
        </w:rPr>
      </w:pPr>
      <w:r w:rsidRPr="009E7FFC">
        <w:rPr>
          <w:rStyle w:val="Refdenotaalpie"/>
          <w:rFonts w:ascii="Times New Roman" w:hAnsi="Times New Roman" w:cs="Times New Roman"/>
          <w:sz w:val="18"/>
          <w:szCs w:val="18"/>
        </w:rPr>
        <w:footnoteRef/>
      </w:r>
      <w:r w:rsidRPr="009E7FFC">
        <w:rPr>
          <w:rFonts w:ascii="Times New Roman" w:hAnsi="Times New Roman" w:cs="Times New Roman"/>
          <w:sz w:val="18"/>
          <w:szCs w:val="18"/>
        </w:rPr>
        <w:t xml:space="preserve"> </w:t>
      </w:r>
      <w:r w:rsidRPr="009E7FFC">
        <w:rPr>
          <w:rFonts w:ascii="Times New Roman" w:hAnsi="Times New Roman" w:cs="Times New Roman"/>
          <w:sz w:val="18"/>
          <w:szCs w:val="18"/>
        </w:rPr>
        <w:tab/>
      </w:r>
      <w:proofErr w:type="gramStart"/>
      <w:r w:rsidRPr="009E7FFC">
        <w:rPr>
          <w:rFonts w:ascii="Times New Roman" w:hAnsi="Times New Roman" w:cs="Times New Roman"/>
          <w:sz w:val="18"/>
          <w:szCs w:val="18"/>
          <w:lang w:val="es-PE"/>
        </w:rPr>
        <w:t>Véase</w:t>
      </w:r>
      <w:proofErr w:type="gramEnd"/>
      <w:r w:rsidRPr="009E7FFC">
        <w:rPr>
          <w:rFonts w:ascii="Times New Roman" w:hAnsi="Times New Roman" w:cs="Times New Roman"/>
          <w:sz w:val="18"/>
          <w:szCs w:val="18"/>
          <w:lang w:val="es-PE"/>
        </w:rPr>
        <w:t xml:space="preserve"> por ejemplo, Resolución DEFASEG n.° </w:t>
      </w:r>
      <w:r w:rsidR="00C810CC" w:rsidRPr="009E7FFC">
        <w:rPr>
          <w:rFonts w:ascii="Times New Roman" w:hAnsi="Times New Roman" w:cs="Times New Roman"/>
          <w:sz w:val="18"/>
          <w:szCs w:val="18"/>
          <w:lang w:val="es-PE"/>
        </w:rPr>
        <w:t>90</w:t>
      </w:r>
      <w:r w:rsidRPr="009E7FFC">
        <w:rPr>
          <w:rFonts w:ascii="Times New Roman" w:hAnsi="Times New Roman" w:cs="Times New Roman"/>
          <w:sz w:val="18"/>
          <w:szCs w:val="18"/>
          <w:lang w:val="es-PE"/>
        </w:rPr>
        <w:t>/25 (</w:t>
      </w:r>
      <w:r w:rsidRPr="009E7FFC">
        <w:rPr>
          <w:rFonts w:ascii="Times New Roman" w:hAnsi="Times New Roman" w:cs="Times New Roman"/>
          <w:i/>
          <w:iCs/>
          <w:sz w:val="18"/>
          <w:szCs w:val="18"/>
          <w:u w:val="single"/>
          <w:lang w:val="es-PE"/>
        </w:rPr>
        <w:t xml:space="preserve">Expediente n.° 6279, </w:t>
      </w:r>
      <w:r w:rsidR="00C810CC" w:rsidRPr="009E7FFC">
        <w:rPr>
          <w:rFonts w:ascii="Times New Roman" w:hAnsi="Times New Roman" w:cs="Times New Roman"/>
          <w:i/>
          <w:iCs/>
          <w:sz w:val="18"/>
          <w:szCs w:val="18"/>
          <w:u w:val="single"/>
          <w:lang w:val="es-PE"/>
        </w:rPr>
        <w:t xml:space="preserve">Huamán Quispe </w:t>
      </w:r>
      <w:r w:rsidRPr="009E7FFC">
        <w:rPr>
          <w:rFonts w:ascii="Times New Roman" w:hAnsi="Times New Roman" w:cs="Times New Roman"/>
          <w:i/>
          <w:iCs/>
          <w:sz w:val="18"/>
          <w:szCs w:val="18"/>
          <w:u w:val="single"/>
          <w:lang w:val="es-PE"/>
        </w:rPr>
        <w:t>v. Interseguro</w:t>
      </w:r>
      <w:r w:rsidRPr="009E7FFC">
        <w:rPr>
          <w:rFonts w:ascii="Times New Roman" w:hAnsi="Times New Roman" w:cs="Times New Roman"/>
          <w:sz w:val="18"/>
          <w:szCs w:val="18"/>
          <w:lang w:val="es-PE"/>
        </w:rPr>
        <w:t xml:space="preserve">) del </w:t>
      </w:r>
      <w:r w:rsidR="00C810CC" w:rsidRPr="009E7FFC">
        <w:rPr>
          <w:rFonts w:ascii="Times New Roman" w:hAnsi="Times New Roman" w:cs="Times New Roman"/>
          <w:sz w:val="18"/>
          <w:szCs w:val="18"/>
          <w:lang w:val="es-PE"/>
        </w:rPr>
        <w:t>17</w:t>
      </w:r>
      <w:r w:rsidRPr="009E7FFC">
        <w:rPr>
          <w:rFonts w:ascii="Times New Roman" w:hAnsi="Times New Roman" w:cs="Times New Roman"/>
          <w:sz w:val="18"/>
          <w:szCs w:val="18"/>
          <w:lang w:val="es-PE"/>
        </w:rPr>
        <w:t xml:space="preserve"> de </w:t>
      </w:r>
      <w:r w:rsidR="00C810CC" w:rsidRPr="009E7FFC">
        <w:rPr>
          <w:rFonts w:ascii="Times New Roman" w:hAnsi="Times New Roman" w:cs="Times New Roman"/>
          <w:sz w:val="18"/>
          <w:szCs w:val="18"/>
          <w:lang w:val="es-PE"/>
        </w:rPr>
        <w:t xml:space="preserve">junio </w:t>
      </w:r>
      <w:r w:rsidRPr="009E7FFC">
        <w:rPr>
          <w:rFonts w:ascii="Times New Roman" w:hAnsi="Times New Roman" w:cs="Times New Roman"/>
          <w:sz w:val="18"/>
          <w:szCs w:val="18"/>
          <w:lang w:val="es-PE"/>
        </w:rPr>
        <w:t>de 2025</w:t>
      </w:r>
      <w:r w:rsidR="00C810CC" w:rsidRPr="009E7FFC">
        <w:rPr>
          <w:rFonts w:ascii="Times New Roman" w:hAnsi="Times New Roman" w:cs="Times New Roman"/>
          <w:sz w:val="18"/>
          <w:szCs w:val="18"/>
          <w:lang w:val="es-PE"/>
        </w:rPr>
        <w:t>; y, Resolución DEFASEG n.° 88/25 (</w:t>
      </w:r>
      <w:r w:rsidR="00C810CC" w:rsidRPr="009E7FFC">
        <w:rPr>
          <w:rFonts w:ascii="Times New Roman" w:hAnsi="Times New Roman" w:cs="Times New Roman"/>
          <w:i/>
          <w:iCs/>
          <w:sz w:val="18"/>
          <w:szCs w:val="18"/>
          <w:u w:val="single"/>
          <w:lang w:val="es-PE"/>
        </w:rPr>
        <w:t xml:space="preserve">Expediente n.° 6100, </w:t>
      </w:r>
      <w:r w:rsidR="00C810CC" w:rsidRPr="009E7FFC">
        <w:rPr>
          <w:rFonts w:ascii="Times New Roman" w:hAnsi="Times New Roman" w:cs="Times New Roman"/>
          <w:sz w:val="18"/>
          <w:szCs w:val="18"/>
          <w:u w:val="single"/>
          <w:lang w:val="es-PE"/>
        </w:rPr>
        <w:t>López Pérez</w:t>
      </w:r>
      <w:r w:rsidR="00C810CC" w:rsidRPr="009E7FFC">
        <w:rPr>
          <w:rFonts w:ascii="Times New Roman" w:hAnsi="Times New Roman" w:cs="Times New Roman"/>
          <w:i/>
          <w:iCs/>
          <w:sz w:val="18"/>
          <w:szCs w:val="18"/>
          <w:u w:val="single"/>
          <w:lang w:val="es-PE"/>
        </w:rPr>
        <w:t xml:space="preserve"> v. Interseguro</w:t>
      </w:r>
      <w:r w:rsidR="00C810CC" w:rsidRPr="009E7FFC">
        <w:rPr>
          <w:rFonts w:ascii="Times New Roman" w:hAnsi="Times New Roman" w:cs="Times New Roman"/>
          <w:sz w:val="18"/>
          <w:szCs w:val="18"/>
          <w:lang w:val="es-PE"/>
        </w:rPr>
        <w:t>) del 9 de junio de 2025</w:t>
      </w:r>
      <w:r w:rsidRPr="009E7FFC">
        <w:rPr>
          <w:rFonts w:ascii="Times New Roman" w:hAnsi="Times New Roman" w:cs="Times New Roman"/>
          <w:sz w:val="18"/>
          <w:szCs w:val="18"/>
          <w:lang w:val="es-P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10BC29" w14:textId="579E5393" w:rsidR="00C671F5" w:rsidRDefault="00C671F5">
    <w:pPr>
      <w:pStyle w:val="Encabezado"/>
      <w:spacing w:line="240" w:lineRule="auto"/>
      <w:jc w:val="left"/>
    </w:pPr>
    <w:r>
      <w:rPr>
        <w:rFonts w:ascii="Times New Roman" w:hAnsi="Times New Roman"/>
        <w:sz w:val="24"/>
      </w:rPr>
      <w:t xml:space="preserve"/>
    </w:r>
    <w:r>
      <w:rPr>
        <w:rFonts w:ascii="Times New Roman" w:hAnsi="Times New Roman"/>
        <w:sz w:val="24"/>
      </w:rPr>
      <w:drawing>
        <wp:inline xmlns:a="http://schemas.openxmlformats.org/drawingml/2006/main" xmlns:pic="http://schemas.openxmlformats.org/drawingml/2006/picture">
          <wp:extent cx="2468880" cy="832529"/>
          <wp:docPr id="1" name="Picture 1"/>
          <wp:cNvGraphicFramePr>
            <a:graphicFrameLocks noChangeAspect="1"/>
          </wp:cNvGraphicFramePr>
          <a:graphic>
            <a:graphicData uri="http://schemas.openxmlformats.org/drawingml/2006/picture">
              <pic:pic>
                <pic:nvPicPr>
                  <pic:cNvPr id="0" name="fa177bcd-12e5-48bd-b0d9-586eed564aa5.png"/>
                  <pic:cNvPicPr/>
                </pic:nvPicPr>
                <pic:blipFill>
                  <a:blip r:embed="rId2"/>
                  <a:stretch>
                    <a:fillRect/>
                  </a:stretch>
                </pic:blipFill>
                <pic:spPr>
                  <a:xfrm>
                    <a:off x="0" y="0"/>
                    <a:ext cx="2468880" cy="832529"/>
                  </a:xfrm>
                  <a:prstGeom prst="rect"/>
                </pic:spPr>
              </pic:pic>
            </a:graphicData>
          </a:graphic>
        </wp:inline>
      </w:drawing>
    </w:r>
  </w:p>
  <w:p w14:paraId="52A8D4E0" w14:textId="77777777" w:rsidR="00C671F5" w:rsidRDefault="00C671F5">
    <w:pPr>
      <w:pStyle w:val="Encabezado"/>
      <w:spacing w:line="240" w:lineRule="auto"/>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line="24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2924E02"/>
    <w:multiLevelType w:val="hybridMultilevel"/>
    <w:tmpl w:val="4A8BA1BB"/>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9F7979CB"/>
    <w:multiLevelType w:val="hybridMultilevel"/>
    <w:tmpl w:val="5C361A8D"/>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C03CB607"/>
    <w:multiLevelType w:val="hybridMultilevel"/>
    <w:tmpl w:val="EB248C51"/>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2A692C79"/>
    <w:multiLevelType w:val="hybridMultilevel"/>
    <w:tmpl w:val="543EBCC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464461B3"/>
    <w:multiLevelType w:val="hybridMultilevel"/>
    <w:tmpl w:val="37B8E696"/>
    <w:lvl w:ilvl="0" w:tplc="A1584632">
      <w:start w:val="21"/>
      <w:numFmt w:val="bullet"/>
      <w:lvlText w:val="-"/>
      <w:lvlJc w:val="left"/>
      <w:pPr>
        <w:ind w:left="720" w:hanging="360"/>
      </w:pPr>
      <w:rPr>
        <w:rFonts w:ascii="Georgia" w:eastAsiaTheme="minorHAnsi" w:hAnsi="Georgia" w:cstheme="minorBidi"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5" w15:restartNumberingAfterBreak="0">
    <w:nsid w:val="48ED3CCB"/>
    <w:multiLevelType w:val="hybridMultilevel"/>
    <w:tmpl w:val="3890D953"/>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5CFB186A"/>
    <w:multiLevelType w:val="hybridMultilevel"/>
    <w:tmpl w:val="7AB77011"/>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7E037E97"/>
    <w:multiLevelType w:val="hybridMultilevel"/>
    <w:tmpl w:val="C84A60B8"/>
    <w:lvl w:ilvl="0" w:tplc="2670FF54">
      <w:start w:val="21"/>
      <w:numFmt w:val="bullet"/>
      <w:lvlText w:val="-"/>
      <w:lvlJc w:val="left"/>
      <w:pPr>
        <w:ind w:left="720" w:hanging="360"/>
      </w:pPr>
      <w:rPr>
        <w:rFonts w:ascii="Georgia" w:eastAsiaTheme="minorHAnsi" w:hAnsi="Georgia" w:cstheme="minorBidi"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num w:numId="1" w16cid:durableId="826436894">
    <w:abstractNumId w:val="2"/>
  </w:num>
  <w:num w:numId="2" w16cid:durableId="890311110">
    <w:abstractNumId w:val="7"/>
  </w:num>
  <w:num w:numId="3" w16cid:durableId="944461148">
    <w:abstractNumId w:val="4"/>
  </w:num>
  <w:num w:numId="4" w16cid:durableId="14161361">
    <w:abstractNumId w:val="1"/>
  </w:num>
  <w:num w:numId="5" w16cid:durableId="717776052">
    <w:abstractNumId w:val="3"/>
  </w:num>
  <w:num w:numId="6" w16cid:durableId="1399668657">
    <w:abstractNumId w:val="6"/>
  </w:num>
  <w:num w:numId="7" w16cid:durableId="311370562">
    <w:abstractNumId w:val="0"/>
  </w:num>
  <w:num w:numId="8" w16cid:durableId="79560911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C99"/>
    <w:rsid w:val="00000E57"/>
    <w:rsid w:val="000010A4"/>
    <w:rsid w:val="0000190A"/>
    <w:rsid w:val="00001989"/>
    <w:rsid w:val="0000279F"/>
    <w:rsid w:val="00002AAA"/>
    <w:rsid w:val="0000543A"/>
    <w:rsid w:val="00005B96"/>
    <w:rsid w:val="0000745F"/>
    <w:rsid w:val="00007C03"/>
    <w:rsid w:val="00010987"/>
    <w:rsid w:val="00013057"/>
    <w:rsid w:val="00014849"/>
    <w:rsid w:val="00014DD0"/>
    <w:rsid w:val="000159CC"/>
    <w:rsid w:val="00015C22"/>
    <w:rsid w:val="00015F5F"/>
    <w:rsid w:val="000167E0"/>
    <w:rsid w:val="00017572"/>
    <w:rsid w:val="000211CC"/>
    <w:rsid w:val="0002191C"/>
    <w:rsid w:val="000224A8"/>
    <w:rsid w:val="000235E9"/>
    <w:rsid w:val="000249A6"/>
    <w:rsid w:val="0002637D"/>
    <w:rsid w:val="00026FE0"/>
    <w:rsid w:val="00027263"/>
    <w:rsid w:val="0002733C"/>
    <w:rsid w:val="00027978"/>
    <w:rsid w:val="00031866"/>
    <w:rsid w:val="00032687"/>
    <w:rsid w:val="0003359A"/>
    <w:rsid w:val="00033B9E"/>
    <w:rsid w:val="00035A04"/>
    <w:rsid w:val="000375DB"/>
    <w:rsid w:val="0004067A"/>
    <w:rsid w:val="0004480C"/>
    <w:rsid w:val="000461D4"/>
    <w:rsid w:val="0004682F"/>
    <w:rsid w:val="00046990"/>
    <w:rsid w:val="00046DC0"/>
    <w:rsid w:val="0004799F"/>
    <w:rsid w:val="00047C8B"/>
    <w:rsid w:val="000512AD"/>
    <w:rsid w:val="00053453"/>
    <w:rsid w:val="00053740"/>
    <w:rsid w:val="00053D16"/>
    <w:rsid w:val="00054805"/>
    <w:rsid w:val="00056D9F"/>
    <w:rsid w:val="00057846"/>
    <w:rsid w:val="00061282"/>
    <w:rsid w:val="0006153B"/>
    <w:rsid w:val="000619A2"/>
    <w:rsid w:val="00063183"/>
    <w:rsid w:val="00064067"/>
    <w:rsid w:val="0006548C"/>
    <w:rsid w:val="00070DB6"/>
    <w:rsid w:val="00071751"/>
    <w:rsid w:val="00071A25"/>
    <w:rsid w:val="00071F90"/>
    <w:rsid w:val="00072395"/>
    <w:rsid w:val="000733C0"/>
    <w:rsid w:val="00073EC5"/>
    <w:rsid w:val="00074516"/>
    <w:rsid w:val="00076E73"/>
    <w:rsid w:val="00077B6F"/>
    <w:rsid w:val="000801BA"/>
    <w:rsid w:val="00080A9A"/>
    <w:rsid w:val="0008117D"/>
    <w:rsid w:val="000825F9"/>
    <w:rsid w:val="000835CB"/>
    <w:rsid w:val="0008387C"/>
    <w:rsid w:val="00083D69"/>
    <w:rsid w:val="00083F50"/>
    <w:rsid w:val="00084148"/>
    <w:rsid w:val="00086FFB"/>
    <w:rsid w:val="00090E61"/>
    <w:rsid w:val="00091C09"/>
    <w:rsid w:val="00092684"/>
    <w:rsid w:val="00096CCA"/>
    <w:rsid w:val="000A1DAF"/>
    <w:rsid w:val="000A20F1"/>
    <w:rsid w:val="000A55BA"/>
    <w:rsid w:val="000A5666"/>
    <w:rsid w:val="000A59A0"/>
    <w:rsid w:val="000A5CAA"/>
    <w:rsid w:val="000A6DC0"/>
    <w:rsid w:val="000B19A0"/>
    <w:rsid w:val="000B24ED"/>
    <w:rsid w:val="000B2AF9"/>
    <w:rsid w:val="000B58D8"/>
    <w:rsid w:val="000B734B"/>
    <w:rsid w:val="000C0734"/>
    <w:rsid w:val="000C1AAB"/>
    <w:rsid w:val="000C2ACE"/>
    <w:rsid w:val="000D107E"/>
    <w:rsid w:val="000D288A"/>
    <w:rsid w:val="000D5F00"/>
    <w:rsid w:val="000D7348"/>
    <w:rsid w:val="000D7B6B"/>
    <w:rsid w:val="000E2BD2"/>
    <w:rsid w:val="000E6C90"/>
    <w:rsid w:val="000F17DA"/>
    <w:rsid w:val="000F1F1F"/>
    <w:rsid w:val="000F33E7"/>
    <w:rsid w:val="000F372E"/>
    <w:rsid w:val="000F4458"/>
    <w:rsid w:val="000F56CC"/>
    <w:rsid w:val="000F6340"/>
    <w:rsid w:val="000F77BC"/>
    <w:rsid w:val="0010277D"/>
    <w:rsid w:val="001035ED"/>
    <w:rsid w:val="001064A0"/>
    <w:rsid w:val="00107CAE"/>
    <w:rsid w:val="00110157"/>
    <w:rsid w:val="00111342"/>
    <w:rsid w:val="00112C8D"/>
    <w:rsid w:val="0011308C"/>
    <w:rsid w:val="0011380D"/>
    <w:rsid w:val="00113FB6"/>
    <w:rsid w:val="00114BE8"/>
    <w:rsid w:val="0011633B"/>
    <w:rsid w:val="00116708"/>
    <w:rsid w:val="00116B6A"/>
    <w:rsid w:val="00117C74"/>
    <w:rsid w:val="0012166D"/>
    <w:rsid w:val="001223F9"/>
    <w:rsid w:val="00123031"/>
    <w:rsid w:val="00123707"/>
    <w:rsid w:val="00123F48"/>
    <w:rsid w:val="001242FF"/>
    <w:rsid w:val="00125709"/>
    <w:rsid w:val="00125B9B"/>
    <w:rsid w:val="00126455"/>
    <w:rsid w:val="0013051A"/>
    <w:rsid w:val="00130559"/>
    <w:rsid w:val="001320DF"/>
    <w:rsid w:val="001347DF"/>
    <w:rsid w:val="0013694D"/>
    <w:rsid w:val="00136E12"/>
    <w:rsid w:val="001373AF"/>
    <w:rsid w:val="001377EF"/>
    <w:rsid w:val="00140304"/>
    <w:rsid w:val="00140CF5"/>
    <w:rsid w:val="001429BD"/>
    <w:rsid w:val="00142F5B"/>
    <w:rsid w:val="00143F49"/>
    <w:rsid w:val="0014650D"/>
    <w:rsid w:val="00146C27"/>
    <w:rsid w:val="00147363"/>
    <w:rsid w:val="00147DBE"/>
    <w:rsid w:val="00150874"/>
    <w:rsid w:val="001508BC"/>
    <w:rsid w:val="001529FE"/>
    <w:rsid w:val="00157979"/>
    <w:rsid w:val="00160361"/>
    <w:rsid w:val="00163D81"/>
    <w:rsid w:val="00167937"/>
    <w:rsid w:val="001703D8"/>
    <w:rsid w:val="00170E39"/>
    <w:rsid w:val="00171DF3"/>
    <w:rsid w:val="00172097"/>
    <w:rsid w:val="0017278C"/>
    <w:rsid w:val="00174918"/>
    <w:rsid w:val="001749D2"/>
    <w:rsid w:val="00174DA5"/>
    <w:rsid w:val="00177B3D"/>
    <w:rsid w:val="0018143B"/>
    <w:rsid w:val="001816B5"/>
    <w:rsid w:val="00181908"/>
    <w:rsid w:val="00181DCE"/>
    <w:rsid w:val="001833F2"/>
    <w:rsid w:val="001864B9"/>
    <w:rsid w:val="00186C29"/>
    <w:rsid w:val="00187BFD"/>
    <w:rsid w:val="00190BAF"/>
    <w:rsid w:val="00192535"/>
    <w:rsid w:val="00193C61"/>
    <w:rsid w:val="001947B7"/>
    <w:rsid w:val="001948DB"/>
    <w:rsid w:val="001A008A"/>
    <w:rsid w:val="001A3395"/>
    <w:rsid w:val="001A44E1"/>
    <w:rsid w:val="001A555F"/>
    <w:rsid w:val="001A61E0"/>
    <w:rsid w:val="001A6EBB"/>
    <w:rsid w:val="001B1E59"/>
    <w:rsid w:val="001B3EE9"/>
    <w:rsid w:val="001B58A3"/>
    <w:rsid w:val="001B6C30"/>
    <w:rsid w:val="001C052B"/>
    <w:rsid w:val="001C3A70"/>
    <w:rsid w:val="001C49C6"/>
    <w:rsid w:val="001D0EED"/>
    <w:rsid w:val="001D1D31"/>
    <w:rsid w:val="001D2203"/>
    <w:rsid w:val="001D2577"/>
    <w:rsid w:val="001D5286"/>
    <w:rsid w:val="001D59D9"/>
    <w:rsid w:val="001D5BEC"/>
    <w:rsid w:val="001D6136"/>
    <w:rsid w:val="001D6F7E"/>
    <w:rsid w:val="001E119C"/>
    <w:rsid w:val="001E212A"/>
    <w:rsid w:val="001E4982"/>
    <w:rsid w:val="001E53E2"/>
    <w:rsid w:val="001E6143"/>
    <w:rsid w:val="001F0BD0"/>
    <w:rsid w:val="001F1398"/>
    <w:rsid w:val="001F522B"/>
    <w:rsid w:val="001F5408"/>
    <w:rsid w:val="001F5DC4"/>
    <w:rsid w:val="002019FA"/>
    <w:rsid w:val="00201C0D"/>
    <w:rsid w:val="002041EC"/>
    <w:rsid w:val="00204407"/>
    <w:rsid w:val="00205AC5"/>
    <w:rsid w:val="00206378"/>
    <w:rsid w:val="00206718"/>
    <w:rsid w:val="0020749F"/>
    <w:rsid w:val="002108AD"/>
    <w:rsid w:val="0021173F"/>
    <w:rsid w:val="00211977"/>
    <w:rsid w:val="00211C72"/>
    <w:rsid w:val="002130B0"/>
    <w:rsid w:val="0021627D"/>
    <w:rsid w:val="0022049B"/>
    <w:rsid w:val="00225288"/>
    <w:rsid w:val="00227D02"/>
    <w:rsid w:val="00231C58"/>
    <w:rsid w:val="002331C3"/>
    <w:rsid w:val="002333AB"/>
    <w:rsid w:val="00234777"/>
    <w:rsid w:val="00234A33"/>
    <w:rsid w:val="00240336"/>
    <w:rsid w:val="00241719"/>
    <w:rsid w:val="00242425"/>
    <w:rsid w:val="00243DFC"/>
    <w:rsid w:val="00243F6B"/>
    <w:rsid w:val="0024405B"/>
    <w:rsid w:val="00245393"/>
    <w:rsid w:val="002528B8"/>
    <w:rsid w:val="00252D46"/>
    <w:rsid w:val="00253CBD"/>
    <w:rsid w:val="00254641"/>
    <w:rsid w:val="00256E4E"/>
    <w:rsid w:val="00260B6D"/>
    <w:rsid w:val="00260F46"/>
    <w:rsid w:val="0026148B"/>
    <w:rsid w:val="0026162A"/>
    <w:rsid w:val="00261D97"/>
    <w:rsid w:val="00262031"/>
    <w:rsid w:val="00266CD7"/>
    <w:rsid w:val="0027261F"/>
    <w:rsid w:val="00272F4F"/>
    <w:rsid w:val="0027301E"/>
    <w:rsid w:val="00273738"/>
    <w:rsid w:val="00274985"/>
    <w:rsid w:val="00274A0C"/>
    <w:rsid w:val="0027653A"/>
    <w:rsid w:val="002768C6"/>
    <w:rsid w:val="00276A92"/>
    <w:rsid w:val="00277667"/>
    <w:rsid w:val="002804DF"/>
    <w:rsid w:val="00281072"/>
    <w:rsid w:val="002813C9"/>
    <w:rsid w:val="00282133"/>
    <w:rsid w:val="0028294E"/>
    <w:rsid w:val="002830BC"/>
    <w:rsid w:val="00283E79"/>
    <w:rsid w:val="002866F5"/>
    <w:rsid w:val="00286C15"/>
    <w:rsid w:val="00287545"/>
    <w:rsid w:val="00287E4A"/>
    <w:rsid w:val="00290CA4"/>
    <w:rsid w:val="002943F3"/>
    <w:rsid w:val="00294C91"/>
    <w:rsid w:val="00294D98"/>
    <w:rsid w:val="00295828"/>
    <w:rsid w:val="002970F3"/>
    <w:rsid w:val="00297CEF"/>
    <w:rsid w:val="002A05CF"/>
    <w:rsid w:val="002A0BD9"/>
    <w:rsid w:val="002A31D3"/>
    <w:rsid w:val="002A3AE3"/>
    <w:rsid w:val="002A3D36"/>
    <w:rsid w:val="002A4C39"/>
    <w:rsid w:val="002A625F"/>
    <w:rsid w:val="002A6626"/>
    <w:rsid w:val="002A7E2E"/>
    <w:rsid w:val="002B5119"/>
    <w:rsid w:val="002B5256"/>
    <w:rsid w:val="002B69A7"/>
    <w:rsid w:val="002B726E"/>
    <w:rsid w:val="002B7735"/>
    <w:rsid w:val="002C2A0F"/>
    <w:rsid w:val="002C5DF4"/>
    <w:rsid w:val="002C7D90"/>
    <w:rsid w:val="002D0DB0"/>
    <w:rsid w:val="002D13DA"/>
    <w:rsid w:val="002D3B01"/>
    <w:rsid w:val="002D4977"/>
    <w:rsid w:val="002D5E13"/>
    <w:rsid w:val="002D7BC7"/>
    <w:rsid w:val="002E0275"/>
    <w:rsid w:val="002E1221"/>
    <w:rsid w:val="002E17F9"/>
    <w:rsid w:val="002E23B2"/>
    <w:rsid w:val="002E287E"/>
    <w:rsid w:val="002E2DDF"/>
    <w:rsid w:val="002E2F76"/>
    <w:rsid w:val="002E4E90"/>
    <w:rsid w:val="002E67E2"/>
    <w:rsid w:val="002F09CA"/>
    <w:rsid w:val="002F35F0"/>
    <w:rsid w:val="002F478E"/>
    <w:rsid w:val="002F5F01"/>
    <w:rsid w:val="002F60A5"/>
    <w:rsid w:val="002F7D42"/>
    <w:rsid w:val="00300E51"/>
    <w:rsid w:val="003011D8"/>
    <w:rsid w:val="00303740"/>
    <w:rsid w:val="003045E3"/>
    <w:rsid w:val="00304C79"/>
    <w:rsid w:val="00306003"/>
    <w:rsid w:val="00306775"/>
    <w:rsid w:val="003069FA"/>
    <w:rsid w:val="00307257"/>
    <w:rsid w:val="003073DF"/>
    <w:rsid w:val="003100E8"/>
    <w:rsid w:val="00310C00"/>
    <w:rsid w:val="003127E7"/>
    <w:rsid w:val="003128E2"/>
    <w:rsid w:val="003131DE"/>
    <w:rsid w:val="00314603"/>
    <w:rsid w:val="00317805"/>
    <w:rsid w:val="0032132E"/>
    <w:rsid w:val="00321785"/>
    <w:rsid w:val="00321EC9"/>
    <w:rsid w:val="00322AA1"/>
    <w:rsid w:val="0032350A"/>
    <w:rsid w:val="003236CF"/>
    <w:rsid w:val="00330790"/>
    <w:rsid w:val="003314D9"/>
    <w:rsid w:val="00331F16"/>
    <w:rsid w:val="00333BAA"/>
    <w:rsid w:val="00340E4B"/>
    <w:rsid w:val="00341784"/>
    <w:rsid w:val="00344B3D"/>
    <w:rsid w:val="00345AC3"/>
    <w:rsid w:val="00345DF0"/>
    <w:rsid w:val="00345F7F"/>
    <w:rsid w:val="003477EF"/>
    <w:rsid w:val="00347D7E"/>
    <w:rsid w:val="003526ED"/>
    <w:rsid w:val="00353092"/>
    <w:rsid w:val="003534E0"/>
    <w:rsid w:val="003544B1"/>
    <w:rsid w:val="00356F61"/>
    <w:rsid w:val="00357D70"/>
    <w:rsid w:val="00360239"/>
    <w:rsid w:val="00361278"/>
    <w:rsid w:val="00361F6A"/>
    <w:rsid w:val="00362449"/>
    <w:rsid w:val="00362679"/>
    <w:rsid w:val="00363C5F"/>
    <w:rsid w:val="00364E0F"/>
    <w:rsid w:val="003653B3"/>
    <w:rsid w:val="00366294"/>
    <w:rsid w:val="00366842"/>
    <w:rsid w:val="00367746"/>
    <w:rsid w:val="00370144"/>
    <w:rsid w:val="00372864"/>
    <w:rsid w:val="00372C56"/>
    <w:rsid w:val="0037363C"/>
    <w:rsid w:val="00374DFF"/>
    <w:rsid w:val="00374E5F"/>
    <w:rsid w:val="0037787C"/>
    <w:rsid w:val="00377F69"/>
    <w:rsid w:val="003812D2"/>
    <w:rsid w:val="0038290F"/>
    <w:rsid w:val="0038740F"/>
    <w:rsid w:val="00391C15"/>
    <w:rsid w:val="00391F72"/>
    <w:rsid w:val="00392259"/>
    <w:rsid w:val="0039789E"/>
    <w:rsid w:val="003A0559"/>
    <w:rsid w:val="003A0905"/>
    <w:rsid w:val="003A12F3"/>
    <w:rsid w:val="003A3C08"/>
    <w:rsid w:val="003A3F8C"/>
    <w:rsid w:val="003A3FA8"/>
    <w:rsid w:val="003A5658"/>
    <w:rsid w:val="003A584D"/>
    <w:rsid w:val="003A5B5C"/>
    <w:rsid w:val="003B32A5"/>
    <w:rsid w:val="003B348C"/>
    <w:rsid w:val="003B3A93"/>
    <w:rsid w:val="003B41F7"/>
    <w:rsid w:val="003B5044"/>
    <w:rsid w:val="003B798E"/>
    <w:rsid w:val="003B7C47"/>
    <w:rsid w:val="003C1581"/>
    <w:rsid w:val="003C3BE2"/>
    <w:rsid w:val="003C4A61"/>
    <w:rsid w:val="003C76C4"/>
    <w:rsid w:val="003D0890"/>
    <w:rsid w:val="003D09A9"/>
    <w:rsid w:val="003D1A7E"/>
    <w:rsid w:val="003D4684"/>
    <w:rsid w:val="003D4687"/>
    <w:rsid w:val="003D5A42"/>
    <w:rsid w:val="003D690E"/>
    <w:rsid w:val="003D7524"/>
    <w:rsid w:val="003D76D4"/>
    <w:rsid w:val="003E0091"/>
    <w:rsid w:val="003E0CC2"/>
    <w:rsid w:val="003E450C"/>
    <w:rsid w:val="003E4824"/>
    <w:rsid w:val="003E7BAE"/>
    <w:rsid w:val="003F0C97"/>
    <w:rsid w:val="003F1149"/>
    <w:rsid w:val="003F1B5F"/>
    <w:rsid w:val="003F20C7"/>
    <w:rsid w:val="003F2DC2"/>
    <w:rsid w:val="003F5262"/>
    <w:rsid w:val="00401E6A"/>
    <w:rsid w:val="00403814"/>
    <w:rsid w:val="004049B9"/>
    <w:rsid w:val="00406AFD"/>
    <w:rsid w:val="00411866"/>
    <w:rsid w:val="00414109"/>
    <w:rsid w:val="00414A7B"/>
    <w:rsid w:val="00417CFB"/>
    <w:rsid w:val="00417E23"/>
    <w:rsid w:val="00420F89"/>
    <w:rsid w:val="0042236E"/>
    <w:rsid w:val="00425ACB"/>
    <w:rsid w:val="00425F75"/>
    <w:rsid w:val="0042659F"/>
    <w:rsid w:val="00426C11"/>
    <w:rsid w:val="004310D6"/>
    <w:rsid w:val="004324AC"/>
    <w:rsid w:val="0044094C"/>
    <w:rsid w:val="00440AE0"/>
    <w:rsid w:val="00440BC2"/>
    <w:rsid w:val="00443191"/>
    <w:rsid w:val="00443875"/>
    <w:rsid w:val="00444232"/>
    <w:rsid w:val="00444DE9"/>
    <w:rsid w:val="00445D0D"/>
    <w:rsid w:val="004513F2"/>
    <w:rsid w:val="00452340"/>
    <w:rsid w:val="00452C11"/>
    <w:rsid w:val="00460C30"/>
    <w:rsid w:val="00462500"/>
    <w:rsid w:val="00463C58"/>
    <w:rsid w:val="00465FB9"/>
    <w:rsid w:val="00466302"/>
    <w:rsid w:val="0046647B"/>
    <w:rsid w:val="0047370C"/>
    <w:rsid w:val="00475098"/>
    <w:rsid w:val="0047522D"/>
    <w:rsid w:val="00475B39"/>
    <w:rsid w:val="00476BA1"/>
    <w:rsid w:val="00477488"/>
    <w:rsid w:val="00477A6F"/>
    <w:rsid w:val="0048408F"/>
    <w:rsid w:val="004858EC"/>
    <w:rsid w:val="00486637"/>
    <w:rsid w:val="004872DA"/>
    <w:rsid w:val="00490B5E"/>
    <w:rsid w:val="004912F8"/>
    <w:rsid w:val="00491AAA"/>
    <w:rsid w:val="004931C9"/>
    <w:rsid w:val="004946A3"/>
    <w:rsid w:val="004966DD"/>
    <w:rsid w:val="00496848"/>
    <w:rsid w:val="00496A1A"/>
    <w:rsid w:val="00497760"/>
    <w:rsid w:val="004A1518"/>
    <w:rsid w:val="004A3DB7"/>
    <w:rsid w:val="004A3E25"/>
    <w:rsid w:val="004A3F7E"/>
    <w:rsid w:val="004A537B"/>
    <w:rsid w:val="004A718F"/>
    <w:rsid w:val="004B155C"/>
    <w:rsid w:val="004B198F"/>
    <w:rsid w:val="004B1A8C"/>
    <w:rsid w:val="004B27E2"/>
    <w:rsid w:val="004B32A9"/>
    <w:rsid w:val="004B51ED"/>
    <w:rsid w:val="004B7D4E"/>
    <w:rsid w:val="004B7DCE"/>
    <w:rsid w:val="004C0196"/>
    <w:rsid w:val="004C0388"/>
    <w:rsid w:val="004C1C34"/>
    <w:rsid w:val="004C34ED"/>
    <w:rsid w:val="004C3692"/>
    <w:rsid w:val="004C51EC"/>
    <w:rsid w:val="004C5A91"/>
    <w:rsid w:val="004C7FB3"/>
    <w:rsid w:val="004E04CE"/>
    <w:rsid w:val="004E210D"/>
    <w:rsid w:val="004E3092"/>
    <w:rsid w:val="004E4AF3"/>
    <w:rsid w:val="004E5339"/>
    <w:rsid w:val="004E65DD"/>
    <w:rsid w:val="004E72B4"/>
    <w:rsid w:val="004E75E2"/>
    <w:rsid w:val="004E78E9"/>
    <w:rsid w:val="004F1DD0"/>
    <w:rsid w:val="004F39E2"/>
    <w:rsid w:val="004F42A8"/>
    <w:rsid w:val="004F467D"/>
    <w:rsid w:val="004F549E"/>
    <w:rsid w:val="004F7344"/>
    <w:rsid w:val="00500494"/>
    <w:rsid w:val="00504C79"/>
    <w:rsid w:val="00504F01"/>
    <w:rsid w:val="005152C7"/>
    <w:rsid w:val="00516293"/>
    <w:rsid w:val="0051692C"/>
    <w:rsid w:val="005175FE"/>
    <w:rsid w:val="005201C0"/>
    <w:rsid w:val="005201E9"/>
    <w:rsid w:val="00521B4C"/>
    <w:rsid w:val="00522B67"/>
    <w:rsid w:val="00522E2A"/>
    <w:rsid w:val="005256D3"/>
    <w:rsid w:val="005259E7"/>
    <w:rsid w:val="005265A5"/>
    <w:rsid w:val="005271DD"/>
    <w:rsid w:val="00527760"/>
    <w:rsid w:val="00527B27"/>
    <w:rsid w:val="00531386"/>
    <w:rsid w:val="005316B2"/>
    <w:rsid w:val="00531BEE"/>
    <w:rsid w:val="005323A2"/>
    <w:rsid w:val="005331D5"/>
    <w:rsid w:val="0053470F"/>
    <w:rsid w:val="00535473"/>
    <w:rsid w:val="005358B7"/>
    <w:rsid w:val="00537DBF"/>
    <w:rsid w:val="00540F01"/>
    <w:rsid w:val="00541534"/>
    <w:rsid w:val="00542878"/>
    <w:rsid w:val="00542AFD"/>
    <w:rsid w:val="00543E68"/>
    <w:rsid w:val="00544BFC"/>
    <w:rsid w:val="0054553F"/>
    <w:rsid w:val="005466DB"/>
    <w:rsid w:val="00547EE5"/>
    <w:rsid w:val="00547F11"/>
    <w:rsid w:val="00550366"/>
    <w:rsid w:val="00551F42"/>
    <w:rsid w:val="00556399"/>
    <w:rsid w:val="00556526"/>
    <w:rsid w:val="00556F85"/>
    <w:rsid w:val="005570A7"/>
    <w:rsid w:val="005606DC"/>
    <w:rsid w:val="00561130"/>
    <w:rsid w:val="00564B1B"/>
    <w:rsid w:val="0056773D"/>
    <w:rsid w:val="00567DEC"/>
    <w:rsid w:val="0057035B"/>
    <w:rsid w:val="0057428A"/>
    <w:rsid w:val="005818E3"/>
    <w:rsid w:val="00582D26"/>
    <w:rsid w:val="0058358B"/>
    <w:rsid w:val="00583A87"/>
    <w:rsid w:val="00585D65"/>
    <w:rsid w:val="00586159"/>
    <w:rsid w:val="00587F86"/>
    <w:rsid w:val="005948EF"/>
    <w:rsid w:val="00597430"/>
    <w:rsid w:val="005A03DD"/>
    <w:rsid w:val="005A083F"/>
    <w:rsid w:val="005A0B70"/>
    <w:rsid w:val="005A0C96"/>
    <w:rsid w:val="005A40A4"/>
    <w:rsid w:val="005A48DF"/>
    <w:rsid w:val="005A5161"/>
    <w:rsid w:val="005A5A37"/>
    <w:rsid w:val="005A5C9D"/>
    <w:rsid w:val="005A6ACA"/>
    <w:rsid w:val="005A704E"/>
    <w:rsid w:val="005A782D"/>
    <w:rsid w:val="005B0526"/>
    <w:rsid w:val="005B187B"/>
    <w:rsid w:val="005B2577"/>
    <w:rsid w:val="005B2924"/>
    <w:rsid w:val="005B2D66"/>
    <w:rsid w:val="005B306B"/>
    <w:rsid w:val="005C04B1"/>
    <w:rsid w:val="005C2ABA"/>
    <w:rsid w:val="005C524E"/>
    <w:rsid w:val="005C5AB9"/>
    <w:rsid w:val="005C6AB8"/>
    <w:rsid w:val="005D2136"/>
    <w:rsid w:val="005D3E68"/>
    <w:rsid w:val="005D427D"/>
    <w:rsid w:val="005D52E5"/>
    <w:rsid w:val="005D5F88"/>
    <w:rsid w:val="005D6057"/>
    <w:rsid w:val="005D778C"/>
    <w:rsid w:val="005E0C8B"/>
    <w:rsid w:val="005E0EC2"/>
    <w:rsid w:val="005E17C2"/>
    <w:rsid w:val="005E1C60"/>
    <w:rsid w:val="005E2CBE"/>
    <w:rsid w:val="005E4870"/>
    <w:rsid w:val="005E57C9"/>
    <w:rsid w:val="005E5878"/>
    <w:rsid w:val="005E6329"/>
    <w:rsid w:val="005F0F6B"/>
    <w:rsid w:val="005F2582"/>
    <w:rsid w:val="005F265B"/>
    <w:rsid w:val="005F34F8"/>
    <w:rsid w:val="005F4C97"/>
    <w:rsid w:val="005F5311"/>
    <w:rsid w:val="00601339"/>
    <w:rsid w:val="00601861"/>
    <w:rsid w:val="0060197F"/>
    <w:rsid w:val="00601CB2"/>
    <w:rsid w:val="00605902"/>
    <w:rsid w:val="00606105"/>
    <w:rsid w:val="0061124D"/>
    <w:rsid w:val="00611905"/>
    <w:rsid w:val="00613283"/>
    <w:rsid w:val="00613A39"/>
    <w:rsid w:val="00614401"/>
    <w:rsid w:val="006157B3"/>
    <w:rsid w:val="006214B0"/>
    <w:rsid w:val="00622ABC"/>
    <w:rsid w:val="00623204"/>
    <w:rsid w:val="00623874"/>
    <w:rsid w:val="00624034"/>
    <w:rsid w:val="00627C05"/>
    <w:rsid w:val="00631D8C"/>
    <w:rsid w:val="00631E24"/>
    <w:rsid w:val="0063347E"/>
    <w:rsid w:val="00633C1D"/>
    <w:rsid w:val="00634A13"/>
    <w:rsid w:val="00635FBD"/>
    <w:rsid w:val="00636CCE"/>
    <w:rsid w:val="00637269"/>
    <w:rsid w:val="00641B59"/>
    <w:rsid w:val="006442E0"/>
    <w:rsid w:val="006444A9"/>
    <w:rsid w:val="00645D40"/>
    <w:rsid w:val="0064607A"/>
    <w:rsid w:val="00647AEA"/>
    <w:rsid w:val="00650CFB"/>
    <w:rsid w:val="00652672"/>
    <w:rsid w:val="00654FC9"/>
    <w:rsid w:val="0065542B"/>
    <w:rsid w:val="00655625"/>
    <w:rsid w:val="0065594D"/>
    <w:rsid w:val="00655A90"/>
    <w:rsid w:val="00655BA3"/>
    <w:rsid w:val="006562E4"/>
    <w:rsid w:val="0065656E"/>
    <w:rsid w:val="006569D5"/>
    <w:rsid w:val="00656FE2"/>
    <w:rsid w:val="0065714F"/>
    <w:rsid w:val="00657AD2"/>
    <w:rsid w:val="00660D6F"/>
    <w:rsid w:val="00664518"/>
    <w:rsid w:val="006645DB"/>
    <w:rsid w:val="00664F22"/>
    <w:rsid w:val="00667A13"/>
    <w:rsid w:val="00670241"/>
    <w:rsid w:val="00670F81"/>
    <w:rsid w:val="00671B55"/>
    <w:rsid w:val="00671DB5"/>
    <w:rsid w:val="00674872"/>
    <w:rsid w:val="00674DE5"/>
    <w:rsid w:val="0067797A"/>
    <w:rsid w:val="00680D8A"/>
    <w:rsid w:val="00682454"/>
    <w:rsid w:val="006829E6"/>
    <w:rsid w:val="006832CF"/>
    <w:rsid w:val="00686BB2"/>
    <w:rsid w:val="006878E1"/>
    <w:rsid w:val="0069304A"/>
    <w:rsid w:val="0069590B"/>
    <w:rsid w:val="00695BD5"/>
    <w:rsid w:val="0069684A"/>
    <w:rsid w:val="006969AA"/>
    <w:rsid w:val="00697D6C"/>
    <w:rsid w:val="006A048D"/>
    <w:rsid w:val="006A19F1"/>
    <w:rsid w:val="006A2ADE"/>
    <w:rsid w:val="006A2DBF"/>
    <w:rsid w:val="006A3EBA"/>
    <w:rsid w:val="006A4D45"/>
    <w:rsid w:val="006A77BA"/>
    <w:rsid w:val="006B5CAE"/>
    <w:rsid w:val="006B6EA6"/>
    <w:rsid w:val="006B6FF3"/>
    <w:rsid w:val="006C0343"/>
    <w:rsid w:val="006C1704"/>
    <w:rsid w:val="006C1A65"/>
    <w:rsid w:val="006C29A7"/>
    <w:rsid w:val="006C3DBC"/>
    <w:rsid w:val="006C5090"/>
    <w:rsid w:val="006C6261"/>
    <w:rsid w:val="006C6430"/>
    <w:rsid w:val="006C707E"/>
    <w:rsid w:val="006D1505"/>
    <w:rsid w:val="006D2BA9"/>
    <w:rsid w:val="006D397E"/>
    <w:rsid w:val="006E1CCD"/>
    <w:rsid w:val="006E2366"/>
    <w:rsid w:val="006E4352"/>
    <w:rsid w:val="006E4547"/>
    <w:rsid w:val="006E483B"/>
    <w:rsid w:val="006E492B"/>
    <w:rsid w:val="006E5BE6"/>
    <w:rsid w:val="006E68D0"/>
    <w:rsid w:val="006E6E70"/>
    <w:rsid w:val="006F06C3"/>
    <w:rsid w:val="006F1D13"/>
    <w:rsid w:val="006F2861"/>
    <w:rsid w:val="006F36EF"/>
    <w:rsid w:val="006F40B0"/>
    <w:rsid w:val="006F41C6"/>
    <w:rsid w:val="006F47A8"/>
    <w:rsid w:val="006F4986"/>
    <w:rsid w:val="006F6085"/>
    <w:rsid w:val="006F6CBD"/>
    <w:rsid w:val="0070030F"/>
    <w:rsid w:val="007003E3"/>
    <w:rsid w:val="00701598"/>
    <w:rsid w:val="007015BB"/>
    <w:rsid w:val="00701639"/>
    <w:rsid w:val="00701893"/>
    <w:rsid w:val="007021E5"/>
    <w:rsid w:val="00703430"/>
    <w:rsid w:val="00703640"/>
    <w:rsid w:val="00704A95"/>
    <w:rsid w:val="00705F2D"/>
    <w:rsid w:val="00706392"/>
    <w:rsid w:val="007065DE"/>
    <w:rsid w:val="00706EB2"/>
    <w:rsid w:val="00707C71"/>
    <w:rsid w:val="00707C99"/>
    <w:rsid w:val="0071145A"/>
    <w:rsid w:val="00711C9A"/>
    <w:rsid w:val="00716EE7"/>
    <w:rsid w:val="00717232"/>
    <w:rsid w:val="0072050F"/>
    <w:rsid w:val="00720DBC"/>
    <w:rsid w:val="00721FD1"/>
    <w:rsid w:val="0072240A"/>
    <w:rsid w:val="00723561"/>
    <w:rsid w:val="007235E4"/>
    <w:rsid w:val="00725493"/>
    <w:rsid w:val="007261FD"/>
    <w:rsid w:val="00726F96"/>
    <w:rsid w:val="0072710D"/>
    <w:rsid w:val="00727198"/>
    <w:rsid w:val="00727302"/>
    <w:rsid w:val="00727DAA"/>
    <w:rsid w:val="00730055"/>
    <w:rsid w:val="007300C4"/>
    <w:rsid w:val="0073378D"/>
    <w:rsid w:val="00733D4C"/>
    <w:rsid w:val="00737844"/>
    <w:rsid w:val="007413BB"/>
    <w:rsid w:val="007415C6"/>
    <w:rsid w:val="00744447"/>
    <w:rsid w:val="00745039"/>
    <w:rsid w:val="00751717"/>
    <w:rsid w:val="007542CA"/>
    <w:rsid w:val="00754CE1"/>
    <w:rsid w:val="0075586B"/>
    <w:rsid w:val="00756B85"/>
    <w:rsid w:val="007600A3"/>
    <w:rsid w:val="00760BFE"/>
    <w:rsid w:val="0076127D"/>
    <w:rsid w:val="00761F1D"/>
    <w:rsid w:val="007642C1"/>
    <w:rsid w:val="00764BDD"/>
    <w:rsid w:val="00764EF8"/>
    <w:rsid w:val="00766200"/>
    <w:rsid w:val="007703E9"/>
    <w:rsid w:val="007708AB"/>
    <w:rsid w:val="00771625"/>
    <w:rsid w:val="00772376"/>
    <w:rsid w:val="00772FA0"/>
    <w:rsid w:val="00773577"/>
    <w:rsid w:val="00775298"/>
    <w:rsid w:val="00775590"/>
    <w:rsid w:val="0077564F"/>
    <w:rsid w:val="00776706"/>
    <w:rsid w:val="00781235"/>
    <w:rsid w:val="00784355"/>
    <w:rsid w:val="00786117"/>
    <w:rsid w:val="00787327"/>
    <w:rsid w:val="007905FF"/>
    <w:rsid w:val="007906AF"/>
    <w:rsid w:val="007906F7"/>
    <w:rsid w:val="00790B57"/>
    <w:rsid w:val="00792806"/>
    <w:rsid w:val="0079295B"/>
    <w:rsid w:val="00794424"/>
    <w:rsid w:val="00794C89"/>
    <w:rsid w:val="007950DD"/>
    <w:rsid w:val="007965C0"/>
    <w:rsid w:val="007965E2"/>
    <w:rsid w:val="00797191"/>
    <w:rsid w:val="007A09BB"/>
    <w:rsid w:val="007A1D74"/>
    <w:rsid w:val="007A20FA"/>
    <w:rsid w:val="007A3DC9"/>
    <w:rsid w:val="007A3F3F"/>
    <w:rsid w:val="007A4108"/>
    <w:rsid w:val="007A4B5F"/>
    <w:rsid w:val="007A4EA9"/>
    <w:rsid w:val="007A5ADD"/>
    <w:rsid w:val="007A7EDD"/>
    <w:rsid w:val="007A7F95"/>
    <w:rsid w:val="007B087C"/>
    <w:rsid w:val="007B1018"/>
    <w:rsid w:val="007B3958"/>
    <w:rsid w:val="007B3BEB"/>
    <w:rsid w:val="007B403D"/>
    <w:rsid w:val="007C14D0"/>
    <w:rsid w:val="007C1EA1"/>
    <w:rsid w:val="007C213D"/>
    <w:rsid w:val="007C3FF2"/>
    <w:rsid w:val="007C4E10"/>
    <w:rsid w:val="007C50F9"/>
    <w:rsid w:val="007C69FE"/>
    <w:rsid w:val="007D13E3"/>
    <w:rsid w:val="007D13F3"/>
    <w:rsid w:val="007D2A4B"/>
    <w:rsid w:val="007D39D3"/>
    <w:rsid w:val="007D51F9"/>
    <w:rsid w:val="007D5BB1"/>
    <w:rsid w:val="007D7213"/>
    <w:rsid w:val="007D79DE"/>
    <w:rsid w:val="007E0155"/>
    <w:rsid w:val="007E5917"/>
    <w:rsid w:val="007E5F35"/>
    <w:rsid w:val="007F2EC7"/>
    <w:rsid w:val="007F38DF"/>
    <w:rsid w:val="007F5079"/>
    <w:rsid w:val="007F5491"/>
    <w:rsid w:val="007F74F1"/>
    <w:rsid w:val="007F7AC3"/>
    <w:rsid w:val="008010D0"/>
    <w:rsid w:val="00801DAD"/>
    <w:rsid w:val="008020A1"/>
    <w:rsid w:val="008026DC"/>
    <w:rsid w:val="00802949"/>
    <w:rsid w:val="00803E04"/>
    <w:rsid w:val="0080759D"/>
    <w:rsid w:val="008079EC"/>
    <w:rsid w:val="008168DE"/>
    <w:rsid w:val="00816B3F"/>
    <w:rsid w:val="0081754D"/>
    <w:rsid w:val="0081779E"/>
    <w:rsid w:val="008177B9"/>
    <w:rsid w:val="00817F65"/>
    <w:rsid w:val="00821801"/>
    <w:rsid w:val="0082279A"/>
    <w:rsid w:val="0082527A"/>
    <w:rsid w:val="00825CD8"/>
    <w:rsid w:val="00827313"/>
    <w:rsid w:val="0083014D"/>
    <w:rsid w:val="00834152"/>
    <w:rsid w:val="008356FF"/>
    <w:rsid w:val="00835AAF"/>
    <w:rsid w:val="00836831"/>
    <w:rsid w:val="00837DDE"/>
    <w:rsid w:val="00850F0A"/>
    <w:rsid w:val="008511DF"/>
    <w:rsid w:val="008523F5"/>
    <w:rsid w:val="008548F9"/>
    <w:rsid w:val="0085575C"/>
    <w:rsid w:val="0085791F"/>
    <w:rsid w:val="00857988"/>
    <w:rsid w:val="0086244F"/>
    <w:rsid w:val="00871F40"/>
    <w:rsid w:val="00873D99"/>
    <w:rsid w:val="00874ED7"/>
    <w:rsid w:val="00881AC0"/>
    <w:rsid w:val="0088213F"/>
    <w:rsid w:val="00883121"/>
    <w:rsid w:val="0088392F"/>
    <w:rsid w:val="0088400A"/>
    <w:rsid w:val="00884426"/>
    <w:rsid w:val="008863B2"/>
    <w:rsid w:val="00886584"/>
    <w:rsid w:val="00886745"/>
    <w:rsid w:val="00886D60"/>
    <w:rsid w:val="0088746E"/>
    <w:rsid w:val="00887814"/>
    <w:rsid w:val="008916FF"/>
    <w:rsid w:val="008917A4"/>
    <w:rsid w:val="00891DB3"/>
    <w:rsid w:val="00893F99"/>
    <w:rsid w:val="00895A85"/>
    <w:rsid w:val="00896F8E"/>
    <w:rsid w:val="008A0154"/>
    <w:rsid w:val="008A122F"/>
    <w:rsid w:val="008A1D12"/>
    <w:rsid w:val="008A2B54"/>
    <w:rsid w:val="008A36DE"/>
    <w:rsid w:val="008A3A47"/>
    <w:rsid w:val="008A4D5B"/>
    <w:rsid w:val="008A53BF"/>
    <w:rsid w:val="008A57E8"/>
    <w:rsid w:val="008A6E28"/>
    <w:rsid w:val="008B2E4F"/>
    <w:rsid w:val="008B4093"/>
    <w:rsid w:val="008B47F3"/>
    <w:rsid w:val="008B5C61"/>
    <w:rsid w:val="008B6C1E"/>
    <w:rsid w:val="008B760D"/>
    <w:rsid w:val="008C3689"/>
    <w:rsid w:val="008C44CB"/>
    <w:rsid w:val="008C50AF"/>
    <w:rsid w:val="008D1D39"/>
    <w:rsid w:val="008D426D"/>
    <w:rsid w:val="008D4E58"/>
    <w:rsid w:val="008D5049"/>
    <w:rsid w:val="008D538C"/>
    <w:rsid w:val="008D6DDF"/>
    <w:rsid w:val="008D6FDB"/>
    <w:rsid w:val="008D721C"/>
    <w:rsid w:val="008E33FD"/>
    <w:rsid w:val="008E44D1"/>
    <w:rsid w:val="008E65A0"/>
    <w:rsid w:val="008E661B"/>
    <w:rsid w:val="008E75E7"/>
    <w:rsid w:val="008E7F8A"/>
    <w:rsid w:val="008F0021"/>
    <w:rsid w:val="008F1161"/>
    <w:rsid w:val="008F479E"/>
    <w:rsid w:val="009011F1"/>
    <w:rsid w:val="00903260"/>
    <w:rsid w:val="00905BA5"/>
    <w:rsid w:val="00907807"/>
    <w:rsid w:val="00910014"/>
    <w:rsid w:val="009117F7"/>
    <w:rsid w:val="009127A6"/>
    <w:rsid w:val="00914463"/>
    <w:rsid w:val="0091528B"/>
    <w:rsid w:val="009157B1"/>
    <w:rsid w:val="00915DC7"/>
    <w:rsid w:val="0091674F"/>
    <w:rsid w:val="00917CAF"/>
    <w:rsid w:val="00921004"/>
    <w:rsid w:val="00924F11"/>
    <w:rsid w:val="00925936"/>
    <w:rsid w:val="009271BE"/>
    <w:rsid w:val="009272D7"/>
    <w:rsid w:val="009305A8"/>
    <w:rsid w:val="00931503"/>
    <w:rsid w:val="00933532"/>
    <w:rsid w:val="00941528"/>
    <w:rsid w:val="009416FD"/>
    <w:rsid w:val="00942733"/>
    <w:rsid w:val="00942B53"/>
    <w:rsid w:val="00942C70"/>
    <w:rsid w:val="00943343"/>
    <w:rsid w:val="009439ED"/>
    <w:rsid w:val="00943A2D"/>
    <w:rsid w:val="009458C9"/>
    <w:rsid w:val="0094610C"/>
    <w:rsid w:val="00946694"/>
    <w:rsid w:val="009467D3"/>
    <w:rsid w:val="00946ECB"/>
    <w:rsid w:val="00950AD3"/>
    <w:rsid w:val="00951B99"/>
    <w:rsid w:val="00951CDB"/>
    <w:rsid w:val="00951EC0"/>
    <w:rsid w:val="00952A87"/>
    <w:rsid w:val="00952B66"/>
    <w:rsid w:val="00952E95"/>
    <w:rsid w:val="00952F86"/>
    <w:rsid w:val="00955C03"/>
    <w:rsid w:val="00956DE7"/>
    <w:rsid w:val="0095706F"/>
    <w:rsid w:val="00961D32"/>
    <w:rsid w:val="0096387F"/>
    <w:rsid w:val="00964237"/>
    <w:rsid w:val="009647EC"/>
    <w:rsid w:val="00965812"/>
    <w:rsid w:val="00966813"/>
    <w:rsid w:val="00967B16"/>
    <w:rsid w:val="009718FA"/>
    <w:rsid w:val="0097301B"/>
    <w:rsid w:val="00973FEF"/>
    <w:rsid w:val="00974D2D"/>
    <w:rsid w:val="009754DD"/>
    <w:rsid w:val="009754E1"/>
    <w:rsid w:val="009759AC"/>
    <w:rsid w:val="00977C78"/>
    <w:rsid w:val="00977E06"/>
    <w:rsid w:val="00980C9E"/>
    <w:rsid w:val="0098136F"/>
    <w:rsid w:val="00982B8F"/>
    <w:rsid w:val="00983642"/>
    <w:rsid w:val="00986999"/>
    <w:rsid w:val="00986F0C"/>
    <w:rsid w:val="00987D6D"/>
    <w:rsid w:val="00990B25"/>
    <w:rsid w:val="009923C5"/>
    <w:rsid w:val="0099260C"/>
    <w:rsid w:val="00992BDE"/>
    <w:rsid w:val="0099320E"/>
    <w:rsid w:val="00997863"/>
    <w:rsid w:val="009978D1"/>
    <w:rsid w:val="009978E7"/>
    <w:rsid w:val="00997B70"/>
    <w:rsid w:val="009A31D3"/>
    <w:rsid w:val="009A3BD0"/>
    <w:rsid w:val="009A3D48"/>
    <w:rsid w:val="009A40B3"/>
    <w:rsid w:val="009A54F3"/>
    <w:rsid w:val="009A5B27"/>
    <w:rsid w:val="009A6404"/>
    <w:rsid w:val="009A701F"/>
    <w:rsid w:val="009A71E4"/>
    <w:rsid w:val="009A7279"/>
    <w:rsid w:val="009A7E68"/>
    <w:rsid w:val="009B046A"/>
    <w:rsid w:val="009B29C9"/>
    <w:rsid w:val="009B4291"/>
    <w:rsid w:val="009B4F3F"/>
    <w:rsid w:val="009B559E"/>
    <w:rsid w:val="009B5B67"/>
    <w:rsid w:val="009B6B40"/>
    <w:rsid w:val="009C05B2"/>
    <w:rsid w:val="009C0809"/>
    <w:rsid w:val="009C1066"/>
    <w:rsid w:val="009C1372"/>
    <w:rsid w:val="009C353B"/>
    <w:rsid w:val="009C5373"/>
    <w:rsid w:val="009C5669"/>
    <w:rsid w:val="009C6404"/>
    <w:rsid w:val="009D0240"/>
    <w:rsid w:val="009D1CF8"/>
    <w:rsid w:val="009D1FC0"/>
    <w:rsid w:val="009D2D03"/>
    <w:rsid w:val="009D3897"/>
    <w:rsid w:val="009D3B98"/>
    <w:rsid w:val="009D44A7"/>
    <w:rsid w:val="009D55E8"/>
    <w:rsid w:val="009D56D8"/>
    <w:rsid w:val="009D5ECD"/>
    <w:rsid w:val="009D6055"/>
    <w:rsid w:val="009D6445"/>
    <w:rsid w:val="009D7BF6"/>
    <w:rsid w:val="009E0D31"/>
    <w:rsid w:val="009E10EE"/>
    <w:rsid w:val="009E12A8"/>
    <w:rsid w:val="009E2DB1"/>
    <w:rsid w:val="009E5F11"/>
    <w:rsid w:val="009E6480"/>
    <w:rsid w:val="009E7994"/>
    <w:rsid w:val="009E7FFC"/>
    <w:rsid w:val="009F143B"/>
    <w:rsid w:val="009F2DB4"/>
    <w:rsid w:val="009F2EEB"/>
    <w:rsid w:val="009F2F3F"/>
    <w:rsid w:val="009F56DB"/>
    <w:rsid w:val="009F58BA"/>
    <w:rsid w:val="009F73BD"/>
    <w:rsid w:val="009F75DF"/>
    <w:rsid w:val="00A00055"/>
    <w:rsid w:val="00A00101"/>
    <w:rsid w:val="00A0075C"/>
    <w:rsid w:val="00A02270"/>
    <w:rsid w:val="00A04D03"/>
    <w:rsid w:val="00A077D2"/>
    <w:rsid w:val="00A1000C"/>
    <w:rsid w:val="00A16942"/>
    <w:rsid w:val="00A17A72"/>
    <w:rsid w:val="00A20E69"/>
    <w:rsid w:val="00A23D9B"/>
    <w:rsid w:val="00A23DD8"/>
    <w:rsid w:val="00A2528C"/>
    <w:rsid w:val="00A25909"/>
    <w:rsid w:val="00A25F51"/>
    <w:rsid w:val="00A268C5"/>
    <w:rsid w:val="00A27055"/>
    <w:rsid w:val="00A27E33"/>
    <w:rsid w:val="00A30393"/>
    <w:rsid w:val="00A30F1C"/>
    <w:rsid w:val="00A31AB4"/>
    <w:rsid w:val="00A321E2"/>
    <w:rsid w:val="00A32246"/>
    <w:rsid w:val="00A323F4"/>
    <w:rsid w:val="00A328C0"/>
    <w:rsid w:val="00A339A7"/>
    <w:rsid w:val="00A3714C"/>
    <w:rsid w:val="00A405C7"/>
    <w:rsid w:val="00A410BC"/>
    <w:rsid w:val="00A4125F"/>
    <w:rsid w:val="00A41BD6"/>
    <w:rsid w:val="00A427D6"/>
    <w:rsid w:val="00A45A2D"/>
    <w:rsid w:val="00A46E96"/>
    <w:rsid w:val="00A4759A"/>
    <w:rsid w:val="00A47679"/>
    <w:rsid w:val="00A47AAA"/>
    <w:rsid w:val="00A501AE"/>
    <w:rsid w:val="00A507AC"/>
    <w:rsid w:val="00A52030"/>
    <w:rsid w:val="00A5230D"/>
    <w:rsid w:val="00A5541B"/>
    <w:rsid w:val="00A5787A"/>
    <w:rsid w:val="00A60E9F"/>
    <w:rsid w:val="00A62A69"/>
    <w:rsid w:val="00A62BEC"/>
    <w:rsid w:val="00A63A63"/>
    <w:rsid w:val="00A658C1"/>
    <w:rsid w:val="00A66684"/>
    <w:rsid w:val="00A718AB"/>
    <w:rsid w:val="00A734AD"/>
    <w:rsid w:val="00A74C70"/>
    <w:rsid w:val="00A76050"/>
    <w:rsid w:val="00A76A29"/>
    <w:rsid w:val="00A770E4"/>
    <w:rsid w:val="00A804D9"/>
    <w:rsid w:val="00A81C21"/>
    <w:rsid w:val="00A82018"/>
    <w:rsid w:val="00A837A0"/>
    <w:rsid w:val="00A83E6A"/>
    <w:rsid w:val="00A84263"/>
    <w:rsid w:val="00A90707"/>
    <w:rsid w:val="00A90926"/>
    <w:rsid w:val="00A924D3"/>
    <w:rsid w:val="00A927BE"/>
    <w:rsid w:val="00A928EC"/>
    <w:rsid w:val="00A94273"/>
    <w:rsid w:val="00A96EE6"/>
    <w:rsid w:val="00A97287"/>
    <w:rsid w:val="00AA0B0F"/>
    <w:rsid w:val="00AA15E5"/>
    <w:rsid w:val="00AA18F9"/>
    <w:rsid w:val="00AA2AA2"/>
    <w:rsid w:val="00AA2DED"/>
    <w:rsid w:val="00AA4E5D"/>
    <w:rsid w:val="00AA79FD"/>
    <w:rsid w:val="00AB1C66"/>
    <w:rsid w:val="00AB4214"/>
    <w:rsid w:val="00AB435C"/>
    <w:rsid w:val="00AB4BA8"/>
    <w:rsid w:val="00AB7B1D"/>
    <w:rsid w:val="00AB7BFE"/>
    <w:rsid w:val="00AC0CD4"/>
    <w:rsid w:val="00AC4C86"/>
    <w:rsid w:val="00AC4CF3"/>
    <w:rsid w:val="00AC4D38"/>
    <w:rsid w:val="00AC507D"/>
    <w:rsid w:val="00AC5243"/>
    <w:rsid w:val="00AC5A9E"/>
    <w:rsid w:val="00AC74C2"/>
    <w:rsid w:val="00AC7794"/>
    <w:rsid w:val="00AD1FEC"/>
    <w:rsid w:val="00AD2B82"/>
    <w:rsid w:val="00AD2DF1"/>
    <w:rsid w:val="00AD2EA1"/>
    <w:rsid w:val="00AD392D"/>
    <w:rsid w:val="00AD4559"/>
    <w:rsid w:val="00AD772E"/>
    <w:rsid w:val="00AE131E"/>
    <w:rsid w:val="00AE4125"/>
    <w:rsid w:val="00AE58A1"/>
    <w:rsid w:val="00AE6BD5"/>
    <w:rsid w:val="00AF19B6"/>
    <w:rsid w:val="00AF1C99"/>
    <w:rsid w:val="00AF3146"/>
    <w:rsid w:val="00AF5E87"/>
    <w:rsid w:val="00AF68BD"/>
    <w:rsid w:val="00AF7193"/>
    <w:rsid w:val="00B00552"/>
    <w:rsid w:val="00B013C6"/>
    <w:rsid w:val="00B02BEE"/>
    <w:rsid w:val="00B06740"/>
    <w:rsid w:val="00B076E2"/>
    <w:rsid w:val="00B07EF2"/>
    <w:rsid w:val="00B106B7"/>
    <w:rsid w:val="00B10BD5"/>
    <w:rsid w:val="00B11C1C"/>
    <w:rsid w:val="00B12E7A"/>
    <w:rsid w:val="00B13613"/>
    <w:rsid w:val="00B15624"/>
    <w:rsid w:val="00B17BD8"/>
    <w:rsid w:val="00B17E56"/>
    <w:rsid w:val="00B23F78"/>
    <w:rsid w:val="00B256E8"/>
    <w:rsid w:val="00B25701"/>
    <w:rsid w:val="00B25C34"/>
    <w:rsid w:val="00B26EEA"/>
    <w:rsid w:val="00B30B53"/>
    <w:rsid w:val="00B313E9"/>
    <w:rsid w:val="00B32325"/>
    <w:rsid w:val="00B32AAC"/>
    <w:rsid w:val="00B3379E"/>
    <w:rsid w:val="00B340A4"/>
    <w:rsid w:val="00B340D4"/>
    <w:rsid w:val="00B34434"/>
    <w:rsid w:val="00B35531"/>
    <w:rsid w:val="00B355EC"/>
    <w:rsid w:val="00B411A3"/>
    <w:rsid w:val="00B431AF"/>
    <w:rsid w:val="00B443CF"/>
    <w:rsid w:val="00B45C2D"/>
    <w:rsid w:val="00B46D45"/>
    <w:rsid w:val="00B47985"/>
    <w:rsid w:val="00B50F76"/>
    <w:rsid w:val="00B52907"/>
    <w:rsid w:val="00B53696"/>
    <w:rsid w:val="00B541DE"/>
    <w:rsid w:val="00B56649"/>
    <w:rsid w:val="00B625F2"/>
    <w:rsid w:val="00B62982"/>
    <w:rsid w:val="00B62B5B"/>
    <w:rsid w:val="00B64FA2"/>
    <w:rsid w:val="00B65520"/>
    <w:rsid w:val="00B663DC"/>
    <w:rsid w:val="00B67430"/>
    <w:rsid w:val="00B70EC3"/>
    <w:rsid w:val="00B710D8"/>
    <w:rsid w:val="00B73629"/>
    <w:rsid w:val="00B7466E"/>
    <w:rsid w:val="00B74AE3"/>
    <w:rsid w:val="00B75E89"/>
    <w:rsid w:val="00B779BD"/>
    <w:rsid w:val="00B8021E"/>
    <w:rsid w:val="00B8028F"/>
    <w:rsid w:val="00B833BE"/>
    <w:rsid w:val="00B87B08"/>
    <w:rsid w:val="00B90F2F"/>
    <w:rsid w:val="00B91E2B"/>
    <w:rsid w:val="00B921E4"/>
    <w:rsid w:val="00B93C7A"/>
    <w:rsid w:val="00B94AD0"/>
    <w:rsid w:val="00B956C4"/>
    <w:rsid w:val="00B96782"/>
    <w:rsid w:val="00BA08F1"/>
    <w:rsid w:val="00BA0DAB"/>
    <w:rsid w:val="00BA303A"/>
    <w:rsid w:val="00BA4C54"/>
    <w:rsid w:val="00BA7FF0"/>
    <w:rsid w:val="00BB02FF"/>
    <w:rsid w:val="00BB2152"/>
    <w:rsid w:val="00BB2BE0"/>
    <w:rsid w:val="00BB3529"/>
    <w:rsid w:val="00BB405B"/>
    <w:rsid w:val="00BB4B19"/>
    <w:rsid w:val="00BB68F9"/>
    <w:rsid w:val="00BB7FC6"/>
    <w:rsid w:val="00BC1799"/>
    <w:rsid w:val="00BC2663"/>
    <w:rsid w:val="00BC29D0"/>
    <w:rsid w:val="00BC31DB"/>
    <w:rsid w:val="00BC4043"/>
    <w:rsid w:val="00BC4A27"/>
    <w:rsid w:val="00BC4FD6"/>
    <w:rsid w:val="00BC6D3A"/>
    <w:rsid w:val="00BC7548"/>
    <w:rsid w:val="00BD128D"/>
    <w:rsid w:val="00BD68AF"/>
    <w:rsid w:val="00BD6F2D"/>
    <w:rsid w:val="00BD797F"/>
    <w:rsid w:val="00BD7F12"/>
    <w:rsid w:val="00BE1470"/>
    <w:rsid w:val="00BE7C72"/>
    <w:rsid w:val="00BF1421"/>
    <w:rsid w:val="00BF2468"/>
    <w:rsid w:val="00BF414E"/>
    <w:rsid w:val="00BF5CEF"/>
    <w:rsid w:val="00BF78BF"/>
    <w:rsid w:val="00C00BBF"/>
    <w:rsid w:val="00C02CC4"/>
    <w:rsid w:val="00C03B68"/>
    <w:rsid w:val="00C04AA4"/>
    <w:rsid w:val="00C04EC8"/>
    <w:rsid w:val="00C05445"/>
    <w:rsid w:val="00C06BE9"/>
    <w:rsid w:val="00C112C9"/>
    <w:rsid w:val="00C12CBD"/>
    <w:rsid w:val="00C13469"/>
    <w:rsid w:val="00C134DB"/>
    <w:rsid w:val="00C16D8A"/>
    <w:rsid w:val="00C20847"/>
    <w:rsid w:val="00C222E3"/>
    <w:rsid w:val="00C25B78"/>
    <w:rsid w:val="00C264DC"/>
    <w:rsid w:val="00C26907"/>
    <w:rsid w:val="00C32068"/>
    <w:rsid w:val="00C33FEF"/>
    <w:rsid w:val="00C34017"/>
    <w:rsid w:val="00C355DF"/>
    <w:rsid w:val="00C4007D"/>
    <w:rsid w:val="00C4163B"/>
    <w:rsid w:val="00C41F24"/>
    <w:rsid w:val="00C43FD0"/>
    <w:rsid w:val="00C4691E"/>
    <w:rsid w:val="00C47619"/>
    <w:rsid w:val="00C51445"/>
    <w:rsid w:val="00C5168E"/>
    <w:rsid w:val="00C51D2A"/>
    <w:rsid w:val="00C52848"/>
    <w:rsid w:val="00C55704"/>
    <w:rsid w:val="00C6074A"/>
    <w:rsid w:val="00C61FF5"/>
    <w:rsid w:val="00C63606"/>
    <w:rsid w:val="00C649B2"/>
    <w:rsid w:val="00C6662D"/>
    <w:rsid w:val="00C671F5"/>
    <w:rsid w:val="00C67588"/>
    <w:rsid w:val="00C67ADF"/>
    <w:rsid w:val="00C67E5D"/>
    <w:rsid w:val="00C67F17"/>
    <w:rsid w:val="00C70DB9"/>
    <w:rsid w:val="00C72528"/>
    <w:rsid w:val="00C74013"/>
    <w:rsid w:val="00C74025"/>
    <w:rsid w:val="00C748FF"/>
    <w:rsid w:val="00C74DA7"/>
    <w:rsid w:val="00C767DA"/>
    <w:rsid w:val="00C76D70"/>
    <w:rsid w:val="00C805FB"/>
    <w:rsid w:val="00C80CA7"/>
    <w:rsid w:val="00C810CC"/>
    <w:rsid w:val="00C81C95"/>
    <w:rsid w:val="00C8227D"/>
    <w:rsid w:val="00C8269C"/>
    <w:rsid w:val="00C83750"/>
    <w:rsid w:val="00C86509"/>
    <w:rsid w:val="00C8675B"/>
    <w:rsid w:val="00C86CD7"/>
    <w:rsid w:val="00C86F17"/>
    <w:rsid w:val="00C86F88"/>
    <w:rsid w:val="00C87223"/>
    <w:rsid w:val="00C87AD2"/>
    <w:rsid w:val="00C90BBF"/>
    <w:rsid w:val="00C91729"/>
    <w:rsid w:val="00C91865"/>
    <w:rsid w:val="00C9376B"/>
    <w:rsid w:val="00C9581A"/>
    <w:rsid w:val="00C960BE"/>
    <w:rsid w:val="00C9791B"/>
    <w:rsid w:val="00CA27CB"/>
    <w:rsid w:val="00CA3682"/>
    <w:rsid w:val="00CA5B5C"/>
    <w:rsid w:val="00CA71C3"/>
    <w:rsid w:val="00CB0040"/>
    <w:rsid w:val="00CB1689"/>
    <w:rsid w:val="00CB341B"/>
    <w:rsid w:val="00CB3481"/>
    <w:rsid w:val="00CB4013"/>
    <w:rsid w:val="00CB44BB"/>
    <w:rsid w:val="00CB4580"/>
    <w:rsid w:val="00CB5FE1"/>
    <w:rsid w:val="00CC2A7C"/>
    <w:rsid w:val="00CC4AEF"/>
    <w:rsid w:val="00CC6C0C"/>
    <w:rsid w:val="00CC719D"/>
    <w:rsid w:val="00CC724A"/>
    <w:rsid w:val="00CD38AE"/>
    <w:rsid w:val="00CD44B9"/>
    <w:rsid w:val="00CD482D"/>
    <w:rsid w:val="00CD4BE8"/>
    <w:rsid w:val="00CE2834"/>
    <w:rsid w:val="00CE7264"/>
    <w:rsid w:val="00CF158B"/>
    <w:rsid w:val="00CF3985"/>
    <w:rsid w:val="00CF5301"/>
    <w:rsid w:val="00CF534A"/>
    <w:rsid w:val="00CF55D6"/>
    <w:rsid w:val="00CF6484"/>
    <w:rsid w:val="00CF78D3"/>
    <w:rsid w:val="00D016C5"/>
    <w:rsid w:val="00D01D1A"/>
    <w:rsid w:val="00D02312"/>
    <w:rsid w:val="00D07B07"/>
    <w:rsid w:val="00D10177"/>
    <w:rsid w:val="00D10B27"/>
    <w:rsid w:val="00D11264"/>
    <w:rsid w:val="00D121FA"/>
    <w:rsid w:val="00D12B6B"/>
    <w:rsid w:val="00D12CFF"/>
    <w:rsid w:val="00D14AF4"/>
    <w:rsid w:val="00D156AF"/>
    <w:rsid w:val="00D15A86"/>
    <w:rsid w:val="00D16367"/>
    <w:rsid w:val="00D16699"/>
    <w:rsid w:val="00D202C6"/>
    <w:rsid w:val="00D2092C"/>
    <w:rsid w:val="00D228DE"/>
    <w:rsid w:val="00D22DC3"/>
    <w:rsid w:val="00D24B04"/>
    <w:rsid w:val="00D25683"/>
    <w:rsid w:val="00D27042"/>
    <w:rsid w:val="00D322D9"/>
    <w:rsid w:val="00D333A4"/>
    <w:rsid w:val="00D35DD1"/>
    <w:rsid w:val="00D40191"/>
    <w:rsid w:val="00D4077C"/>
    <w:rsid w:val="00D422AF"/>
    <w:rsid w:val="00D4253A"/>
    <w:rsid w:val="00D43EB8"/>
    <w:rsid w:val="00D45148"/>
    <w:rsid w:val="00D460C3"/>
    <w:rsid w:val="00D46C5C"/>
    <w:rsid w:val="00D50B42"/>
    <w:rsid w:val="00D51285"/>
    <w:rsid w:val="00D513C0"/>
    <w:rsid w:val="00D5307F"/>
    <w:rsid w:val="00D56587"/>
    <w:rsid w:val="00D56939"/>
    <w:rsid w:val="00D57228"/>
    <w:rsid w:val="00D618A4"/>
    <w:rsid w:val="00D61C6D"/>
    <w:rsid w:val="00D62940"/>
    <w:rsid w:val="00D64034"/>
    <w:rsid w:val="00D6481C"/>
    <w:rsid w:val="00D65324"/>
    <w:rsid w:val="00D65726"/>
    <w:rsid w:val="00D7246B"/>
    <w:rsid w:val="00D724FF"/>
    <w:rsid w:val="00D726ED"/>
    <w:rsid w:val="00D72832"/>
    <w:rsid w:val="00D73109"/>
    <w:rsid w:val="00D73C0A"/>
    <w:rsid w:val="00D76513"/>
    <w:rsid w:val="00D76C43"/>
    <w:rsid w:val="00D80C4B"/>
    <w:rsid w:val="00D810EC"/>
    <w:rsid w:val="00D8255C"/>
    <w:rsid w:val="00D835B6"/>
    <w:rsid w:val="00D84464"/>
    <w:rsid w:val="00D8548C"/>
    <w:rsid w:val="00D91782"/>
    <w:rsid w:val="00D92107"/>
    <w:rsid w:val="00D925A8"/>
    <w:rsid w:val="00D94999"/>
    <w:rsid w:val="00D9620F"/>
    <w:rsid w:val="00DA0540"/>
    <w:rsid w:val="00DA2840"/>
    <w:rsid w:val="00DA35E1"/>
    <w:rsid w:val="00DA35EF"/>
    <w:rsid w:val="00DA4030"/>
    <w:rsid w:val="00DA6819"/>
    <w:rsid w:val="00DB15FD"/>
    <w:rsid w:val="00DB2E84"/>
    <w:rsid w:val="00DB3DD5"/>
    <w:rsid w:val="00DB5079"/>
    <w:rsid w:val="00DB58EC"/>
    <w:rsid w:val="00DB7393"/>
    <w:rsid w:val="00DC156F"/>
    <w:rsid w:val="00DC399B"/>
    <w:rsid w:val="00DC501B"/>
    <w:rsid w:val="00DC7518"/>
    <w:rsid w:val="00DD0F92"/>
    <w:rsid w:val="00DD3F06"/>
    <w:rsid w:val="00DD49F4"/>
    <w:rsid w:val="00DD5700"/>
    <w:rsid w:val="00DD5E2B"/>
    <w:rsid w:val="00DE1A4C"/>
    <w:rsid w:val="00DE2966"/>
    <w:rsid w:val="00DE5C24"/>
    <w:rsid w:val="00DE6DA2"/>
    <w:rsid w:val="00DF0424"/>
    <w:rsid w:val="00DF3781"/>
    <w:rsid w:val="00DF6291"/>
    <w:rsid w:val="00DF6E69"/>
    <w:rsid w:val="00DF779F"/>
    <w:rsid w:val="00E0140B"/>
    <w:rsid w:val="00E01785"/>
    <w:rsid w:val="00E01BEC"/>
    <w:rsid w:val="00E03F92"/>
    <w:rsid w:val="00E0595F"/>
    <w:rsid w:val="00E06847"/>
    <w:rsid w:val="00E06EE2"/>
    <w:rsid w:val="00E07CB1"/>
    <w:rsid w:val="00E107CA"/>
    <w:rsid w:val="00E1216B"/>
    <w:rsid w:val="00E1477F"/>
    <w:rsid w:val="00E14C65"/>
    <w:rsid w:val="00E16C63"/>
    <w:rsid w:val="00E23093"/>
    <w:rsid w:val="00E25D54"/>
    <w:rsid w:val="00E2709A"/>
    <w:rsid w:val="00E30E76"/>
    <w:rsid w:val="00E31E0C"/>
    <w:rsid w:val="00E32DAA"/>
    <w:rsid w:val="00E3322A"/>
    <w:rsid w:val="00E341F5"/>
    <w:rsid w:val="00E3461B"/>
    <w:rsid w:val="00E3654E"/>
    <w:rsid w:val="00E367B7"/>
    <w:rsid w:val="00E36DE4"/>
    <w:rsid w:val="00E37F93"/>
    <w:rsid w:val="00E4176F"/>
    <w:rsid w:val="00E43171"/>
    <w:rsid w:val="00E43B5E"/>
    <w:rsid w:val="00E43D94"/>
    <w:rsid w:val="00E4442B"/>
    <w:rsid w:val="00E45B51"/>
    <w:rsid w:val="00E52515"/>
    <w:rsid w:val="00E52518"/>
    <w:rsid w:val="00E531B9"/>
    <w:rsid w:val="00E53BC5"/>
    <w:rsid w:val="00E54410"/>
    <w:rsid w:val="00E5758B"/>
    <w:rsid w:val="00E57869"/>
    <w:rsid w:val="00E6191D"/>
    <w:rsid w:val="00E61DBC"/>
    <w:rsid w:val="00E637A7"/>
    <w:rsid w:val="00E64057"/>
    <w:rsid w:val="00E664B4"/>
    <w:rsid w:val="00E66AFF"/>
    <w:rsid w:val="00E6771C"/>
    <w:rsid w:val="00E70381"/>
    <w:rsid w:val="00E705E6"/>
    <w:rsid w:val="00E70EAE"/>
    <w:rsid w:val="00E70F8F"/>
    <w:rsid w:val="00E729DC"/>
    <w:rsid w:val="00E73DEF"/>
    <w:rsid w:val="00E753EC"/>
    <w:rsid w:val="00E765BF"/>
    <w:rsid w:val="00E76B37"/>
    <w:rsid w:val="00E80D65"/>
    <w:rsid w:val="00E8259B"/>
    <w:rsid w:val="00E8557F"/>
    <w:rsid w:val="00E864E4"/>
    <w:rsid w:val="00E8709F"/>
    <w:rsid w:val="00E900E2"/>
    <w:rsid w:val="00E91723"/>
    <w:rsid w:val="00E93537"/>
    <w:rsid w:val="00E95356"/>
    <w:rsid w:val="00E960DD"/>
    <w:rsid w:val="00E96580"/>
    <w:rsid w:val="00E968FC"/>
    <w:rsid w:val="00EA0220"/>
    <w:rsid w:val="00EA0ADC"/>
    <w:rsid w:val="00EA21E9"/>
    <w:rsid w:val="00EA4C4B"/>
    <w:rsid w:val="00EA4E22"/>
    <w:rsid w:val="00EA6B9E"/>
    <w:rsid w:val="00EA77BE"/>
    <w:rsid w:val="00EB0FDD"/>
    <w:rsid w:val="00EB2090"/>
    <w:rsid w:val="00EB23CD"/>
    <w:rsid w:val="00EB5299"/>
    <w:rsid w:val="00EB5D75"/>
    <w:rsid w:val="00EB6F2C"/>
    <w:rsid w:val="00EC1316"/>
    <w:rsid w:val="00EC19C1"/>
    <w:rsid w:val="00EC25F1"/>
    <w:rsid w:val="00EC283A"/>
    <w:rsid w:val="00EC3551"/>
    <w:rsid w:val="00EC7271"/>
    <w:rsid w:val="00EC7673"/>
    <w:rsid w:val="00ED2086"/>
    <w:rsid w:val="00ED2615"/>
    <w:rsid w:val="00ED38AF"/>
    <w:rsid w:val="00ED45E8"/>
    <w:rsid w:val="00ED60A1"/>
    <w:rsid w:val="00ED6123"/>
    <w:rsid w:val="00ED6269"/>
    <w:rsid w:val="00ED69A0"/>
    <w:rsid w:val="00EE184B"/>
    <w:rsid w:val="00EE1C4A"/>
    <w:rsid w:val="00EE1EB0"/>
    <w:rsid w:val="00EE6052"/>
    <w:rsid w:val="00EE6D21"/>
    <w:rsid w:val="00EE6F4A"/>
    <w:rsid w:val="00EF15EF"/>
    <w:rsid w:val="00EF379C"/>
    <w:rsid w:val="00F01B55"/>
    <w:rsid w:val="00F0237B"/>
    <w:rsid w:val="00F03C15"/>
    <w:rsid w:val="00F04BDE"/>
    <w:rsid w:val="00F06498"/>
    <w:rsid w:val="00F06E99"/>
    <w:rsid w:val="00F0723B"/>
    <w:rsid w:val="00F0786F"/>
    <w:rsid w:val="00F11E0A"/>
    <w:rsid w:val="00F13013"/>
    <w:rsid w:val="00F14D9E"/>
    <w:rsid w:val="00F14F22"/>
    <w:rsid w:val="00F16104"/>
    <w:rsid w:val="00F16CF9"/>
    <w:rsid w:val="00F20B09"/>
    <w:rsid w:val="00F20CD8"/>
    <w:rsid w:val="00F21BC5"/>
    <w:rsid w:val="00F221E2"/>
    <w:rsid w:val="00F24EDD"/>
    <w:rsid w:val="00F25216"/>
    <w:rsid w:val="00F25CB6"/>
    <w:rsid w:val="00F26D2D"/>
    <w:rsid w:val="00F3167E"/>
    <w:rsid w:val="00F31AB9"/>
    <w:rsid w:val="00F324DD"/>
    <w:rsid w:val="00F3335E"/>
    <w:rsid w:val="00F33742"/>
    <w:rsid w:val="00F33829"/>
    <w:rsid w:val="00F349E0"/>
    <w:rsid w:val="00F368DD"/>
    <w:rsid w:val="00F36AB3"/>
    <w:rsid w:val="00F36BF0"/>
    <w:rsid w:val="00F37DF8"/>
    <w:rsid w:val="00F439B5"/>
    <w:rsid w:val="00F43D2A"/>
    <w:rsid w:val="00F44002"/>
    <w:rsid w:val="00F45F80"/>
    <w:rsid w:val="00F52E75"/>
    <w:rsid w:val="00F54303"/>
    <w:rsid w:val="00F54C75"/>
    <w:rsid w:val="00F57DED"/>
    <w:rsid w:val="00F63F49"/>
    <w:rsid w:val="00F6477C"/>
    <w:rsid w:val="00F65837"/>
    <w:rsid w:val="00F663F6"/>
    <w:rsid w:val="00F6707C"/>
    <w:rsid w:val="00F67367"/>
    <w:rsid w:val="00F70C4B"/>
    <w:rsid w:val="00F713A4"/>
    <w:rsid w:val="00F715EA"/>
    <w:rsid w:val="00F72D00"/>
    <w:rsid w:val="00F73A95"/>
    <w:rsid w:val="00F73C1E"/>
    <w:rsid w:val="00F771DE"/>
    <w:rsid w:val="00F81150"/>
    <w:rsid w:val="00F833B7"/>
    <w:rsid w:val="00F83A22"/>
    <w:rsid w:val="00F843B1"/>
    <w:rsid w:val="00F84CF9"/>
    <w:rsid w:val="00F87C6C"/>
    <w:rsid w:val="00F87E38"/>
    <w:rsid w:val="00F9075C"/>
    <w:rsid w:val="00F91A73"/>
    <w:rsid w:val="00F92849"/>
    <w:rsid w:val="00F92DBC"/>
    <w:rsid w:val="00F94424"/>
    <w:rsid w:val="00F97EA2"/>
    <w:rsid w:val="00FA155E"/>
    <w:rsid w:val="00FA2322"/>
    <w:rsid w:val="00FA244A"/>
    <w:rsid w:val="00FA303A"/>
    <w:rsid w:val="00FA31B9"/>
    <w:rsid w:val="00FA7CD9"/>
    <w:rsid w:val="00FB297F"/>
    <w:rsid w:val="00FB31BF"/>
    <w:rsid w:val="00FB4B0C"/>
    <w:rsid w:val="00FB638E"/>
    <w:rsid w:val="00FC0980"/>
    <w:rsid w:val="00FC0D10"/>
    <w:rsid w:val="00FC1934"/>
    <w:rsid w:val="00FC3693"/>
    <w:rsid w:val="00FC3CCB"/>
    <w:rsid w:val="00FC5555"/>
    <w:rsid w:val="00FD127E"/>
    <w:rsid w:val="00FD78D4"/>
    <w:rsid w:val="00FE1D8F"/>
    <w:rsid w:val="00FE2169"/>
    <w:rsid w:val="00FE288E"/>
    <w:rsid w:val="00FE38F0"/>
    <w:rsid w:val="00FE400D"/>
    <w:rsid w:val="00FE43A9"/>
    <w:rsid w:val="00FE6588"/>
    <w:rsid w:val="00FE70D2"/>
    <w:rsid w:val="00FE73F3"/>
    <w:rsid w:val="00FE7B84"/>
    <w:rsid w:val="00FF2CF8"/>
    <w:rsid w:val="00FF32B0"/>
    <w:rsid w:val="00FF41F3"/>
    <w:rsid w:val="00FF54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FDCB09"/>
  <w15:docId w15:val="{B6460318-E840-4794-B908-D52E494260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F33E7"/>
    <w:rPr>
      <w:rFonts w:ascii="Times New Roman" w:hAnsi="Times New Roman"/>
      <w:sz w:val="24"/>
    </w:rPr>
  </w:style>
  <w:style w:type="paragraph" w:styleId="Ttulo1">
    <w:name w:val="heading 1"/>
    <w:basedOn w:val="Normal"/>
    <w:link w:val="Ttulo1Car"/>
    <w:uiPriority w:val="9"/>
    <w:qFormat/>
    <w:rsid w:val="009978E7"/>
    <w:pPr>
      <w:spacing w:before="100" w:beforeAutospacing="1" w:after="100" w:afterAutospacing="1" w:line="240" w:lineRule="auto"/>
      <w:outlineLvl w:val="0"/>
    </w:pPr>
    <w:rPr>
      <w:rFonts w:ascii="Times New Roman" w:eastAsia="Times New Roman" w:hAnsi="Times New Roman" w:cs="Times New Roman"/>
      <w:b/>
      <w:bCs/>
      <w:kern w:val="36"/>
      <w:sz w:val="48"/>
      <w:szCs w:val="48"/>
      <w:lang w:val="es-PE" w:eastAsia="es-PE"/>
    </w:rPr>
  </w:style>
  <w:style w:type="paragraph" w:styleId="Ttulo2">
    <w:name w:val="heading 2"/>
    <w:basedOn w:val="Normal"/>
    <w:next w:val="Normal"/>
    <w:link w:val="Ttulo2Car"/>
    <w:uiPriority w:val="9"/>
    <w:semiHidden/>
    <w:unhideWhenUsed/>
    <w:qFormat/>
    <w:rsid w:val="002019FA"/>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Ttulo3">
    <w:name w:val="heading 3"/>
    <w:basedOn w:val="Normal"/>
    <w:next w:val="Normal"/>
    <w:link w:val="Ttulo3Car"/>
    <w:uiPriority w:val="9"/>
    <w:semiHidden/>
    <w:unhideWhenUsed/>
    <w:qFormat/>
    <w:rsid w:val="00FC0980"/>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Ttulo4">
    <w:name w:val="heading 4"/>
    <w:basedOn w:val="Normal"/>
    <w:next w:val="Normal"/>
    <w:link w:val="Ttulo4Car"/>
    <w:uiPriority w:val="9"/>
    <w:semiHidden/>
    <w:unhideWhenUsed/>
    <w:qFormat/>
    <w:rsid w:val="002019FA"/>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aliases w:val="Number List 1"/>
    <w:basedOn w:val="Normal"/>
    <w:link w:val="PrrafodelistaCar"/>
    <w:uiPriority w:val="34"/>
    <w:qFormat/>
    <w:rsid w:val="00A17A72"/>
    <w:pPr>
      <w:ind w:left="720"/>
      <w:contextualSpacing/>
    </w:pPr>
  </w:style>
  <w:style w:type="paragraph" w:styleId="Textoindependiente">
    <w:name w:val="Body Text"/>
    <w:basedOn w:val="Normal"/>
    <w:link w:val="TextoindependienteCar"/>
    <w:rsid w:val="00BD797F"/>
    <w:pPr>
      <w:suppressAutoHyphens/>
      <w:spacing w:after="0" w:line="240" w:lineRule="auto"/>
      <w:jc w:val="both"/>
    </w:pPr>
    <w:rPr>
      <w:rFonts w:ascii="Times New Roman" w:eastAsia="Times New Roman" w:hAnsi="Times New Roman" w:cs="Times New Roman"/>
      <w:bCs/>
      <w:sz w:val="24"/>
      <w:szCs w:val="24"/>
      <w:lang w:val="es-MX" w:eastAsia="ar-SA"/>
    </w:rPr>
  </w:style>
  <w:style w:type="character" w:customStyle="1" w:styleId="TextoindependienteCar">
    <w:name w:val="Texto independiente Car"/>
    <w:basedOn w:val="Fuentedeprrafopredeter"/>
    <w:link w:val="Textoindependiente"/>
    <w:rsid w:val="00BD797F"/>
    <w:rPr>
      <w:rFonts w:ascii="Times New Roman" w:eastAsia="Times New Roman" w:hAnsi="Times New Roman" w:cs="Times New Roman"/>
      <w:bCs/>
      <w:sz w:val="24"/>
      <w:szCs w:val="24"/>
      <w:lang w:val="es-MX" w:eastAsia="ar-SA"/>
    </w:rPr>
  </w:style>
  <w:style w:type="character" w:styleId="Hipervnculo">
    <w:name w:val="Hyperlink"/>
    <w:basedOn w:val="Fuentedeprrafopredeter"/>
    <w:uiPriority w:val="99"/>
    <w:unhideWhenUsed/>
    <w:rsid w:val="00201C0D"/>
    <w:rPr>
      <w:color w:val="0563C1" w:themeColor="hyperlink"/>
      <w:u w:val="single"/>
    </w:rPr>
  </w:style>
  <w:style w:type="character" w:customStyle="1" w:styleId="Mencionar1">
    <w:name w:val="Mencionar1"/>
    <w:basedOn w:val="Fuentedeprrafopredeter"/>
    <w:uiPriority w:val="99"/>
    <w:semiHidden/>
    <w:unhideWhenUsed/>
    <w:rsid w:val="00201C0D"/>
    <w:rPr>
      <w:color w:val="2B579A"/>
      <w:shd w:val="clear" w:color="auto" w:fill="E6E6E6"/>
    </w:rPr>
  </w:style>
  <w:style w:type="character" w:styleId="Hipervnculovisitado">
    <w:name w:val="FollowedHyperlink"/>
    <w:basedOn w:val="Fuentedeprrafopredeter"/>
    <w:uiPriority w:val="99"/>
    <w:semiHidden/>
    <w:unhideWhenUsed/>
    <w:rsid w:val="00201C0D"/>
    <w:rPr>
      <w:color w:val="954F72" w:themeColor="followedHyperlink"/>
      <w:u w:val="single"/>
    </w:rPr>
  </w:style>
  <w:style w:type="character" w:customStyle="1" w:styleId="Mencinsinresolver1">
    <w:name w:val="Mención sin resolver1"/>
    <w:basedOn w:val="Fuentedeprrafopredeter"/>
    <w:uiPriority w:val="99"/>
    <w:semiHidden/>
    <w:unhideWhenUsed/>
    <w:rsid w:val="00B45C2D"/>
    <w:rPr>
      <w:color w:val="808080"/>
      <w:shd w:val="clear" w:color="auto" w:fill="E6E6E6"/>
    </w:rPr>
  </w:style>
  <w:style w:type="paragraph" w:styleId="Sangradetextonormal">
    <w:name w:val="Body Text Indent"/>
    <w:basedOn w:val="Normal"/>
    <w:link w:val="SangradetextonormalCar"/>
    <w:uiPriority w:val="99"/>
    <w:unhideWhenUsed/>
    <w:rsid w:val="00D22DC3"/>
    <w:pPr>
      <w:spacing w:after="120" w:line="276" w:lineRule="auto"/>
      <w:ind w:left="283"/>
    </w:pPr>
    <w:rPr>
      <w:rFonts w:ascii="Calibri" w:eastAsia="Calibri" w:hAnsi="Calibri" w:cs="Times New Roman"/>
      <w:lang w:val="es-PE"/>
    </w:rPr>
  </w:style>
  <w:style w:type="character" w:customStyle="1" w:styleId="SangradetextonormalCar">
    <w:name w:val="Sangría de texto normal Car"/>
    <w:basedOn w:val="Fuentedeprrafopredeter"/>
    <w:link w:val="Sangradetextonormal"/>
    <w:uiPriority w:val="99"/>
    <w:rsid w:val="00D22DC3"/>
    <w:rPr>
      <w:rFonts w:ascii="Calibri" w:eastAsia="Calibri" w:hAnsi="Calibri" w:cs="Times New Roman"/>
      <w:lang w:val="es-PE"/>
    </w:rPr>
  </w:style>
  <w:style w:type="paragraph" w:styleId="Encabezado">
    <w:name w:val="header"/>
    <w:basedOn w:val="Normal"/>
    <w:link w:val="EncabezadoCar"/>
    <w:uiPriority w:val="99"/>
    <w:unhideWhenUsed/>
    <w:rsid w:val="0078435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784355"/>
  </w:style>
  <w:style w:type="paragraph" w:styleId="Piedepgina">
    <w:name w:val="footer"/>
    <w:basedOn w:val="Normal"/>
    <w:link w:val="PiedepginaCar"/>
    <w:uiPriority w:val="99"/>
    <w:unhideWhenUsed/>
    <w:rsid w:val="0078435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784355"/>
  </w:style>
  <w:style w:type="paragraph" w:customStyle="1" w:styleId="Default">
    <w:name w:val="Default"/>
    <w:rsid w:val="00DB5079"/>
    <w:pPr>
      <w:autoSpaceDE w:val="0"/>
      <w:autoSpaceDN w:val="0"/>
      <w:adjustRightInd w:val="0"/>
      <w:spacing w:after="0" w:line="240" w:lineRule="auto"/>
    </w:pPr>
    <w:rPr>
      <w:rFonts w:ascii="Calibri" w:eastAsia="Times New Roman" w:hAnsi="Calibri" w:cs="Calibri"/>
      <w:color w:val="000000"/>
      <w:sz w:val="24"/>
      <w:szCs w:val="24"/>
      <w:lang w:val="es-PE" w:eastAsia="es-PE"/>
    </w:rPr>
  </w:style>
  <w:style w:type="character" w:styleId="Textoennegrita">
    <w:name w:val="Strong"/>
    <w:basedOn w:val="Fuentedeprrafopredeter"/>
    <w:qFormat/>
    <w:rsid w:val="000619A2"/>
    <w:rPr>
      <w:b/>
      <w:bCs w:val="0"/>
    </w:rPr>
  </w:style>
  <w:style w:type="character" w:customStyle="1" w:styleId="Ttulo1Car">
    <w:name w:val="Título 1 Car"/>
    <w:basedOn w:val="Fuentedeprrafopredeter"/>
    <w:link w:val="Ttulo1"/>
    <w:uiPriority w:val="9"/>
    <w:rsid w:val="009978E7"/>
    <w:rPr>
      <w:rFonts w:ascii="Times New Roman" w:eastAsia="Times New Roman" w:hAnsi="Times New Roman" w:cs="Times New Roman"/>
      <w:b/>
      <w:bCs/>
      <w:kern w:val="36"/>
      <w:sz w:val="48"/>
      <w:szCs w:val="48"/>
      <w:lang w:val="es-PE" w:eastAsia="es-PE"/>
    </w:rPr>
  </w:style>
  <w:style w:type="character" w:styleId="Mencinsinresolver">
    <w:name w:val="Unresolved Mention"/>
    <w:basedOn w:val="Fuentedeprrafopredeter"/>
    <w:uiPriority w:val="99"/>
    <w:semiHidden/>
    <w:unhideWhenUsed/>
    <w:rsid w:val="00310C00"/>
    <w:rPr>
      <w:color w:val="605E5C"/>
      <w:shd w:val="clear" w:color="auto" w:fill="E1DFDD"/>
    </w:rPr>
  </w:style>
  <w:style w:type="paragraph" w:styleId="Textonotapie">
    <w:name w:val="footnote text"/>
    <w:basedOn w:val="Normal"/>
    <w:link w:val="TextonotapieCar"/>
    <w:unhideWhenUsed/>
    <w:rsid w:val="00F37DF8"/>
    <w:pPr>
      <w:spacing w:after="0" w:line="240" w:lineRule="auto"/>
    </w:pPr>
    <w:rPr>
      <w:sz w:val="20"/>
      <w:szCs w:val="20"/>
    </w:rPr>
  </w:style>
  <w:style w:type="character" w:customStyle="1" w:styleId="TextonotapieCar">
    <w:name w:val="Texto nota pie Car"/>
    <w:basedOn w:val="Fuentedeprrafopredeter"/>
    <w:link w:val="Textonotapie"/>
    <w:rsid w:val="00F37DF8"/>
    <w:rPr>
      <w:sz w:val="20"/>
      <w:szCs w:val="20"/>
    </w:rPr>
  </w:style>
  <w:style w:type="character" w:styleId="Refdenotaalpie">
    <w:name w:val="footnote reference"/>
    <w:basedOn w:val="Fuentedeprrafopredeter"/>
    <w:uiPriority w:val="99"/>
    <w:unhideWhenUsed/>
    <w:rsid w:val="00F37DF8"/>
    <w:rPr>
      <w:vertAlign w:val="superscript"/>
    </w:rPr>
  </w:style>
  <w:style w:type="paragraph" w:styleId="NormalWeb">
    <w:name w:val="Normal (Web)"/>
    <w:basedOn w:val="Normal"/>
    <w:uiPriority w:val="99"/>
    <w:rsid w:val="0000543A"/>
    <w:pPr>
      <w:spacing w:before="100" w:beforeAutospacing="1" w:after="100" w:afterAutospacing="1" w:line="240" w:lineRule="auto"/>
    </w:pPr>
    <w:rPr>
      <w:rFonts w:ascii="Arial Unicode MS" w:eastAsia="Arial Unicode MS" w:hAnsi="Arial Unicode MS" w:cs="Arial Unicode MS"/>
      <w:sz w:val="24"/>
      <w:szCs w:val="24"/>
      <w:lang w:val="es-ES" w:eastAsia="es-ES"/>
    </w:rPr>
  </w:style>
  <w:style w:type="character" w:styleId="nfasis">
    <w:name w:val="Emphasis"/>
    <w:basedOn w:val="Fuentedeprrafopredeter"/>
    <w:uiPriority w:val="20"/>
    <w:qFormat/>
    <w:rsid w:val="00A47679"/>
    <w:rPr>
      <w:i/>
      <w:iCs/>
    </w:rPr>
  </w:style>
  <w:style w:type="character" w:customStyle="1" w:styleId="modartculofecha">
    <w:name w:val="modartculofecha"/>
    <w:basedOn w:val="Fuentedeprrafopredeter"/>
    <w:rsid w:val="007F5491"/>
  </w:style>
  <w:style w:type="character" w:customStyle="1" w:styleId="crva">
    <w:name w:val="crva"/>
    <w:basedOn w:val="Fuentedeprrafopredeter"/>
    <w:rsid w:val="00CF534A"/>
  </w:style>
  <w:style w:type="character" w:styleId="Textodelmarcadordeposicin">
    <w:name w:val="Placeholder Text"/>
    <w:basedOn w:val="Fuentedeprrafopredeter"/>
    <w:uiPriority w:val="99"/>
    <w:semiHidden/>
    <w:rsid w:val="00F44002"/>
    <w:rPr>
      <w:color w:val="808080"/>
    </w:rPr>
  </w:style>
  <w:style w:type="character" w:customStyle="1" w:styleId="Ttulo3Car">
    <w:name w:val="Título 3 Car"/>
    <w:basedOn w:val="Fuentedeprrafopredeter"/>
    <w:link w:val="Ttulo3"/>
    <w:uiPriority w:val="9"/>
    <w:semiHidden/>
    <w:rsid w:val="00FC0980"/>
    <w:rPr>
      <w:rFonts w:asciiTheme="majorHAnsi" w:eastAsiaTheme="majorEastAsia" w:hAnsiTheme="majorHAnsi" w:cstheme="majorBidi"/>
      <w:color w:val="1F4D78" w:themeColor="accent1" w:themeShade="7F"/>
      <w:sz w:val="24"/>
      <w:szCs w:val="24"/>
    </w:rPr>
  </w:style>
  <w:style w:type="paragraph" w:styleId="Ttulo">
    <w:name w:val="Title"/>
    <w:basedOn w:val="Normal"/>
    <w:link w:val="TtuloCar"/>
    <w:qFormat/>
    <w:rsid w:val="002019FA"/>
    <w:pPr>
      <w:spacing w:after="0" w:line="240" w:lineRule="auto"/>
      <w:jc w:val="center"/>
    </w:pPr>
    <w:rPr>
      <w:rFonts w:ascii="Times New Roman" w:eastAsia="Times New Roman" w:hAnsi="Times New Roman" w:cs="Times New Roman"/>
      <w:b/>
      <w:bCs/>
      <w:sz w:val="24"/>
      <w:szCs w:val="24"/>
      <w:lang w:val="es-MX" w:eastAsia="es-ES"/>
    </w:rPr>
  </w:style>
  <w:style w:type="character" w:customStyle="1" w:styleId="TtuloCar">
    <w:name w:val="Título Car"/>
    <w:basedOn w:val="Fuentedeprrafopredeter"/>
    <w:link w:val="Ttulo"/>
    <w:rsid w:val="002019FA"/>
    <w:rPr>
      <w:rFonts w:ascii="Times New Roman" w:eastAsia="Times New Roman" w:hAnsi="Times New Roman" w:cs="Times New Roman"/>
      <w:b/>
      <w:bCs/>
      <w:sz w:val="24"/>
      <w:szCs w:val="24"/>
      <w:lang w:val="es-MX" w:eastAsia="es-ES"/>
    </w:rPr>
  </w:style>
  <w:style w:type="paragraph" w:customStyle="1" w:styleId="ng-scope">
    <w:name w:val="ng-scope"/>
    <w:basedOn w:val="Normal"/>
    <w:rsid w:val="002019FA"/>
    <w:pPr>
      <w:spacing w:before="100" w:beforeAutospacing="1" w:after="100" w:afterAutospacing="1" w:line="240" w:lineRule="auto"/>
    </w:pPr>
    <w:rPr>
      <w:rFonts w:ascii="Times New Roman" w:eastAsia="Times New Roman" w:hAnsi="Times New Roman" w:cs="Times New Roman"/>
      <w:sz w:val="24"/>
      <w:szCs w:val="24"/>
      <w:lang w:val="es-PE" w:eastAsia="es-PE"/>
    </w:rPr>
  </w:style>
  <w:style w:type="character" w:customStyle="1" w:styleId="Ttulo2Car">
    <w:name w:val="Título 2 Car"/>
    <w:basedOn w:val="Fuentedeprrafopredeter"/>
    <w:link w:val="Ttulo2"/>
    <w:uiPriority w:val="9"/>
    <w:semiHidden/>
    <w:rsid w:val="002019FA"/>
    <w:rPr>
      <w:rFonts w:asciiTheme="majorHAnsi" w:eastAsiaTheme="majorEastAsia" w:hAnsiTheme="majorHAnsi" w:cstheme="majorBidi"/>
      <w:color w:val="2E74B5" w:themeColor="accent1" w:themeShade="BF"/>
      <w:sz w:val="26"/>
      <w:szCs w:val="26"/>
    </w:rPr>
  </w:style>
  <w:style w:type="character" w:customStyle="1" w:styleId="Ttulo4Car">
    <w:name w:val="Título 4 Car"/>
    <w:basedOn w:val="Fuentedeprrafopredeter"/>
    <w:link w:val="Ttulo4"/>
    <w:uiPriority w:val="9"/>
    <w:semiHidden/>
    <w:rsid w:val="002019FA"/>
    <w:rPr>
      <w:rFonts w:asciiTheme="majorHAnsi" w:eastAsiaTheme="majorEastAsia" w:hAnsiTheme="majorHAnsi" w:cstheme="majorBidi"/>
      <w:i/>
      <w:iCs/>
      <w:color w:val="2E74B5" w:themeColor="accent1" w:themeShade="BF"/>
    </w:rPr>
  </w:style>
  <w:style w:type="character" w:customStyle="1" w:styleId="uv3um">
    <w:name w:val="uv3um"/>
    <w:basedOn w:val="Fuentedeprrafopredeter"/>
    <w:rsid w:val="002019FA"/>
  </w:style>
  <w:style w:type="paragraph" w:customStyle="1" w:styleId="k3ksmc">
    <w:name w:val="k3ksmc"/>
    <w:basedOn w:val="Normal"/>
    <w:rsid w:val="002019FA"/>
    <w:pPr>
      <w:spacing w:before="100" w:beforeAutospacing="1" w:after="100" w:afterAutospacing="1" w:line="240" w:lineRule="auto"/>
    </w:pPr>
    <w:rPr>
      <w:rFonts w:ascii="Times New Roman" w:eastAsia="Times New Roman" w:hAnsi="Times New Roman" w:cs="Times New Roman"/>
      <w:sz w:val="24"/>
      <w:szCs w:val="24"/>
      <w:lang w:val="es-PE" w:eastAsia="es-PE"/>
    </w:rPr>
  </w:style>
  <w:style w:type="character" w:customStyle="1" w:styleId="field-name-field-definicion">
    <w:name w:val="field-name-field-definicion"/>
    <w:basedOn w:val="Fuentedeprrafopredeter"/>
    <w:rsid w:val="00973FEF"/>
  </w:style>
  <w:style w:type="character" w:customStyle="1" w:styleId="field-name-field-rama">
    <w:name w:val="field-name-field-rama"/>
    <w:basedOn w:val="Fuentedeprrafopredeter"/>
    <w:rsid w:val="00014849"/>
  </w:style>
  <w:style w:type="paragraph" w:styleId="Revisin">
    <w:name w:val="Revision"/>
    <w:hidden/>
    <w:uiPriority w:val="99"/>
    <w:semiHidden/>
    <w:rsid w:val="00B411A3"/>
    <w:pPr>
      <w:spacing w:after="0" w:line="240" w:lineRule="auto"/>
    </w:pPr>
  </w:style>
  <w:style w:type="character" w:customStyle="1" w:styleId="decretossupremos">
    <w:name w:val="decretossupremos"/>
    <w:basedOn w:val="Fuentedeprrafopredeter"/>
    <w:rsid w:val="00BA303A"/>
  </w:style>
  <w:style w:type="paragraph" w:customStyle="1" w:styleId="Puesto">
    <w:name w:val="Puesto"/>
    <w:basedOn w:val="Normal"/>
    <w:next w:val="Subttulo"/>
    <w:qFormat/>
    <w:rsid w:val="00601339"/>
    <w:pPr>
      <w:suppressAutoHyphens/>
      <w:spacing w:after="0" w:line="240" w:lineRule="auto"/>
      <w:jc w:val="center"/>
    </w:pPr>
    <w:rPr>
      <w:rFonts w:ascii="Times New Roman" w:eastAsia="Times New Roman" w:hAnsi="Times New Roman" w:cs="Times New Roman"/>
      <w:b/>
      <w:bCs/>
      <w:sz w:val="24"/>
      <w:szCs w:val="24"/>
      <w:lang w:val="es-MX" w:eastAsia="ar-SA"/>
    </w:rPr>
  </w:style>
  <w:style w:type="paragraph" w:styleId="Subttulo">
    <w:name w:val="Subtitle"/>
    <w:basedOn w:val="Normal"/>
    <w:next w:val="Normal"/>
    <w:link w:val="SubttuloCar"/>
    <w:uiPriority w:val="11"/>
    <w:qFormat/>
    <w:rsid w:val="00601339"/>
    <w:pPr>
      <w:numPr>
        <w:ilvl w:val="1"/>
      </w:numPr>
    </w:pPr>
    <w:rPr>
      <w:rFonts w:eastAsiaTheme="minorEastAsia"/>
      <w:color w:val="5A5A5A" w:themeColor="text1" w:themeTint="A5"/>
      <w:spacing w:val="15"/>
    </w:rPr>
  </w:style>
  <w:style w:type="character" w:customStyle="1" w:styleId="SubttuloCar">
    <w:name w:val="Subtítulo Car"/>
    <w:basedOn w:val="Fuentedeprrafopredeter"/>
    <w:link w:val="Subttulo"/>
    <w:uiPriority w:val="11"/>
    <w:rsid w:val="00601339"/>
    <w:rPr>
      <w:rFonts w:eastAsiaTheme="minorEastAsia"/>
      <w:color w:val="5A5A5A" w:themeColor="text1" w:themeTint="A5"/>
      <w:spacing w:val="15"/>
    </w:rPr>
  </w:style>
  <w:style w:type="character" w:customStyle="1" w:styleId="spelle">
    <w:name w:val="spelle"/>
    <w:basedOn w:val="Fuentedeprrafopredeter"/>
    <w:rsid w:val="00D7246B"/>
  </w:style>
  <w:style w:type="character" w:customStyle="1" w:styleId="PrrafodelistaCar">
    <w:name w:val="Párrafo de lista Car"/>
    <w:aliases w:val="Number List 1 Car"/>
    <w:link w:val="Prrafodelista"/>
    <w:uiPriority w:val="34"/>
    <w:rsid w:val="003534E0"/>
  </w:style>
  <w:style w:type="paragraph" w:customStyle="1" w:styleId="parrafo">
    <w:name w:val="parrafo"/>
    <w:basedOn w:val="Normal"/>
    <w:rsid w:val="00E14C65"/>
    <w:pPr>
      <w:snapToGrid w:val="0"/>
      <w:spacing w:before="57" w:after="170" w:line="240" w:lineRule="auto"/>
      <w:jc w:val="both"/>
    </w:pPr>
    <w:rPr>
      <w:rFonts w:ascii="Tahoma" w:eastAsia="Times New Roman" w:hAnsi="Tahoma" w:cs="Times New Roman"/>
      <w:sz w:val="18"/>
      <w:szCs w:val="20"/>
    </w:rPr>
  </w:style>
  <w:style w:type="paragraph" w:styleId="Textoindependiente2">
    <w:name w:val="Body Text 2"/>
    <w:basedOn w:val="Normal"/>
    <w:link w:val="Textoindependiente2Car"/>
    <w:uiPriority w:val="99"/>
    <w:semiHidden/>
    <w:unhideWhenUsed/>
    <w:rsid w:val="00A96EE6"/>
    <w:pPr>
      <w:spacing w:after="120" w:line="480" w:lineRule="auto"/>
    </w:pPr>
  </w:style>
  <w:style w:type="character" w:customStyle="1" w:styleId="Textoindependiente2Car">
    <w:name w:val="Texto independiente 2 Car"/>
    <w:basedOn w:val="Fuentedeprrafopredeter"/>
    <w:link w:val="Textoindependiente2"/>
    <w:uiPriority w:val="99"/>
    <w:semiHidden/>
    <w:rsid w:val="00A96EE6"/>
  </w:style>
  <w:style w:type="character" w:customStyle="1" w:styleId="author">
    <w:name w:val="author"/>
    <w:basedOn w:val="Fuentedeprrafopredeter"/>
    <w:rsid w:val="004858EC"/>
  </w:style>
  <w:style w:type="character" w:customStyle="1" w:styleId="video">
    <w:name w:val="video"/>
    <w:basedOn w:val="Fuentedeprrafopredeter"/>
    <w:rsid w:val="004858EC"/>
  </w:style>
  <w:style w:type="character" w:customStyle="1" w:styleId="Fecha1">
    <w:name w:val="Fecha1"/>
    <w:basedOn w:val="Fuentedeprrafopredeter"/>
    <w:rsid w:val="004858EC"/>
  </w:style>
  <w:style w:type="character" w:customStyle="1" w:styleId="form">
    <w:name w:val="form"/>
    <w:basedOn w:val="Fuentedeprrafopredeter"/>
    <w:rsid w:val="004858EC"/>
  </w:style>
  <w:style w:type="character" w:customStyle="1" w:styleId="access">
    <w:name w:val="access"/>
    <w:basedOn w:val="Fuentedeprrafopredeter"/>
    <w:rsid w:val="004858EC"/>
  </w:style>
  <w:style w:type="character" w:customStyle="1" w:styleId="time">
    <w:name w:val="time"/>
    <w:basedOn w:val="Fuentedeprrafopredeter"/>
    <w:rsid w:val="004858EC"/>
  </w:style>
  <w:style w:type="character" w:customStyle="1" w:styleId="url">
    <w:name w:val="url"/>
    <w:basedOn w:val="Fuentedeprrafopredeter"/>
    <w:rsid w:val="004858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23245">
      <w:bodyDiv w:val="1"/>
      <w:marLeft w:val="0"/>
      <w:marRight w:val="0"/>
      <w:marTop w:val="0"/>
      <w:marBottom w:val="0"/>
      <w:divBdr>
        <w:top w:val="none" w:sz="0" w:space="0" w:color="auto"/>
        <w:left w:val="none" w:sz="0" w:space="0" w:color="auto"/>
        <w:bottom w:val="none" w:sz="0" w:space="0" w:color="auto"/>
        <w:right w:val="none" w:sz="0" w:space="0" w:color="auto"/>
      </w:divBdr>
    </w:div>
    <w:div w:id="63528716">
      <w:bodyDiv w:val="1"/>
      <w:marLeft w:val="0"/>
      <w:marRight w:val="0"/>
      <w:marTop w:val="0"/>
      <w:marBottom w:val="0"/>
      <w:divBdr>
        <w:top w:val="none" w:sz="0" w:space="0" w:color="auto"/>
        <w:left w:val="none" w:sz="0" w:space="0" w:color="auto"/>
        <w:bottom w:val="none" w:sz="0" w:space="0" w:color="auto"/>
        <w:right w:val="none" w:sz="0" w:space="0" w:color="auto"/>
      </w:divBdr>
    </w:div>
    <w:div w:id="67730552">
      <w:bodyDiv w:val="1"/>
      <w:marLeft w:val="0"/>
      <w:marRight w:val="0"/>
      <w:marTop w:val="0"/>
      <w:marBottom w:val="0"/>
      <w:divBdr>
        <w:top w:val="none" w:sz="0" w:space="0" w:color="auto"/>
        <w:left w:val="none" w:sz="0" w:space="0" w:color="auto"/>
        <w:bottom w:val="none" w:sz="0" w:space="0" w:color="auto"/>
        <w:right w:val="none" w:sz="0" w:space="0" w:color="auto"/>
      </w:divBdr>
    </w:div>
    <w:div w:id="75857595">
      <w:bodyDiv w:val="1"/>
      <w:marLeft w:val="0"/>
      <w:marRight w:val="0"/>
      <w:marTop w:val="0"/>
      <w:marBottom w:val="0"/>
      <w:divBdr>
        <w:top w:val="none" w:sz="0" w:space="0" w:color="auto"/>
        <w:left w:val="none" w:sz="0" w:space="0" w:color="auto"/>
        <w:bottom w:val="none" w:sz="0" w:space="0" w:color="auto"/>
        <w:right w:val="none" w:sz="0" w:space="0" w:color="auto"/>
      </w:divBdr>
    </w:div>
    <w:div w:id="76945688">
      <w:bodyDiv w:val="1"/>
      <w:marLeft w:val="0"/>
      <w:marRight w:val="0"/>
      <w:marTop w:val="0"/>
      <w:marBottom w:val="0"/>
      <w:divBdr>
        <w:top w:val="none" w:sz="0" w:space="0" w:color="auto"/>
        <w:left w:val="none" w:sz="0" w:space="0" w:color="auto"/>
        <w:bottom w:val="none" w:sz="0" w:space="0" w:color="auto"/>
        <w:right w:val="none" w:sz="0" w:space="0" w:color="auto"/>
      </w:divBdr>
    </w:div>
    <w:div w:id="96949174">
      <w:bodyDiv w:val="1"/>
      <w:marLeft w:val="0"/>
      <w:marRight w:val="0"/>
      <w:marTop w:val="0"/>
      <w:marBottom w:val="0"/>
      <w:divBdr>
        <w:top w:val="none" w:sz="0" w:space="0" w:color="auto"/>
        <w:left w:val="none" w:sz="0" w:space="0" w:color="auto"/>
        <w:bottom w:val="none" w:sz="0" w:space="0" w:color="auto"/>
        <w:right w:val="none" w:sz="0" w:space="0" w:color="auto"/>
      </w:divBdr>
    </w:div>
    <w:div w:id="126776449">
      <w:bodyDiv w:val="1"/>
      <w:marLeft w:val="0"/>
      <w:marRight w:val="0"/>
      <w:marTop w:val="0"/>
      <w:marBottom w:val="0"/>
      <w:divBdr>
        <w:top w:val="none" w:sz="0" w:space="0" w:color="auto"/>
        <w:left w:val="none" w:sz="0" w:space="0" w:color="auto"/>
        <w:bottom w:val="none" w:sz="0" w:space="0" w:color="auto"/>
        <w:right w:val="none" w:sz="0" w:space="0" w:color="auto"/>
      </w:divBdr>
    </w:div>
    <w:div w:id="138695876">
      <w:bodyDiv w:val="1"/>
      <w:marLeft w:val="0"/>
      <w:marRight w:val="0"/>
      <w:marTop w:val="0"/>
      <w:marBottom w:val="0"/>
      <w:divBdr>
        <w:top w:val="none" w:sz="0" w:space="0" w:color="auto"/>
        <w:left w:val="none" w:sz="0" w:space="0" w:color="auto"/>
        <w:bottom w:val="none" w:sz="0" w:space="0" w:color="auto"/>
        <w:right w:val="none" w:sz="0" w:space="0" w:color="auto"/>
      </w:divBdr>
    </w:div>
    <w:div w:id="201408248">
      <w:bodyDiv w:val="1"/>
      <w:marLeft w:val="0"/>
      <w:marRight w:val="0"/>
      <w:marTop w:val="0"/>
      <w:marBottom w:val="0"/>
      <w:divBdr>
        <w:top w:val="none" w:sz="0" w:space="0" w:color="auto"/>
        <w:left w:val="none" w:sz="0" w:space="0" w:color="auto"/>
        <w:bottom w:val="none" w:sz="0" w:space="0" w:color="auto"/>
        <w:right w:val="none" w:sz="0" w:space="0" w:color="auto"/>
      </w:divBdr>
    </w:div>
    <w:div w:id="212542833">
      <w:bodyDiv w:val="1"/>
      <w:marLeft w:val="0"/>
      <w:marRight w:val="0"/>
      <w:marTop w:val="0"/>
      <w:marBottom w:val="0"/>
      <w:divBdr>
        <w:top w:val="none" w:sz="0" w:space="0" w:color="auto"/>
        <w:left w:val="none" w:sz="0" w:space="0" w:color="auto"/>
        <w:bottom w:val="none" w:sz="0" w:space="0" w:color="auto"/>
        <w:right w:val="none" w:sz="0" w:space="0" w:color="auto"/>
      </w:divBdr>
    </w:div>
    <w:div w:id="252469849">
      <w:bodyDiv w:val="1"/>
      <w:marLeft w:val="0"/>
      <w:marRight w:val="0"/>
      <w:marTop w:val="0"/>
      <w:marBottom w:val="0"/>
      <w:divBdr>
        <w:top w:val="none" w:sz="0" w:space="0" w:color="auto"/>
        <w:left w:val="none" w:sz="0" w:space="0" w:color="auto"/>
        <w:bottom w:val="none" w:sz="0" w:space="0" w:color="auto"/>
        <w:right w:val="none" w:sz="0" w:space="0" w:color="auto"/>
      </w:divBdr>
    </w:div>
    <w:div w:id="352341079">
      <w:bodyDiv w:val="1"/>
      <w:marLeft w:val="0"/>
      <w:marRight w:val="0"/>
      <w:marTop w:val="0"/>
      <w:marBottom w:val="0"/>
      <w:divBdr>
        <w:top w:val="none" w:sz="0" w:space="0" w:color="auto"/>
        <w:left w:val="none" w:sz="0" w:space="0" w:color="auto"/>
        <w:bottom w:val="none" w:sz="0" w:space="0" w:color="auto"/>
        <w:right w:val="none" w:sz="0" w:space="0" w:color="auto"/>
      </w:divBdr>
      <w:divsChild>
        <w:div w:id="783697812">
          <w:marLeft w:val="0"/>
          <w:marRight w:val="0"/>
          <w:marTop w:val="0"/>
          <w:marBottom w:val="0"/>
          <w:divBdr>
            <w:top w:val="none" w:sz="0" w:space="0" w:color="auto"/>
            <w:left w:val="none" w:sz="0" w:space="0" w:color="auto"/>
            <w:bottom w:val="none" w:sz="0" w:space="0" w:color="auto"/>
            <w:right w:val="none" w:sz="0" w:space="0" w:color="auto"/>
          </w:divBdr>
          <w:divsChild>
            <w:div w:id="2017997512">
              <w:marLeft w:val="0"/>
              <w:marRight w:val="0"/>
              <w:marTop w:val="0"/>
              <w:marBottom w:val="0"/>
              <w:divBdr>
                <w:top w:val="none" w:sz="0" w:space="0" w:color="auto"/>
                <w:left w:val="none" w:sz="0" w:space="0" w:color="auto"/>
                <w:bottom w:val="none" w:sz="0" w:space="0" w:color="auto"/>
                <w:right w:val="none" w:sz="0" w:space="0" w:color="auto"/>
              </w:divBdr>
              <w:divsChild>
                <w:div w:id="1292053166">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 w:id="933057093">
          <w:marLeft w:val="0"/>
          <w:marRight w:val="0"/>
          <w:marTop w:val="0"/>
          <w:marBottom w:val="0"/>
          <w:divBdr>
            <w:top w:val="none" w:sz="0" w:space="0" w:color="auto"/>
            <w:left w:val="none" w:sz="0" w:space="0" w:color="auto"/>
            <w:bottom w:val="none" w:sz="0" w:space="0" w:color="auto"/>
            <w:right w:val="none" w:sz="0" w:space="0" w:color="auto"/>
          </w:divBdr>
          <w:divsChild>
            <w:div w:id="1476558832">
              <w:marLeft w:val="0"/>
              <w:marRight w:val="0"/>
              <w:marTop w:val="0"/>
              <w:marBottom w:val="0"/>
              <w:divBdr>
                <w:top w:val="none" w:sz="0" w:space="0" w:color="auto"/>
                <w:left w:val="none" w:sz="0" w:space="0" w:color="auto"/>
                <w:bottom w:val="none" w:sz="0" w:space="0" w:color="auto"/>
                <w:right w:val="none" w:sz="0" w:space="0" w:color="auto"/>
              </w:divBdr>
              <w:divsChild>
                <w:div w:id="537085465">
                  <w:marLeft w:val="-420"/>
                  <w:marRight w:val="0"/>
                  <w:marTop w:val="0"/>
                  <w:marBottom w:val="0"/>
                  <w:divBdr>
                    <w:top w:val="none" w:sz="0" w:space="0" w:color="auto"/>
                    <w:left w:val="none" w:sz="0" w:space="0" w:color="auto"/>
                    <w:bottom w:val="none" w:sz="0" w:space="0" w:color="auto"/>
                    <w:right w:val="none" w:sz="0" w:space="0" w:color="auto"/>
                  </w:divBdr>
                  <w:divsChild>
                    <w:div w:id="1439179649">
                      <w:marLeft w:val="0"/>
                      <w:marRight w:val="0"/>
                      <w:marTop w:val="0"/>
                      <w:marBottom w:val="0"/>
                      <w:divBdr>
                        <w:top w:val="none" w:sz="0" w:space="0" w:color="auto"/>
                        <w:left w:val="none" w:sz="0" w:space="0" w:color="auto"/>
                        <w:bottom w:val="none" w:sz="0" w:space="0" w:color="auto"/>
                        <w:right w:val="none" w:sz="0" w:space="0" w:color="auto"/>
                      </w:divBdr>
                      <w:divsChild>
                        <w:div w:id="2016109073">
                          <w:marLeft w:val="0"/>
                          <w:marRight w:val="0"/>
                          <w:marTop w:val="0"/>
                          <w:marBottom w:val="0"/>
                          <w:divBdr>
                            <w:top w:val="none" w:sz="0" w:space="0" w:color="auto"/>
                            <w:left w:val="none" w:sz="0" w:space="0" w:color="auto"/>
                            <w:bottom w:val="none" w:sz="0" w:space="0" w:color="auto"/>
                            <w:right w:val="none" w:sz="0" w:space="0" w:color="auto"/>
                          </w:divBdr>
                          <w:divsChild>
                            <w:div w:id="132212301">
                              <w:marLeft w:val="0"/>
                              <w:marRight w:val="0"/>
                              <w:marTop w:val="0"/>
                              <w:marBottom w:val="0"/>
                              <w:divBdr>
                                <w:top w:val="none" w:sz="0" w:space="0" w:color="auto"/>
                                <w:left w:val="none" w:sz="0" w:space="0" w:color="auto"/>
                                <w:bottom w:val="none" w:sz="0" w:space="0" w:color="auto"/>
                                <w:right w:val="none" w:sz="0" w:space="0" w:color="auto"/>
                              </w:divBdr>
                            </w:div>
                            <w:div w:id="811219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5553329">
                  <w:marLeft w:val="-420"/>
                  <w:marRight w:val="0"/>
                  <w:marTop w:val="0"/>
                  <w:marBottom w:val="0"/>
                  <w:divBdr>
                    <w:top w:val="none" w:sz="0" w:space="0" w:color="auto"/>
                    <w:left w:val="none" w:sz="0" w:space="0" w:color="auto"/>
                    <w:bottom w:val="none" w:sz="0" w:space="0" w:color="auto"/>
                    <w:right w:val="none" w:sz="0" w:space="0" w:color="auto"/>
                  </w:divBdr>
                  <w:divsChild>
                    <w:div w:id="115487048">
                      <w:marLeft w:val="0"/>
                      <w:marRight w:val="0"/>
                      <w:marTop w:val="0"/>
                      <w:marBottom w:val="0"/>
                      <w:divBdr>
                        <w:top w:val="none" w:sz="0" w:space="0" w:color="auto"/>
                        <w:left w:val="none" w:sz="0" w:space="0" w:color="auto"/>
                        <w:bottom w:val="none" w:sz="0" w:space="0" w:color="auto"/>
                        <w:right w:val="none" w:sz="0" w:space="0" w:color="auto"/>
                      </w:divBdr>
                      <w:divsChild>
                        <w:div w:id="1211919881">
                          <w:marLeft w:val="0"/>
                          <w:marRight w:val="0"/>
                          <w:marTop w:val="0"/>
                          <w:marBottom w:val="0"/>
                          <w:divBdr>
                            <w:top w:val="none" w:sz="0" w:space="0" w:color="auto"/>
                            <w:left w:val="none" w:sz="0" w:space="0" w:color="auto"/>
                            <w:bottom w:val="none" w:sz="0" w:space="0" w:color="auto"/>
                            <w:right w:val="none" w:sz="0" w:space="0" w:color="auto"/>
                          </w:divBdr>
                          <w:divsChild>
                            <w:div w:id="291985486">
                              <w:marLeft w:val="0"/>
                              <w:marRight w:val="0"/>
                              <w:marTop w:val="0"/>
                              <w:marBottom w:val="0"/>
                              <w:divBdr>
                                <w:top w:val="none" w:sz="0" w:space="0" w:color="auto"/>
                                <w:left w:val="none" w:sz="0" w:space="0" w:color="auto"/>
                                <w:bottom w:val="none" w:sz="0" w:space="0" w:color="auto"/>
                                <w:right w:val="none" w:sz="0" w:space="0" w:color="auto"/>
                              </w:divBdr>
                            </w:div>
                            <w:div w:id="1666206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2639152">
                  <w:marLeft w:val="-420"/>
                  <w:marRight w:val="0"/>
                  <w:marTop w:val="0"/>
                  <w:marBottom w:val="0"/>
                  <w:divBdr>
                    <w:top w:val="none" w:sz="0" w:space="0" w:color="auto"/>
                    <w:left w:val="none" w:sz="0" w:space="0" w:color="auto"/>
                    <w:bottom w:val="none" w:sz="0" w:space="0" w:color="auto"/>
                    <w:right w:val="none" w:sz="0" w:space="0" w:color="auto"/>
                  </w:divBdr>
                  <w:divsChild>
                    <w:div w:id="966274960">
                      <w:marLeft w:val="0"/>
                      <w:marRight w:val="0"/>
                      <w:marTop w:val="0"/>
                      <w:marBottom w:val="0"/>
                      <w:divBdr>
                        <w:top w:val="none" w:sz="0" w:space="0" w:color="auto"/>
                        <w:left w:val="none" w:sz="0" w:space="0" w:color="auto"/>
                        <w:bottom w:val="none" w:sz="0" w:space="0" w:color="auto"/>
                        <w:right w:val="none" w:sz="0" w:space="0" w:color="auto"/>
                      </w:divBdr>
                      <w:divsChild>
                        <w:div w:id="1188643653">
                          <w:marLeft w:val="0"/>
                          <w:marRight w:val="0"/>
                          <w:marTop w:val="0"/>
                          <w:marBottom w:val="0"/>
                          <w:divBdr>
                            <w:top w:val="none" w:sz="0" w:space="0" w:color="auto"/>
                            <w:left w:val="none" w:sz="0" w:space="0" w:color="auto"/>
                            <w:bottom w:val="none" w:sz="0" w:space="0" w:color="auto"/>
                            <w:right w:val="none" w:sz="0" w:space="0" w:color="auto"/>
                          </w:divBdr>
                          <w:divsChild>
                            <w:div w:id="1250961586">
                              <w:marLeft w:val="0"/>
                              <w:marRight w:val="0"/>
                              <w:marTop w:val="0"/>
                              <w:marBottom w:val="0"/>
                              <w:divBdr>
                                <w:top w:val="none" w:sz="0" w:space="0" w:color="auto"/>
                                <w:left w:val="none" w:sz="0" w:space="0" w:color="auto"/>
                                <w:bottom w:val="none" w:sz="0" w:space="0" w:color="auto"/>
                                <w:right w:val="none" w:sz="0" w:space="0" w:color="auto"/>
                              </w:divBdr>
                            </w:div>
                            <w:div w:id="1741755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4549456">
                  <w:marLeft w:val="-420"/>
                  <w:marRight w:val="0"/>
                  <w:marTop w:val="0"/>
                  <w:marBottom w:val="0"/>
                  <w:divBdr>
                    <w:top w:val="none" w:sz="0" w:space="0" w:color="auto"/>
                    <w:left w:val="none" w:sz="0" w:space="0" w:color="auto"/>
                    <w:bottom w:val="none" w:sz="0" w:space="0" w:color="auto"/>
                    <w:right w:val="none" w:sz="0" w:space="0" w:color="auto"/>
                  </w:divBdr>
                  <w:divsChild>
                    <w:div w:id="860899375">
                      <w:marLeft w:val="0"/>
                      <w:marRight w:val="0"/>
                      <w:marTop w:val="0"/>
                      <w:marBottom w:val="0"/>
                      <w:divBdr>
                        <w:top w:val="none" w:sz="0" w:space="0" w:color="auto"/>
                        <w:left w:val="none" w:sz="0" w:space="0" w:color="auto"/>
                        <w:bottom w:val="none" w:sz="0" w:space="0" w:color="auto"/>
                        <w:right w:val="none" w:sz="0" w:space="0" w:color="auto"/>
                      </w:divBdr>
                      <w:divsChild>
                        <w:div w:id="1215657286">
                          <w:marLeft w:val="0"/>
                          <w:marRight w:val="0"/>
                          <w:marTop w:val="0"/>
                          <w:marBottom w:val="0"/>
                          <w:divBdr>
                            <w:top w:val="none" w:sz="0" w:space="0" w:color="auto"/>
                            <w:left w:val="none" w:sz="0" w:space="0" w:color="auto"/>
                            <w:bottom w:val="none" w:sz="0" w:space="0" w:color="auto"/>
                            <w:right w:val="none" w:sz="0" w:space="0" w:color="auto"/>
                          </w:divBdr>
                          <w:divsChild>
                            <w:div w:id="1253473901">
                              <w:marLeft w:val="0"/>
                              <w:marRight w:val="0"/>
                              <w:marTop w:val="0"/>
                              <w:marBottom w:val="0"/>
                              <w:divBdr>
                                <w:top w:val="none" w:sz="0" w:space="0" w:color="auto"/>
                                <w:left w:val="none" w:sz="0" w:space="0" w:color="auto"/>
                                <w:bottom w:val="none" w:sz="0" w:space="0" w:color="auto"/>
                                <w:right w:val="none" w:sz="0" w:space="0" w:color="auto"/>
                              </w:divBdr>
                            </w:div>
                            <w:div w:id="1889605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3301013">
                  <w:marLeft w:val="-420"/>
                  <w:marRight w:val="0"/>
                  <w:marTop w:val="0"/>
                  <w:marBottom w:val="0"/>
                  <w:divBdr>
                    <w:top w:val="none" w:sz="0" w:space="0" w:color="auto"/>
                    <w:left w:val="none" w:sz="0" w:space="0" w:color="auto"/>
                    <w:bottom w:val="none" w:sz="0" w:space="0" w:color="auto"/>
                    <w:right w:val="none" w:sz="0" w:space="0" w:color="auto"/>
                  </w:divBdr>
                  <w:divsChild>
                    <w:div w:id="524442783">
                      <w:marLeft w:val="0"/>
                      <w:marRight w:val="0"/>
                      <w:marTop w:val="0"/>
                      <w:marBottom w:val="0"/>
                      <w:divBdr>
                        <w:top w:val="none" w:sz="0" w:space="0" w:color="auto"/>
                        <w:left w:val="none" w:sz="0" w:space="0" w:color="auto"/>
                        <w:bottom w:val="none" w:sz="0" w:space="0" w:color="auto"/>
                        <w:right w:val="none" w:sz="0" w:space="0" w:color="auto"/>
                      </w:divBdr>
                      <w:divsChild>
                        <w:div w:id="1785540572">
                          <w:marLeft w:val="0"/>
                          <w:marRight w:val="0"/>
                          <w:marTop w:val="0"/>
                          <w:marBottom w:val="0"/>
                          <w:divBdr>
                            <w:top w:val="none" w:sz="0" w:space="0" w:color="auto"/>
                            <w:left w:val="none" w:sz="0" w:space="0" w:color="auto"/>
                            <w:bottom w:val="none" w:sz="0" w:space="0" w:color="auto"/>
                            <w:right w:val="none" w:sz="0" w:space="0" w:color="auto"/>
                          </w:divBdr>
                          <w:divsChild>
                            <w:div w:id="964846317">
                              <w:marLeft w:val="0"/>
                              <w:marRight w:val="0"/>
                              <w:marTop w:val="0"/>
                              <w:marBottom w:val="0"/>
                              <w:divBdr>
                                <w:top w:val="none" w:sz="0" w:space="0" w:color="auto"/>
                                <w:left w:val="none" w:sz="0" w:space="0" w:color="auto"/>
                                <w:bottom w:val="none" w:sz="0" w:space="0" w:color="auto"/>
                                <w:right w:val="none" w:sz="0" w:space="0" w:color="auto"/>
                              </w:divBdr>
                            </w:div>
                            <w:div w:id="1393383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45554617">
          <w:marLeft w:val="0"/>
          <w:marRight w:val="0"/>
          <w:marTop w:val="0"/>
          <w:marBottom w:val="0"/>
          <w:divBdr>
            <w:top w:val="none" w:sz="0" w:space="0" w:color="auto"/>
            <w:left w:val="none" w:sz="0" w:space="0" w:color="auto"/>
            <w:bottom w:val="none" w:sz="0" w:space="0" w:color="auto"/>
            <w:right w:val="none" w:sz="0" w:space="0" w:color="auto"/>
          </w:divBdr>
          <w:divsChild>
            <w:div w:id="428166031">
              <w:marLeft w:val="0"/>
              <w:marRight w:val="0"/>
              <w:marTop w:val="0"/>
              <w:marBottom w:val="0"/>
              <w:divBdr>
                <w:top w:val="none" w:sz="0" w:space="0" w:color="auto"/>
                <w:left w:val="none" w:sz="0" w:space="0" w:color="auto"/>
                <w:bottom w:val="none" w:sz="0" w:space="0" w:color="auto"/>
                <w:right w:val="none" w:sz="0" w:space="0" w:color="auto"/>
              </w:divBdr>
              <w:divsChild>
                <w:div w:id="759445448">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843739066">
          <w:marLeft w:val="0"/>
          <w:marRight w:val="0"/>
          <w:marTop w:val="0"/>
          <w:marBottom w:val="0"/>
          <w:divBdr>
            <w:top w:val="none" w:sz="0" w:space="0" w:color="auto"/>
            <w:left w:val="none" w:sz="0" w:space="0" w:color="auto"/>
            <w:bottom w:val="none" w:sz="0" w:space="0" w:color="auto"/>
            <w:right w:val="none" w:sz="0" w:space="0" w:color="auto"/>
          </w:divBdr>
          <w:divsChild>
            <w:div w:id="1674719982">
              <w:marLeft w:val="0"/>
              <w:marRight w:val="0"/>
              <w:marTop w:val="0"/>
              <w:marBottom w:val="0"/>
              <w:divBdr>
                <w:top w:val="none" w:sz="0" w:space="0" w:color="auto"/>
                <w:left w:val="none" w:sz="0" w:space="0" w:color="auto"/>
                <w:bottom w:val="none" w:sz="0" w:space="0" w:color="auto"/>
                <w:right w:val="none" w:sz="0" w:space="0" w:color="auto"/>
              </w:divBdr>
              <w:divsChild>
                <w:div w:id="1056779316">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377097501">
      <w:bodyDiv w:val="1"/>
      <w:marLeft w:val="0"/>
      <w:marRight w:val="0"/>
      <w:marTop w:val="0"/>
      <w:marBottom w:val="0"/>
      <w:divBdr>
        <w:top w:val="none" w:sz="0" w:space="0" w:color="auto"/>
        <w:left w:val="none" w:sz="0" w:space="0" w:color="auto"/>
        <w:bottom w:val="none" w:sz="0" w:space="0" w:color="auto"/>
        <w:right w:val="none" w:sz="0" w:space="0" w:color="auto"/>
      </w:divBdr>
    </w:div>
    <w:div w:id="417026160">
      <w:bodyDiv w:val="1"/>
      <w:marLeft w:val="0"/>
      <w:marRight w:val="0"/>
      <w:marTop w:val="0"/>
      <w:marBottom w:val="0"/>
      <w:divBdr>
        <w:top w:val="none" w:sz="0" w:space="0" w:color="auto"/>
        <w:left w:val="none" w:sz="0" w:space="0" w:color="auto"/>
        <w:bottom w:val="none" w:sz="0" w:space="0" w:color="auto"/>
        <w:right w:val="none" w:sz="0" w:space="0" w:color="auto"/>
      </w:divBdr>
    </w:div>
    <w:div w:id="464200251">
      <w:bodyDiv w:val="1"/>
      <w:marLeft w:val="0"/>
      <w:marRight w:val="0"/>
      <w:marTop w:val="0"/>
      <w:marBottom w:val="0"/>
      <w:divBdr>
        <w:top w:val="none" w:sz="0" w:space="0" w:color="auto"/>
        <w:left w:val="none" w:sz="0" w:space="0" w:color="auto"/>
        <w:bottom w:val="none" w:sz="0" w:space="0" w:color="auto"/>
        <w:right w:val="none" w:sz="0" w:space="0" w:color="auto"/>
      </w:divBdr>
    </w:div>
    <w:div w:id="506093169">
      <w:bodyDiv w:val="1"/>
      <w:marLeft w:val="0"/>
      <w:marRight w:val="0"/>
      <w:marTop w:val="0"/>
      <w:marBottom w:val="0"/>
      <w:divBdr>
        <w:top w:val="none" w:sz="0" w:space="0" w:color="auto"/>
        <w:left w:val="none" w:sz="0" w:space="0" w:color="auto"/>
        <w:bottom w:val="none" w:sz="0" w:space="0" w:color="auto"/>
        <w:right w:val="none" w:sz="0" w:space="0" w:color="auto"/>
      </w:divBdr>
    </w:div>
    <w:div w:id="525292203">
      <w:bodyDiv w:val="1"/>
      <w:marLeft w:val="0"/>
      <w:marRight w:val="0"/>
      <w:marTop w:val="0"/>
      <w:marBottom w:val="0"/>
      <w:divBdr>
        <w:top w:val="none" w:sz="0" w:space="0" w:color="auto"/>
        <w:left w:val="none" w:sz="0" w:space="0" w:color="auto"/>
        <w:bottom w:val="none" w:sz="0" w:space="0" w:color="auto"/>
        <w:right w:val="none" w:sz="0" w:space="0" w:color="auto"/>
      </w:divBdr>
    </w:div>
    <w:div w:id="545260782">
      <w:bodyDiv w:val="1"/>
      <w:marLeft w:val="0"/>
      <w:marRight w:val="0"/>
      <w:marTop w:val="0"/>
      <w:marBottom w:val="0"/>
      <w:divBdr>
        <w:top w:val="none" w:sz="0" w:space="0" w:color="auto"/>
        <w:left w:val="none" w:sz="0" w:space="0" w:color="auto"/>
        <w:bottom w:val="none" w:sz="0" w:space="0" w:color="auto"/>
        <w:right w:val="none" w:sz="0" w:space="0" w:color="auto"/>
      </w:divBdr>
    </w:div>
    <w:div w:id="550266607">
      <w:bodyDiv w:val="1"/>
      <w:marLeft w:val="0"/>
      <w:marRight w:val="0"/>
      <w:marTop w:val="0"/>
      <w:marBottom w:val="0"/>
      <w:divBdr>
        <w:top w:val="none" w:sz="0" w:space="0" w:color="auto"/>
        <w:left w:val="none" w:sz="0" w:space="0" w:color="auto"/>
        <w:bottom w:val="none" w:sz="0" w:space="0" w:color="auto"/>
        <w:right w:val="none" w:sz="0" w:space="0" w:color="auto"/>
      </w:divBdr>
    </w:div>
    <w:div w:id="605816195">
      <w:bodyDiv w:val="1"/>
      <w:marLeft w:val="0"/>
      <w:marRight w:val="0"/>
      <w:marTop w:val="0"/>
      <w:marBottom w:val="0"/>
      <w:divBdr>
        <w:top w:val="none" w:sz="0" w:space="0" w:color="auto"/>
        <w:left w:val="none" w:sz="0" w:space="0" w:color="auto"/>
        <w:bottom w:val="none" w:sz="0" w:space="0" w:color="auto"/>
        <w:right w:val="none" w:sz="0" w:space="0" w:color="auto"/>
      </w:divBdr>
    </w:div>
    <w:div w:id="607741889">
      <w:bodyDiv w:val="1"/>
      <w:marLeft w:val="0"/>
      <w:marRight w:val="0"/>
      <w:marTop w:val="0"/>
      <w:marBottom w:val="0"/>
      <w:divBdr>
        <w:top w:val="none" w:sz="0" w:space="0" w:color="auto"/>
        <w:left w:val="none" w:sz="0" w:space="0" w:color="auto"/>
        <w:bottom w:val="none" w:sz="0" w:space="0" w:color="auto"/>
        <w:right w:val="none" w:sz="0" w:space="0" w:color="auto"/>
      </w:divBdr>
    </w:div>
    <w:div w:id="633680628">
      <w:bodyDiv w:val="1"/>
      <w:marLeft w:val="0"/>
      <w:marRight w:val="0"/>
      <w:marTop w:val="0"/>
      <w:marBottom w:val="0"/>
      <w:divBdr>
        <w:top w:val="none" w:sz="0" w:space="0" w:color="auto"/>
        <w:left w:val="none" w:sz="0" w:space="0" w:color="auto"/>
        <w:bottom w:val="none" w:sz="0" w:space="0" w:color="auto"/>
        <w:right w:val="none" w:sz="0" w:space="0" w:color="auto"/>
      </w:divBdr>
    </w:div>
    <w:div w:id="638614123">
      <w:bodyDiv w:val="1"/>
      <w:marLeft w:val="0"/>
      <w:marRight w:val="0"/>
      <w:marTop w:val="0"/>
      <w:marBottom w:val="0"/>
      <w:divBdr>
        <w:top w:val="none" w:sz="0" w:space="0" w:color="auto"/>
        <w:left w:val="none" w:sz="0" w:space="0" w:color="auto"/>
        <w:bottom w:val="none" w:sz="0" w:space="0" w:color="auto"/>
        <w:right w:val="none" w:sz="0" w:space="0" w:color="auto"/>
      </w:divBdr>
    </w:div>
    <w:div w:id="640962019">
      <w:bodyDiv w:val="1"/>
      <w:marLeft w:val="0"/>
      <w:marRight w:val="0"/>
      <w:marTop w:val="0"/>
      <w:marBottom w:val="0"/>
      <w:divBdr>
        <w:top w:val="none" w:sz="0" w:space="0" w:color="auto"/>
        <w:left w:val="none" w:sz="0" w:space="0" w:color="auto"/>
        <w:bottom w:val="none" w:sz="0" w:space="0" w:color="auto"/>
        <w:right w:val="none" w:sz="0" w:space="0" w:color="auto"/>
      </w:divBdr>
    </w:div>
    <w:div w:id="656229184">
      <w:bodyDiv w:val="1"/>
      <w:marLeft w:val="0"/>
      <w:marRight w:val="0"/>
      <w:marTop w:val="0"/>
      <w:marBottom w:val="0"/>
      <w:divBdr>
        <w:top w:val="none" w:sz="0" w:space="0" w:color="auto"/>
        <w:left w:val="none" w:sz="0" w:space="0" w:color="auto"/>
        <w:bottom w:val="none" w:sz="0" w:space="0" w:color="auto"/>
        <w:right w:val="none" w:sz="0" w:space="0" w:color="auto"/>
      </w:divBdr>
    </w:div>
    <w:div w:id="664359809">
      <w:bodyDiv w:val="1"/>
      <w:marLeft w:val="0"/>
      <w:marRight w:val="0"/>
      <w:marTop w:val="0"/>
      <w:marBottom w:val="0"/>
      <w:divBdr>
        <w:top w:val="none" w:sz="0" w:space="0" w:color="auto"/>
        <w:left w:val="none" w:sz="0" w:space="0" w:color="auto"/>
        <w:bottom w:val="none" w:sz="0" w:space="0" w:color="auto"/>
        <w:right w:val="none" w:sz="0" w:space="0" w:color="auto"/>
      </w:divBdr>
    </w:div>
    <w:div w:id="667631279">
      <w:bodyDiv w:val="1"/>
      <w:marLeft w:val="0"/>
      <w:marRight w:val="0"/>
      <w:marTop w:val="0"/>
      <w:marBottom w:val="0"/>
      <w:divBdr>
        <w:top w:val="none" w:sz="0" w:space="0" w:color="auto"/>
        <w:left w:val="none" w:sz="0" w:space="0" w:color="auto"/>
        <w:bottom w:val="none" w:sz="0" w:space="0" w:color="auto"/>
        <w:right w:val="none" w:sz="0" w:space="0" w:color="auto"/>
      </w:divBdr>
    </w:div>
    <w:div w:id="672997695">
      <w:bodyDiv w:val="1"/>
      <w:marLeft w:val="0"/>
      <w:marRight w:val="0"/>
      <w:marTop w:val="0"/>
      <w:marBottom w:val="0"/>
      <w:divBdr>
        <w:top w:val="none" w:sz="0" w:space="0" w:color="auto"/>
        <w:left w:val="none" w:sz="0" w:space="0" w:color="auto"/>
        <w:bottom w:val="none" w:sz="0" w:space="0" w:color="auto"/>
        <w:right w:val="none" w:sz="0" w:space="0" w:color="auto"/>
      </w:divBdr>
    </w:div>
    <w:div w:id="674916735">
      <w:bodyDiv w:val="1"/>
      <w:marLeft w:val="0"/>
      <w:marRight w:val="0"/>
      <w:marTop w:val="0"/>
      <w:marBottom w:val="0"/>
      <w:divBdr>
        <w:top w:val="none" w:sz="0" w:space="0" w:color="auto"/>
        <w:left w:val="none" w:sz="0" w:space="0" w:color="auto"/>
        <w:bottom w:val="none" w:sz="0" w:space="0" w:color="auto"/>
        <w:right w:val="none" w:sz="0" w:space="0" w:color="auto"/>
      </w:divBdr>
    </w:div>
    <w:div w:id="674962332">
      <w:bodyDiv w:val="1"/>
      <w:marLeft w:val="0"/>
      <w:marRight w:val="0"/>
      <w:marTop w:val="0"/>
      <w:marBottom w:val="0"/>
      <w:divBdr>
        <w:top w:val="none" w:sz="0" w:space="0" w:color="auto"/>
        <w:left w:val="none" w:sz="0" w:space="0" w:color="auto"/>
        <w:bottom w:val="none" w:sz="0" w:space="0" w:color="auto"/>
        <w:right w:val="none" w:sz="0" w:space="0" w:color="auto"/>
      </w:divBdr>
    </w:div>
    <w:div w:id="681274108">
      <w:bodyDiv w:val="1"/>
      <w:marLeft w:val="0"/>
      <w:marRight w:val="0"/>
      <w:marTop w:val="0"/>
      <w:marBottom w:val="0"/>
      <w:divBdr>
        <w:top w:val="none" w:sz="0" w:space="0" w:color="auto"/>
        <w:left w:val="none" w:sz="0" w:space="0" w:color="auto"/>
        <w:bottom w:val="none" w:sz="0" w:space="0" w:color="auto"/>
        <w:right w:val="none" w:sz="0" w:space="0" w:color="auto"/>
      </w:divBdr>
    </w:div>
    <w:div w:id="699550355">
      <w:bodyDiv w:val="1"/>
      <w:marLeft w:val="0"/>
      <w:marRight w:val="0"/>
      <w:marTop w:val="0"/>
      <w:marBottom w:val="0"/>
      <w:divBdr>
        <w:top w:val="none" w:sz="0" w:space="0" w:color="auto"/>
        <w:left w:val="none" w:sz="0" w:space="0" w:color="auto"/>
        <w:bottom w:val="none" w:sz="0" w:space="0" w:color="auto"/>
        <w:right w:val="none" w:sz="0" w:space="0" w:color="auto"/>
      </w:divBdr>
      <w:divsChild>
        <w:div w:id="895972868">
          <w:marLeft w:val="0"/>
          <w:marRight w:val="0"/>
          <w:marTop w:val="0"/>
          <w:marBottom w:val="225"/>
          <w:divBdr>
            <w:top w:val="none" w:sz="0" w:space="0" w:color="auto"/>
            <w:left w:val="none" w:sz="0" w:space="0" w:color="auto"/>
            <w:bottom w:val="none" w:sz="0" w:space="0" w:color="auto"/>
            <w:right w:val="none" w:sz="0" w:space="0" w:color="auto"/>
          </w:divBdr>
        </w:div>
      </w:divsChild>
    </w:div>
    <w:div w:id="737558770">
      <w:bodyDiv w:val="1"/>
      <w:marLeft w:val="0"/>
      <w:marRight w:val="0"/>
      <w:marTop w:val="0"/>
      <w:marBottom w:val="0"/>
      <w:divBdr>
        <w:top w:val="none" w:sz="0" w:space="0" w:color="auto"/>
        <w:left w:val="none" w:sz="0" w:space="0" w:color="auto"/>
        <w:bottom w:val="none" w:sz="0" w:space="0" w:color="auto"/>
        <w:right w:val="none" w:sz="0" w:space="0" w:color="auto"/>
      </w:divBdr>
    </w:div>
    <w:div w:id="780342913">
      <w:bodyDiv w:val="1"/>
      <w:marLeft w:val="0"/>
      <w:marRight w:val="0"/>
      <w:marTop w:val="0"/>
      <w:marBottom w:val="0"/>
      <w:divBdr>
        <w:top w:val="none" w:sz="0" w:space="0" w:color="auto"/>
        <w:left w:val="none" w:sz="0" w:space="0" w:color="auto"/>
        <w:bottom w:val="none" w:sz="0" w:space="0" w:color="auto"/>
        <w:right w:val="none" w:sz="0" w:space="0" w:color="auto"/>
      </w:divBdr>
    </w:div>
    <w:div w:id="799693697">
      <w:bodyDiv w:val="1"/>
      <w:marLeft w:val="0"/>
      <w:marRight w:val="0"/>
      <w:marTop w:val="0"/>
      <w:marBottom w:val="0"/>
      <w:divBdr>
        <w:top w:val="none" w:sz="0" w:space="0" w:color="auto"/>
        <w:left w:val="none" w:sz="0" w:space="0" w:color="auto"/>
        <w:bottom w:val="none" w:sz="0" w:space="0" w:color="auto"/>
        <w:right w:val="none" w:sz="0" w:space="0" w:color="auto"/>
      </w:divBdr>
    </w:div>
    <w:div w:id="815688721">
      <w:bodyDiv w:val="1"/>
      <w:marLeft w:val="0"/>
      <w:marRight w:val="0"/>
      <w:marTop w:val="0"/>
      <w:marBottom w:val="0"/>
      <w:divBdr>
        <w:top w:val="none" w:sz="0" w:space="0" w:color="auto"/>
        <w:left w:val="none" w:sz="0" w:space="0" w:color="auto"/>
        <w:bottom w:val="none" w:sz="0" w:space="0" w:color="auto"/>
        <w:right w:val="none" w:sz="0" w:space="0" w:color="auto"/>
      </w:divBdr>
    </w:div>
    <w:div w:id="837699139">
      <w:bodyDiv w:val="1"/>
      <w:marLeft w:val="0"/>
      <w:marRight w:val="0"/>
      <w:marTop w:val="0"/>
      <w:marBottom w:val="0"/>
      <w:divBdr>
        <w:top w:val="none" w:sz="0" w:space="0" w:color="auto"/>
        <w:left w:val="none" w:sz="0" w:space="0" w:color="auto"/>
        <w:bottom w:val="none" w:sz="0" w:space="0" w:color="auto"/>
        <w:right w:val="none" w:sz="0" w:space="0" w:color="auto"/>
      </w:divBdr>
    </w:div>
    <w:div w:id="844707914">
      <w:bodyDiv w:val="1"/>
      <w:marLeft w:val="0"/>
      <w:marRight w:val="0"/>
      <w:marTop w:val="0"/>
      <w:marBottom w:val="0"/>
      <w:divBdr>
        <w:top w:val="none" w:sz="0" w:space="0" w:color="auto"/>
        <w:left w:val="none" w:sz="0" w:space="0" w:color="auto"/>
        <w:bottom w:val="none" w:sz="0" w:space="0" w:color="auto"/>
        <w:right w:val="none" w:sz="0" w:space="0" w:color="auto"/>
      </w:divBdr>
    </w:div>
    <w:div w:id="850412009">
      <w:bodyDiv w:val="1"/>
      <w:marLeft w:val="0"/>
      <w:marRight w:val="0"/>
      <w:marTop w:val="0"/>
      <w:marBottom w:val="0"/>
      <w:divBdr>
        <w:top w:val="none" w:sz="0" w:space="0" w:color="auto"/>
        <w:left w:val="none" w:sz="0" w:space="0" w:color="auto"/>
        <w:bottom w:val="none" w:sz="0" w:space="0" w:color="auto"/>
        <w:right w:val="none" w:sz="0" w:space="0" w:color="auto"/>
      </w:divBdr>
    </w:div>
    <w:div w:id="875392773">
      <w:bodyDiv w:val="1"/>
      <w:marLeft w:val="0"/>
      <w:marRight w:val="0"/>
      <w:marTop w:val="0"/>
      <w:marBottom w:val="0"/>
      <w:divBdr>
        <w:top w:val="none" w:sz="0" w:space="0" w:color="auto"/>
        <w:left w:val="none" w:sz="0" w:space="0" w:color="auto"/>
        <w:bottom w:val="none" w:sz="0" w:space="0" w:color="auto"/>
        <w:right w:val="none" w:sz="0" w:space="0" w:color="auto"/>
      </w:divBdr>
    </w:div>
    <w:div w:id="876358361">
      <w:bodyDiv w:val="1"/>
      <w:marLeft w:val="0"/>
      <w:marRight w:val="0"/>
      <w:marTop w:val="0"/>
      <w:marBottom w:val="0"/>
      <w:divBdr>
        <w:top w:val="none" w:sz="0" w:space="0" w:color="auto"/>
        <w:left w:val="none" w:sz="0" w:space="0" w:color="auto"/>
        <w:bottom w:val="none" w:sz="0" w:space="0" w:color="auto"/>
        <w:right w:val="none" w:sz="0" w:space="0" w:color="auto"/>
      </w:divBdr>
    </w:div>
    <w:div w:id="919873822">
      <w:bodyDiv w:val="1"/>
      <w:marLeft w:val="0"/>
      <w:marRight w:val="0"/>
      <w:marTop w:val="0"/>
      <w:marBottom w:val="0"/>
      <w:divBdr>
        <w:top w:val="none" w:sz="0" w:space="0" w:color="auto"/>
        <w:left w:val="none" w:sz="0" w:space="0" w:color="auto"/>
        <w:bottom w:val="none" w:sz="0" w:space="0" w:color="auto"/>
        <w:right w:val="none" w:sz="0" w:space="0" w:color="auto"/>
      </w:divBdr>
    </w:div>
    <w:div w:id="928150665">
      <w:bodyDiv w:val="1"/>
      <w:marLeft w:val="0"/>
      <w:marRight w:val="0"/>
      <w:marTop w:val="0"/>
      <w:marBottom w:val="0"/>
      <w:divBdr>
        <w:top w:val="none" w:sz="0" w:space="0" w:color="auto"/>
        <w:left w:val="none" w:sz="0" w:space="0" w:color="auto"/>
        <w:bottom w:val="none" w:sz="0" w:space="0" w:color="auto"/>
        <w:right w:val="none" w:sz="0" w:space="0" w:color="auto"/>
      </w:divBdr>
    </w:div>
    <w:div w:id="933055243">
      <w:bodyDiv w:val="1"/>
      <w:marLeft w:val="0"/>
      <w:marRight w:val="0"/>
      <w:marTop w:val="0"/>
      <w:marBottom w:val="0"/>
      <w:divBdr>
        <w:top w:val="none" w:sz="0" w:space="0" w:color="auto"/>
        <w:left w:val="none" w:sz="0" w:space="0" w:color="auto"/>
        <w:bottom w:val="none" w:sz="0" w:space="0" w:color="auto"/>
        <w:right w:val="none" w:sz="0" w:space="0" w:color="auto"/>
      </w:divBdr>
    </w:div>
    <w:div w:id="954096139">
      <w:bodyDiv w:val="1"/>
      <w:marLeft w:val="0"/>
      <w:marRight w:val="0"/>
      <w:marTop w:val="0"/>
      <w:marBottom w:val="0"/>
      <w:divBdr>
        <w:top w:val="none" w:sz="0" w:space="0" w:color="auto"/>
        <w:left w:val="none" w:sz="0" w:space="0" w:color="auto"/>
        <w:bottom w:val="none" w:sz="0" w:space="0" w:color="auto"/>
        <w:right w:val="none" w:sz="0" w:space="0" w:color="auto"/>
      </w:divBdr>
    </w:div>
    <w:div w:id="962157079">
      <w:bodyDiv w:val="1"/>
      <w:marLeft w:val="0"/>
      <w:marRight w:val="0"/>
      <w:marTop w:val="0"/>
      <w:marBottom w:val="0"/>
      <w:divBdr>
        <w:top w:val="none" w:sz="0" w:space="0" w:color="auto"/>
        <w:left w:val="none" w:sz="0" w:space="0" w:color="auto"/>
        <w:bottom w:val="none" w:sz="0" w:space="0" w:color="auto"/>
        <w:right w:val="none" w:sz="0" w:space="0" w:color="auto"/>
      </w:divBdr>
    </w:div>
    <w:div w:id="1021321575">
      <w:bodyDiv w:val="1"/>
      <w:marLeft w:val="0"/>
      <w:marRight w:val="0"/>
      <w:marTop w:val="0"/>
      <w:marBottom w:val="0"/>
      <w:divBdr>
        <w:top w:val="none" w:sz="0" w:space="0" w:color="auto"/>
        <w:left w:val="none" w:sz="0" w:space="0" w:color="auto"/>
        <w:bottom w:val="none" w:sz="0" w:space="0" w:color="auto"/>
        <w:right w:val="none" w:sz="0" w:space="0" w:color="auto"/>
      </w:divBdr>
      <w:divsChild>
        <w:div w:id="537620520">
          <w:marLeft w:val="-420"/>
          <w:marRight w:val="0"/>
          <w:marTop w:val="0"/>
          <w:marBottom w:val="0"/>
          <w:divBdr>
            <w:top w:val="none" w:sz="0" w:space="0" w:color="auto"/>
            <w:left w:val="none" w:sz="0" w:space="0" w:color="auto"/>
            <w:bottom w:val="none" w:sz="0" w:space="0" w:color="auto"/>
            <w:right w:val="none" w:sz="0" w:space="0" w:color="auto"/>
          </w:divBdr>
          <w:divsChild>
            <w:div w:id="781999822">
              <w:marLeft w:val="0"/>
              <w:marRight w:val="0"/>
              <w:marTop w:val="0"/>
              <w:marBottom w:val="0"/>
              <w:divBdr>
                <w:top w:val="none" w:sz="0" w:space="0" w:color="auto"/>
                <w:left w:val="none" w:sz="0" w:space="0" w:color="auto"/>
                <w:bottom w:val="none" w:sz="0" w:space="0" w:color="auto"/>
                <w:right w:val="none" w:sz="0" w:space="0" w:color="auto"/>
              </w:divBdr>
              <w:divsChild>
                <w:div w:id="1935702346">
                  <w:marLeft w:val="0"/>
                  <w:marRight w:val="0"/>
                  <w:marTop w:val="0"/>
                  <w:marBottom w:val="0"/>
                  <w:divBdr>
                    <w:top w:val="none" w:sz="0" w:space="0" w:color="auto"/>
                    <w:left w:val="none" w:sz="0" w:space="0" w:color="auto"/>
                    <w:bottom w:val="none" w:sz="0" w:space="0" w:color="auto"/>
                    <w:right w:val="none" w:sz="0" w:space="0" w:color="auto"/>
                  </w:divBdr>
                  <w:divsChild>
                    <w:div w:id="205609290">
                      <w:marLeft w:val="0"/>
                      <w:marRight w:val="0"/>
                      <w:marTop w:val="0"/>
                      <w:marBottom w:val="0"/>
                      <w:divBdr>
                        <w:top w:val="none" w:sz="0" w:space="0" w:color="auto"/>
                        <w:left w:val="none" w:sz="0" w:space="0" w:color="auto"/>
                        <w:bottom w:val="none" w:sz="0" w:space="0" w:color="auto"/>
                        <w:right w:val="none" w:sz="0" w:space="0" w:color="auto"/>
                      </w:divBdr>
                    </w:div>
                    <w:div w:id="514659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5871882">
          <w:marLeft w:val="-420"/>
          <w:marRight w:val="0"/>
          <w:marTop w:val="0"/>
          <w:marBottom w:val="0"/>
          <w:divBdr>
            <w:top w:val="none" w:sz="0" w:space="0" w:color="auto"/>
            <w:left w:val="none" w:sz="0" w:space="0" w:color="auto"/>
            <w:bottom w:val="none" w:sz="0" w:space="0" w:color="auto"/>
            <w:right w:val="none" w:sz="0" w:space="0" w:color="auto"/>
          </w:divBdr>
          <w:divsChild>
            <w:div w:id="1049304611">
              <w:marLeft w:val="0"/>
              <w:marRight w:val="0"/>
              <w:marTop w:val="0"/>
              <w:marBottom w:val="0"/>
              <w:divBdr>
                <w:top w:val="none" w:sz="0" w:space="0" w:color="auto"/>
                <w:left w:val="none" w:sz="0" w:space="0" w:color="auto"/>
                <w:bottom w:val="none" w:sz="0" w:space="0" w:color="auto"/>
                <w:right w:val="none" w:sz="0" w:space="0" w:color="auto"/>
              </w:divBdr>
              <w:divsChild>
                <w:div w:id="29767278">
                  <w:marLeft w:val="0"/>
                  <w:marRight w:val="0"/>
                  <w:marTop w:val="0"/>
                  <w:marBottom w:val="0"/>
                  <w:divBdr>
                    <w:top w:val="none" w:sz="0" w:space="0" w:color="auto"/>
                    <w:left w:val="none" w:sz="0" w:space="0" w:color="auto"/>
                    <w:bottom w:val="none" w:sz="0" w:space="0" w:color="auto"/>
                    <w:right w:val="none" w:sz="0" w:space="0" w:color="auto"/>
                  </w:divBdr>
                  <w:divsChild>
                    <w:div w:id="1670967">
                      <w:marLeft w:val="0"/>
                      <w:marRight w:val="0"/>
                      <w:marTop w:val="0"/>
                      <w:marBottom w:val="0"/>
                      <w:divBdr>
                        <w:top w:val="none" w:sz="0" w:space="0" w:color="auto"/>
                        <w:left w:val="none" w:sz="0" w:space="0" w:color="auto"/>
                        <w:bottom w:val="none" w:sz="0" w:space="0" w:color="auto"/>
                        <w:right w:val="none" w:sz="0" w:space="0" w:color="auto"/>
                      </w:divBdr>
                    </w:div>
                    <w:div w:id="559708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6634192">
          <w:marLeft w:val="-420"/>
          <w:marRight w:val="0"/>
          <w:marTop w:val="0"/>
          <w:marBottom w:val="0"/>
          <w:divBdr>
            <w:top w:val="none" w:sz="0" w:space="0" w:color="auto"/>
            <w:left w:val="none" w:sz="0" w:space="0" w:color="auto"/>
            <w:bottom w:val="none" w:sz="0" w:space="0" w:color="auto"/>
            <w:right w:val="none" w:sz="0" w:space="0" w:color="auto"/>
          </w:divBdr>
          <w:divsChild>
            <w:div w:id="708527508">
              <w:marLeft w:val="0"/>
              <w:marRight w:val="0"/>
              <w:marTop w:val="0"/>
              <w:marBottom w:val="0"/>
              <w:divBdr>
                <w:top w:val="none" w:sz="0" w:space="0" w:color="auto"/>
                <w:left w:val="none" w:sz="0" w:space="0" w:color="auto"/>
                <w:bottom w:val="none" w:sz="0" w:space="0" w:color="auto"/>
                <w:right w:val="none" w:sz="0" w:space="0" w:color="auto"/>
              </w:divBdr>
              <w:divsChild>
                <w:div w:id="60568093">
                  <w:marLeft w:val="0"/>
                  <w:marRight w:val="0"/>
                  <w:marTop w:val="0"/>
                  <w:marBottom w:val="0"/>
                  <w:divBdr>
                    <w:top w:val="none" w:sz="0" w:space="0" w:color="auto"/>
                    <w:left w:val="none" w:sz="0" w:space="0" w:color="auto"/>
                    <w:bottom w:val="none" w:sz="0" w:space="0" w:color="auto"/>
                    <w:right w:val="none" w:sz="0" w:space="0" w:color="auto"/>
                  </w:divBdr>
                  <w:divsChild>
                    <w:div w:id="1008942608">
                      <w:marLeft w:val="0"/>
                      <w:marRight w:val="0"/>
                      <w:marTop w:val="0"/>
                      <w:marBottom w:val="0"/>
                      <w:divBdr>
                        <w:top w:val="none" w:sz="0" w:space="0" w:color="auto"/>
                        <w:left w:val="none" w:sz="0" w:space="0" w:color="auto"/>
                        <w:bottom w:val="none" w:sz="0" w:space="0" w:color="auto"/>
                        <w:right w:val="none" w:sz="0" w:space="0" w:color="auto"/>
                      </w:divBdr>
                    </w:div>
                    <w:div w:id="1246257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1897629">
          <w:marLeft w:val="-420"/>
          <w:marRight w:val="0"/>
          <w:marTop w:val="0"/>
          <w:marBottom w:val="0"/>
          <w:divBdr>
            <w:top w:val="none" w:sz="0" w:space="0" w:color="auto"/>
            <w:left w:val="none" w:sz="0" w:space="0" w:color="auto"/>
            <w:bottom w:val="none" w:sz="0" w:space="0" w:color="auto"/>
            <w:right w:val="none" w:sz="0" w:space="0" w:color="auto"/>
          </w:divBdr>
          <w:divsChild>
            <w:div w:id="1570580592">
              <w:marLeft w:val="0"/>
              <w:marRight w:val="0"/>
              <w:marTop w:val="0"/>
              <w:marBottom w:val="0"/>
              <w:divBdr>
                <w:top w:val="none" w:sz="0" w:space="0" w:color="auto"/>
                <w:left w:val="none" w:sz="0" w:space="0" w:color="auto"/>
                <w:bottom w:val="none" w:sz="0" w:space="0" w:color="auto"/>
                <w:right w:val="none" w:sz="0" w:space="0" w:color="auto"/>
              </w:divBdr>
              <w:divsChild>
                <w:div w:id="192545184">
                  <w:marLeft w:val="0"/>
                  <w:marRight w:val="0"/>
                  <w:marTop w:val="0"/>
                  <w:marBottom w:val="0"/>
                  <w:divBdr>
                    <w:top w:val="none" w:sz="0" w:space="0" w:color="auto"/>
                    <w:left w:val="none" w:sz="0" w:space="0" w:color="auto"/>
                    <w:bottom w:val="none" w:sz="0" w:space="0" w:color="auto"/>
                    <w:right w:val="none" w:sz="0" w:space="0" w:color="auto"/>
                  </w:divBdr>
                  <w:divsChild>
                    <w:div w:id="131219918">
                      <w:marLeft w:val="0"/>
                      <w:marRight w:val="0"/>
                      <w:marTop w:val="0"/>
                      <w:marBottom w:val="0"/>
                      <w:divBdr>
                        <w:top w:val="none" w:sz="0" w:space="0" w:color="auto"/>
                        <w:left w:val="none" w:sz="0" w:space="0" w:color="auto"/>
                        <w:bottom w:val="none" w:sz="0" w:space="0" w:color="auto"/>
                        <w:right w:val="none" w:sz="0" w:space="0" w:color="auto"/>
                      </w:divBdr>
                    </w:div>
                    <w:div w:id="173499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7964452">
          <w:marLeft w:val="-420"/>
          <w:marRight w:val="0"/>
          <w:marTop w:val="0"/>
          <w:marBottom w:val="0"/>
          <w:divBdr>
            <w:top w:val="none" w:sz="0" w:space="0" w:color="auto"/>
            <w:left w:val="none" w:sz="0" w:space="0" w:color="auto"/>
            <w:bottom w:val="none" w:sz="0" w:space="0" w:color="auto"/>
            <w:right w:val="none" w:sz="0" w:space="0" w:color="auto"/>
          </w:divBdr>
          <w:divsChild>
            <w:div w:id="1227032453">
              <w:marLeft w:val="0"/>
              <w:marRight w:val="0"/>
              <w:marTop w:val="0"/>
              <w:marBottom w:val="0"/>
              <w:divBdr>
                <w:top w:val="none" w:sz="0" w:space="0" w:color="auto"/>
                <w:left w:val="none" w:sz="0" w:space="0" w:color="auto"/>
                <w:bottom w:val="none" w:sz="0" w:space="0" w:color="auto"/>
                <w:right w:val="none" w:sz="0" w:space="0" w:color="auto"/>
              </w:divBdr>
              <w:divsChild>
                <w:div w:id="1188789706">
                  <w:marLeft w:val="0"/>
                  <w:marRight w:val="0"/>
                  <w:marTop w:val="0"/>
                  <w:marBottom w:val="0"/>
                  <w:divBdr>
                    <w:top w:val="none" w:sz="0" w:space="0" w:color="auto"/>
                    <w:left w:val="none" w:sz="0" w:space="0" w:color="auto"/>
                    <w:bottom w:val="none" w:sz="0" w:space="0" w:color="auto"/>
                    <w:right w:val="none" w:sz="0" w:space="0" w:color="auto"/>
                  </w:divBdr>
                  <w:divsChild>
                    <w:div w:id="461925482">
                      <w:marLeft w:val="0"/>
                      <w:marRight w:val="0"/>
                      <w:marTop w:val="0"/>
                      <w:marBottom w:val="0"/>
                      <w:divBdr>
                        <w:top w:val="none" w:sz="0" w:space="0" w:color="auto"/>
                        <w:left w:val="none" w:sz="0" w:space="0" w:color="auto"/>
                        <w:bottom w:val="none" w:sz="0" w:space="0" w:color="auto"/>
                        <w:right w:val="none" w:sz="0" w:space="0" w:color="auto"/>
                      </w:divBdr>
                    </w:div>
                    <w:div w:id="692657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0226532">
      <w:bodyDiv w:val="1"/>
      <w:marLeft w:val="0"/>
      <w:marRight w:val="0"/>
      <w:marTop w:val="0"/>
      <w:marBottom w:val="0"/>
      <w:divBdr>
        <w:top w:val="none" w:sz="0" w:space="0" w:color="auto"/>
        <w:left w:val="none" w:sz="0" w:space="0" w:color="auto"/>
        <w:bottom w:val="none" w:sz="0" w:space="0" w:color="auto"/>
        <w:right w:val="none" w:sz="0" w:space="0" w:color="auto"/>
      </w:divBdr>
    </w:div>
    <w:div w:id="1061291037">
      <w:bodyDiv w:val="1"/>
      <w:marLeft w:val="0"/>
      <w:marRight w:val="0"/>
      <w:marTop w:val="0"/>
      <w:marBottom w:val="0"/>
      <w:divBdr>
        <w:top w:val="none" w:sz="0" w:space="0" w:color="auto"/>
        <w:left w:val="none" w:sz="0" w:space="0" w:color="auto"/>
        <w:bottom w:val="none" w:sz="0" w:space="0" w:color="auto"/>
        <w:right w:val="none" w:sz="0" w:space="0" w:color="auto"/>
      </w:divBdr>
    </w:div>
    <w:div w:id="1061446667">
      <w:bodyDiv w:val="1"/>
      <w:marLeft w:val="0"/>
      <w:marRight w:val="0"/>
      <w:marTop w:val="0"/>
      <w:marBottom w:val="0"/>
      <w:divBdr>
        <w:top w:val="none" w:sz="0" w:space="0" w:color="auto"/>
        <w:left w:val="none" w:sz="0" w:space="0" w:color="auto"/>
        <w:bottom w:val="none" w:sz="0" w:space="0" w:color="auto"/>
        <w:right w:val="none" w:sz="0" w:space="0" w:color="auto"/>
      </w:divBdr>
    </w:div>
    <w:div w:id="1084766653">
      <w:bodyDiv w:val="1"/>
      <w:marLeft w:val="0"/>
      <w:marRight w:val="0"/>
      <w:marTop w:val="0"/>
      <w:marBottom w:val="0"/>
      <w:divBdr>
        <w:top w:val="none" w:sz="0" w:space="0" w:color="auto"/>
        <w:left w:val="none" w:sz="0" w:space="0" w:color="auto"/>
        <w:bottom w:val="none" w:sz="0" w:space="0" w:color="auto"/>
        <w:right w:val="none" w:sz="0" w:space="0" w:color="auto"/>
      </w:divBdr>
    </w:div>
    <w:div w:id="1152410730">
      <w:bodyDiv w:val="1"/>
      <w:marLeft w:val="0"/>
      <w:marRight w:val="0"/>
      <w:marTop w:val="0"/>
      <w:marBottom w:val="0"/>
      <w:divBdr>
        <w:top w:val="none" w:sz="0" w:space="0" w:color="auto"/>
        <w:left w:val="none" w:sz="0" w:space="0" w:color="auto"/>
        <w:bottom w:val="none" w:sz="0" w:space="0" w:color="auto"/>
        <w:right w:val="none" w:sz="0" w:space="0" w:color="auto"/>
      </w:divBdr>
    </w:div>
    <w:div w:id="1155410150">
      <w:bodyDiv w:val="1"/>
      <w:marLeft w:val="0"/>
      <w:marRight w:val="0"/>
      <w:marTop w:val="0"/>
      <w:marBottom w:val="0"/>
      <w:divBdr>
        <w:top w:val="none" w:sz="0" w:space="0" w:color="auto"/>
        <w:left w:val="none" w:sz="0" w:space="0" w:color="auto"/>
        <w:bottom w:val="none" w:sz="0" w:space="0" w:color="auto"/>
        <w:right w:val="none" w:sz="0" w:space="0" w:color="auto"/>
      </w:divBdr>
    </w:div>
    <w:div w:id="1218473127">
      <w:bodyDiv w:val="1"/>
      <w:marLeft w:val="0"/>
      <w:marRight w:val="0"/>
      <w:marTop w:val="0"/>
      <w:marBottom w:val="0"/>
      <w:divBdr>
        <w:top w:val="none" w:sz="0" w:space="0" w:color="auto"/>
        <w:left w:val="none" w:sz="0" w:space="0" w:color="auto"/>
        <w:bottom w:val="none" w:sz="0" w:space="0" w:color="auto"/>
        <w:right w:val="none" w:sz="0" w:space="0" w:color="auto"/>
      </w:divBdr>
    </w:div>
    <w:div w:id="1222325927">
      <w:bodyDiv w:val="1"/>
      <w:marLeft w:val="0"/>
      <w:marRight w:val="0"/>
      <w:marTop w:val="0"/>
      <w:marBottom w:val="0"/>
      <w:divBdr>
        <w:top w:val="none" w:sz="0" w:space="0" w:color="auto"/>
        <w:left w:val="none" w:sz="0" w:space="0" w:color="auto"/>
        <w:bottom w:val="none" w:sz="0" w:space="0" w:color="auto"/>
        <w:right w:val="none" w:sz="0" w:space="0" w:color="auto"/>
      </w:divBdr>
    </w:div>
    <w:div w:id="1306399039">
      <w:bodyDiv w:val="1"/>
      <w:marLeft w:val="0"/>
      <w:marRight w:val="0"/>
      <w:marTop w:val="0"/>
      <w:marBottom w:val="0"/>
      <w:divBdr>
        <w:top w:val="none" w:sz="0" w:space="0" w:color="auto"/>
        <w:left w:val="none" w:sz="0" w:space="0" w:color="auto"/>
        <w:bottom w:val="none" w:sz="0" w:space="0" w:color="auto"/>
        <w:right w:val="none" w:sz="0" w:space="0" w:color="auto"/>
      </w:divBdr>
      <w:divsChild>
        <w:div w:id="1309868835">
          <w:marLeft w:val="0"/>
          <w:marRight w:val="0"/>
          <w:marTop w:val="0"/>
          <w:marBottom w:val="0"/>
          <w:divBdr>
            <w:top w:val="none" w:sz="0" w:space="0" w:color="auto"/>
            <w:left w:val="none" w:sz="0" w:space="0" w:color="auto"/>
            <w:bottom w:val="none" w:sz="0" w:space="0" w:color="auto"/>
            <w:right w:val="none" w:sz="0" w:space="0" w:color="auto"/>
          </w:divBdr>
        </w:div>
        <w:div w:id="426075215">
          <w:marLeft w:val="0"/>
          <w:marRight w:val="0"/>
          <w:marTop w:val="0"/>
          <w:marBottom w:val="0"/>
          <w:divBdr>
            <w:top w:val="none" w:sz="0" w:space="0" w:color="auto"/>
            <w:left w:val="none" w:sz="0" w:space="0" w:color="auto"/>
            <w:bottom w:val="none" w:sz="0" w:space="0" w:color="auto"/>
            <w:right w:val="none" w:sz="0" w:space="0" w:color="auto"/>
          </w:divBdr>
          <w:divsChild>
            <w:div w:id="452401918">
              <w:marLeft w:val="0"/>
              <w:marRight w:val="0"/>
              <w:marTop w:val="0"/>
              <w:marBottom w:val="0"/>
              <w:divBdr>
                <w:top w:val="none" w:sz="0" w:space="0" w:color="auto"/>
                <w:left w:val="none" w:sz="0" w:space="0" w:color="auto"/>
                <w:bottom w:val="none" w:sz="0" w:space="0" w:color="auto"/>
                <w:right w:val="none" w:sz="0" w:space="0" w:color="auto"/>
              </w:divBdr>
            </w:div>
            <w:div w:id="462620447">
              <w:marLeft w:val="0"/>
              <w:marRight w:val="0"/>
              <w:marTop w:val="0"/>
              <w:marBottom w:val="0"/>
              <w:divBdr>
                <w:top w:val="none" w:sz="0" w:space="0" w:color="auto"/>
                <w:left w:val="none" w:sz="0" w:space="0" w:color="auto"/>
                <w:bottom w:val="none" w:sz="0" w:space="0" w:color="auto"/>
                <w:right w:val="none" w:sz="0" w:space="0" w:color="auto"/>
              </w:divBdr>
            </w:div>
            <w:div w:id="1027944244">
              <w:marLeft w:val="0"/>
              <w:marRight w:val="0"/>
              <w:marTop w:val="0"/>
              <w:marBottom w:val="0"/>
              <w:divBdr>
                <w:top w:val="none" w:sz="0" w:space="0" w:color="auto"/>
                <w:left w:val="none" w:sz="0" w:space="0" w:color="auto"/>
                <w:bottom w:val="none" w:sz="0" w:space="0" w:color="auto"/>
                <w:right w:val="none" w:sz="0" w:space="0" w:color="auto"/>
              </w:divBdr>
            </w:div>
            <w:div w:id="2133474976">
              <w:marLeft w:val="0"/>
              <w:marRight w:val="0"/>
              <w:marTop w:val="0"/>
              <w:marBottom w:val="0"/>
              <w:divBdr>
                <w:top w:val="none" w:sz="0" w:space="0" w:color="auto"/>
                <w:left w:val="none" w:sz="0" w:space="0" w:color="auto"/>
                <w:bottom w:val="none" w:sz="0" w:space="0" w:color="auto"/>
                <w:right w:val="none" w:sz="0" w:space="0" w:color="auto"/>
              </w:divBdr>
            </w:div>
          </w:divsChild>
        </w:div>
        <w:div w:id="1090657721">
          <w:marLeft w:val="0"/>
          <w:marRight w:val="0"/>
          <w:marTop w:val="0"/>
          <w:marBottom w:val="0"/>
          <w:divBdr>
            <w:top w:val="none" w:sz="0" w:space="0" w:color="auto"/>
            <w:left w:val="none" w:sz="0" w:space="0" w:color="auto"/>
            <w:bottom w:val="none" w:sz="0" w:space="0" w:color="auto"/>
            <w:right w:val="none" w:sz="0" w:space="0" w:color="auto"/>
          </w:divBdr>
        </w:div>
      </w:divsChild>
    </w:div>
    <w:div w:id="1374498453">
      <w:bodyDiv w:val="1"/>
      <w:marLeft w:val="0"/>
      <w:marRight w:val="0"/>
      <w:marTop w:val="0"/>
      <w:marBottom w:val="0"/>
      <w:divBdr>
        <w:top w:val="none" w:sz="0" w:space="0" w:color="auto"/>
        <w:left w:val="none" w:sz="0" w:space="0" w:color="auto"/>
        <w:bottom w:val="none" w:sz="0" w:space="0" w:color="auto"/>
        <w:right w:val="none" w:sz="0" w:space="0" w:color="auto"/>
      </w:divBdr>
    </w:div>
    <w:div w:id="1383402345">
      <w:bodyDiv w:val="1"/>
      <w:marLeft w:val="0"/>
      <w:marRight w:val="0"/>
      <w:marTop w:val="0"/>
      <w:marBottom w:val="0"/>
      <w:divBdr>
        <w:top w:val="none" w:sz="0" w:space="0" w:color="auto"/>
        <w:left w:val="none" w:sz="0" w:space="0" w:color="auto"/>
        <w:bottom w:val="none" w:sz="0" w:space="0" w:color="auto"/>
        <w:right w:val="none" w:sz="0" w:space="0" w:color="auto"/>
      </w:divBdr>
    </w:div>
    <w:div w:id="1384331210">
      <w:bodyDiv w:val="1"/>
      <w:marLeft w:val="0"/>
      <w:marRight w:val="0"/>
      <w:marTop w:val="0"/>
      <w:marBottom w:val="0"/>
      <w:divBdr>
        <w:top w:val="none" w:sz="0" w:space="0" w:color="auto"/>
        <w:left w:val="none" w:sz="0" w:space="0" w:color="auto"/>
        <w:bottom w:val="none" w:sz="0" w:space="0" w:color="auto"/>
        <w:right w:val="none" w:sz="0" w:space="0" w:color="auto"/>
      </w:divBdr>
    </w:div>
    <w:div w:id="1417895605">
      <w:bodyDiv w:val="1"/>
      <w:marLeft w:val="0"/>
      <w:marRight w:val="0"/>
      <w:marTop w:val="0"/>
      <w:marBottom w:val="0"/>
      <w:divBdr>
        <w:top w:val="none" w:sz="0" w:space="0" w:color="auto"/>
        <w:left w:val="none" w:sz="0" w:space="0" w:color="auto"/>
        <w:bottom w:val="none" w:sz="0" w:space="0" w:color="auto"/>
        <w:right w:val="none" w:sz="0" w:space="0" w:color="auto"/>
      </w:divBdr>
    </w:div>
    <w:div w:id="1455055826">
      <w:bodyDiv w:val="1"/>
      <w:marLeft w:val="0"/>
      <w:marRight w:val="0"/>
      <w:marTop w:val="0"/>
      <w:marBottom w:val="0"/>
      <w:divBdr>
        <w:top w:val="none" w:sz="0" w:space="0" w:color="auto"/>
        <w:left w:val="none" w:sz="0" w:space="0" w:color="auto"/>
        <w:bottom w:val="none" w:sz="0" w:space="0" w:color="auto"/>
        <w:right w:val="none" w:sz="0" w:space="0" w:color="auto"/>
      </w:divBdr>
    </w:div>
    <w:div w:id="1474323222">
      <w:bodyDiv w:val="1"/>
      <w:marLeft w:val="0"/>
      <w:marRight w:val="0"/>
      <w:marTop w:val="0"/>
      <w:marBottom w:val="0"/>
      <w:divBdr>
        <w:top w:val="none" w:sz="0" w:space="0" w:color="auto"/>
        <w:left w:val="none" w:sz="0" w:space="0" w:color="auto"/>
        <w:bottom w:val="none" w:sz="0" w:space="0" w:color="auto"/>
        <w:right w:val="none" w:sz="0" w:space="0" w:color="auto"/>
      </w:divBdr>
    </w:div>
    <w:div w:id="1476220565">
      <w:bodyDiv w:val="1"/>
      <w:marLeft w:val="0"/>
      <w:marRight w:val="0"/>
      <w:marTop w:val="0"/>
      <w:marBottom w:val="0"/>
      <w:divBdr>
        <w:top w:val="none" w:sz="0" w:space="0" w:color="auto"/>
        <w:left w:val="none" w:sz="0" w:space="0" w:color="auto"/>
        <w:bottom w:val="none" w:sz="0" w:space="0" w:color="auto"/>
        <w:right w:val="none" w:sz="0" w:space="0" w:color="auto"/>
      </w:divBdr>
    </w:div>
    <w:div w:id="1493448158">
      <w:bodyDiv w:val="1"/>
      <w:marLeft w:val="0"/>
      <w:marRight w:val="0"/>
      <w:marTop w:val="0"/>
      <w:marBottom w:val="0"/>
      <w:divBdr>
        <w:top w:val="none" w:sz="0" w:space="0" w:color="auto"/>
        <w:left w:val="none" w:sz="0" w:space="0" w:color="auto"/>
        <w:bottom w:val="none" w:sz="0" w:space="0" w:color="auto"/>
        <w:right w:val="none" w:sz="0" w:space="0" w:color="auto"/>
      </w:divBdr>
    </w:div>
    <w:div w:id="1540555850">
      <w:bodyDiv w:val="1"/>
      <w:marLeft w:val="0"/>
      <w:marRight w:val="0"/>
      <w:marTop w:val="0"/>
      <w:marBottom w:val="0"/>
      <w:divBdr>
        <w:top w:val="none" w:sz="0" w:space="0" w:color="auto"/>
        <w:left w:val="none" w:sz="0" w:space="0" w:color="auto"/>
        <w:bottom w:val="none" w:sz="0" w:space="0" w:color="auto"/>
        <w:right w:val="none" w:sz="0" w:space="0" w:color="auto"/>
      </w:divBdr>
    </w:div>
    <w:div w:id="1554464120">
      <w:bodyDiv w:val="1"/>
      <w:marLeft w:val="0"/>
      <w:marRight w:val="0"/>
      <w:marTop w:val="0"/>
      <w:marBottom w:val="0"/>
      <w:divBdr>
        <w:top w:val="none" w:sz="0" w:space="0" w:color="auto"/>
        <w:left w:val="none" w:sz="0" w:space="0" w:color="auto"/>
        <w:bottom w:val="none" w:sz="0" w:space="0" w:color="auto"/>
        <w:right w:val="none" w:sz="0" w:space="0" w:color="auto"/>
      </w:divBdr>
    </w:div>
    <w:div w:id="1569874951">
      <w:bodyDiv w:val="1"/>
      <w:marLeft w:val="0"/>
      <w:marRight w:val="0"/>
      <w:marTop w:val="0"/>
      <w:marBottom w:val="0"/>
      <w:divBdr>
        <w:top w:val="none" w:sz="0" w:space="0" w:color="auto"/>
        <w:left w:val="none" w:sz="0" w:space="0" w:color="auto"/>
        <w:bottom w:val="none" w:sz="0" w:space="0" w:color="auto"/>
        <w:right w:val="none" w:sz="0" w:space="0" w:color="auto"/>
      </w:divBdr>
    </w:div>
    <w:div w:id="1605727336">
      <w:bodyDiv w:val="1"/>
      <w:marLeft w:val="0"/>
      <w:marRight w:val="0"/>
      <w:marTop w:val="0"/>
      <w:marBottom w:val="0"/>
      <w:divBdr>
        <w:top w:val="none" w:sz="0" w:space="0" w:color="auto"/>
        <w:left w:val="none" w:sz="0" w:space="0" w:color="auto"/>
        <w:bottom w:val="none" w:sz="0" w:space="0" w:color="auto"/>
        <w:right w:val="none" w:sz="0" w:space="0" w:color="auto"/>
      </w:divBdr>
    </w:div>
    <w:div w:id="1631128324">
      <w:bodyDiv w:val="1"/>
      <w:marLeft w:val="0"/>
      <w:marRight w:val="0"/>
      <w:marTop w:val="0"/>
      <w:marBottom w:val="0"/>
      <w:divBdr>
        <w:top w:val="none" w:sz="0" w:space="0" w:color="auto"/>
        <w:left w:val="none" w:sz="0" w:space="0" w:color="auto"/>
        <w:bottom w:val="none" w:sz="0" w:space="0" w:color="auto"/>
        <w:right w:val="none" w:sz="0" w:space="0" w:color="auto"/>
      </w:divBdr>
    </w:div>
    <w:div w:id="1644580667">
      <w:bodyDiv w:val="1"/>
      <w:marLeft w:val="0"/>
      <w:marRight w:val="0"/>
      <w:marTop w:val="0"/>
      <w:marBottom w:val="0"/>
      <w:divBdr>
        <w:top w:val="none" w:sz="0" w:space="0" w:color="auto"/>
        <w:left w:val="none" w:sz="0" w:space="0" w:color="auto"/>
        <w:bottom w:val="none" w:sz="0" w:space="0" w:color="auto"/>
        <w:right w:val="none" w:sz="0" w:space="0" w:color="auto"/>
      </w:divBdr>
    </w:div>
    <w:div w:id="1687444307">
      <w:bodyDiv w:val="1"/>
      <w:marLeft w:val="0"/>
      <w:marRight w:val="0"/>
      <w:marTop w:val="0"/>
      <w:marBottom w:val="0"/>
      <w:divBdr>
        <w:top w:val="none" w:sz="0" w:space="0" w:color="auto"/>
        <w:left w:val="none" w:sz="0" w:space="0" w:color="auto"/>
        <w:bottom w:val="none" w:sz="0" w:space="0" w:color="auto"/>
        <w:right w:val="none" w:sz="0" w:space="0" w:color="auto"/>
      </w:divBdr>
    </w:div>
    <w:div w:id="1715738321">
      <w:bodyDiv w:val="1"/>
      <w:marLeft w:val="0"/>
      <w:marRight w:val="0"/>
      <w:marTop w:val="0"/>
      <w:marBottom w:val="0"/>
      <w:divBdr>
        <w:top w:val="none" w:sz="0" w:space="0" w:color="auto"/>
        <w:left w:val="none" w:sz="0" w:space="0" w:color="auto"/>
        <w:bottom w:val="none" w:sz="0" w:space="0" w:color="auto"/>
        <w:right w:val="none" w:sz="0" w:space="0" w:color="auto"/>
      </w:divBdr>
    </w:div>
    <w:div w:id="1723945839">
      <w:bodyDiv w:val="1"/>
      <w:marLeft w:val="0"/>
      <w:marRight w:val="0"/>
      <w:marTop w:val="0"/>
      <w:marBottom w:val="0"/>
      <w:divBdr>
        <w:top w:val="none" w:sz="0" w:space="0" w:color="auto"/>
        <w:left w:val="none" w:sz="0" w:space="0" w:color="auto"/>
        <w:bottom w:val="none" w:sz="0" w:space="0" w:color="auto"/>
        <w:right w:val="none" w:sz="0" w:space="0" w:color="auto"/>
      </w:divBdr>
    </w:div>
    <w:div w:id="1730105695">
      <w:bodyDiv w:val="1"/>
      <w:marLeft w:val="0"/>
      <w:marRight w:val="0"/>
      <w:marTop w:val="0"/>
      <w:marBottom w:val="0"/>
      <w:divBdr>
        <w:top w:val="none" w:sz="0" w:space="0" w:color="auto"/>
        <w:left w:val="none" w:sz="0" w:space="0" w:color="auto"/>
        <w:bottom w:val="none" w:sz="0" w:space="0" w:color="auto"/>
        <w:right w:val="none" w:sz="0" w:space="0" w:color="auto"/>
      </w:divBdr>
    </w:div>
    <w:div w:id="1730182735">
      <w:bodyDiv w:val="1"/>
      <w:marLeft w:val="0"/>
      <w:marRight w:val="0"/>
      <w:marTop w:val="0"/>
      <w:marBottom w:val="0"/>
      <w:divBdr>
        <w:top w:val="none" w:sz="0" w:space="0" w:color="auto"/>
        <w:left w:val="none" w:sz="0" w:space="0" w:color="auto"/>
        <w:bottom w:val="none" w:sz="0" w:space="0" w:color="auto"/>
        <w:right w:val="none" w:sz="0" w:space="0" w:color="auto"/>
      </w:divBdr>
    </w:div>
    <w:div w:id="1751345307">
      <w:bodyDiv w:val="1"/>
      <w:marLeft w:val="0"/>
      <w:marRight w:val="0"/>
      <w:marTop w:val="0"/>
      <w:marBottom w:val="0"/>
      <w:divBdr>
        <w:top w:val="none" w:sz="0" w:space="0" w:color="auto"/>
        <w:left w:val="none" w:sz="0" w:space="0" w:color="auto"/>
        <w:bottom w:val="none" w:sz="0" w:space="0" w:color="auto"/>
        <w:right w:val="none" w:sz="0" w:space="0" w:color="auto"/>
      </w:divBdr>
    </w:div>
    <w:div w:id="1774283631">
      <w:bodyDiv w:val="1"/>
      <w:marLeft w:val="0"/>
      <w:marRight w:val="0"/>
      <w:marTop w:val="0"/>
      <w:marBottom w:val="0"/>
      <w:divBdr>
        <w:top w:val="none" w:sz="0" w:space="0" w:color="auto"/>
        <w:left w:val="none" w:sz="0" w:space="0" w:color="auto"/>
        <w:bottom w:val="none" w:sz="0" w:space="0" w:color="auto"/>
        <w:right w:val="none" w:sz="0" w:space="0" w:color="auto"/>
      </w:divBdr>
    </w:div>
    <w:div w:id="1818493662">
      <w:bodyDiv w:val="1"/>
      <w:marLeft w:val="0"/>
      <w:marRight w:val="0"/>
      <w:marTop w:val="0"/>
      <w:marBottom w:val="0"/>
      <w:divBdr>
        <w:top w:val="none" w:sz="0" w:space="0" w:color="auto"/>
        <w:left w:val="none" w:sz="0" w:space="0" w:color="auto"/>
        <w:bottom w:val="none" w:sz="0" w:space="0" w:color="auto"/>
        <w:right w:val="none" w:sz="0" w:space="0" w:color="auto"/>
      </w:divBdr>
    </w:div>
    <w:div w:id="1927881977">
      <w:bodyDiv w:val="1"/>
      <w:marLeft w:val="0"/>
      <w:marRight w:val="0"/>
      <w:marTop w:val="0"/>
      <w:marBottom w:val="0"/>
      <w:divBdr>
        <w:top w:val="none" w:sz="0" w:space="0" w:color="auto"/>
        <w:left w:val="none" w:sz="0" w:space="0" w:color="auto"/>
        <w:bottom w:val="none" w:sz="0" w:space="0" w:color="auto"/>
        <w:right w:val="none" w:sz="0" w:space="0" w:color="auto"/>
      </w:divBdr>
    </w:div>
    <w:div w:id="1931770563">
      <w:bodyDiv w:val="1"/>
      <w:marLeft w:val="0"/>
      <w:marRight w:val="0"/>
      <w:marTop w:val="0"/>
      <w:marBottom w:val="0"/>
      <w:divBdr>
        <w:top w:val="none" w:sz="0" w:space="0" w:color="auto"/>
        <w:left w:val="none" w:sz="0" w:space="0" w:color="auto"/>
        <w:bottom w:val="none" w:sz="0" w:space="0" w:color="auto"/>
        <w:right w:val="none" w:sz="0" w:space="0" w:color="auto"/>
      </w:divBdr>
    </w:div>
    <w:div w:id="1934899113">
      <w:bodyDiv w:val="1"/>
      <w:marLeft w:val="0"/>
      <w:marRight w:val="0"/>
      <w:marTop w:val="0"/>
      <w:marBottom w:val="0"/>
      <w:divBdr>
        <w:top w:val="none" w:sz="0" w:space="0" w:color="auto"/>
        <w:left w:val="none" w:sz="0" w:space="0" w:color="auto"/>
        <w:bottom w:val="none" w:sz="0" w:space="0" w:color="auto"/>
        <w:right w:val="none" w:sz="0" w:space="0" w:color="auto"/>
      </w:divBdr>
    </w:div>
    <w:div w:id="1939672371">
      <w:bodyDiv w:val="1"/>
      <w:marLeft w:val="0"/>
      <w:marRight w:val="0"/>
      <w:marTop w:val="0"/>
      <w:marBottom w:val="0"/>
      <w:divBdr>
        <w:top w:val="none" w:sz="0" w:space="0" w:color="auto"/>
        <w:left w:val="none" w:sz="0" w:space="0" w:color="auto"/>
        <w:bottom w:val="none" w:sz="0" w:space="0" w:color="auto"/>
        <w:right w:val="none" w:sz="0" w:space="0" w:color="auto"/>
      </w:divBdr>
    </w:div>
    <w:div w:id="1949969699">
      <w:bodyDiv w:val="1"/>
      <w:marLeft w:val="0"/>
      <w:marRight w:val="0"/>
      <w:marTop w:val="0"/>
      <w:marBottom w:val="0"/>
      <w:divBdr>
        <w:top w:val="none" w:sz="0" w:space="0" w:color="auto"/>
        <w:left w:val="none" w:sz="0" w:space="0" w:color="auto"/>
        <w:bottom w:val="none" w:sz="0" w:space="0" w:color="auto"/>
        <w:right w:val="none" w:sz="0" w:space="0" w:color="auto"/>
      </w:divBdr>
    </w:div>
    <w:div w:id="2000302109">
      <w:bodyDiv w:val="1"/>
      <w:marLeft w:val="0"/>
      <w:marRight w:val="0"/>
      <w:marTop w:val="0"/>
      <w:marBottom w:val="0"/>
      <w:divBdr>
        <w:top w:val="none" w:sz="0" w:space="0" w:color="auto"/>
        <w:left w:val="none" w:sz="0" w:space="0" w:color="auto"/>
        <w:bottom w:val="none" w:sz="0" w:space="0" w:color="auto"/>
        <w:right w:val="none" w:sz="0" w:space="0" w:color="auto"/>
      </w:divBdr>
    </w:div>
    <w:div w:id="2000423909">
      <w:bodyDiv w:val="1"/>
      <w:marLeft w:val="0"/>
      <w:marRight w:val="0"/>
      <w:marTop w:val="0"/>
      <w:marBottom w:val="0"/>
      <w:divBdr>
        <w:top w:val="none" w:sz="0" w:space="0" w:color="auto"/>
        <w:left w:val="none" w:sz="0" w:space="0" w:color="auto"/>
        <w:bottom w:val="none" w:sz="0" w:space="0" w:color="auto"/>
        <w:right w:val="none" w:sz="0" w:space="0" w:color="auto"/>
      </w:divBdr>
    </w:div>
    <w:div w:id="2005812765">
      <w:bodyDiv w:val="1"/>
      <w:marLeft w:val="0"/>
      <w:marRight w:val="0"/>
      <w:marTop w:val="0"/>
      <w:marBottom w:val="0"/>
      <w:divBdr>
        <w:top w:val="none" w:sz="0" w:space="0" w:color="auto"/>
        <w:left w:val="none" w:sz="0" w:space="0" w:color="auto"/>
        <w:bottom w:val="none" w:sz="0" w:space="0" w:color="auto"/>
        <w:right w:val="none" w:sz="0" w:space="0" w:color="auto"/>
      </w:divBdr>
    </w:div>
    <w:div w:id="2008286044">
      <w:bodyDiv w:val="1"/>
      <w:marLeft w:val="0"/>
      <w:marRight w:val="0"/>
      <w:marTop w:val="0"/>
      <w:marBottom w:val="0"/>
      <w:divBdr>
        <w:top w:val="none" w:sz="0" w:space="0" w:color="auto"/>
        <w:left w:val="none" w:sz="0" w:space="0" w:color="auto"/>
        <w:bottom w:val="none" w:sz="0" w:space="0" w:color="auto"/>
        <w:right w:val="none" w:sz="0" w:space="0" w:color="auto"/>
      </w:divBdr>
    </w:div>
    <w:div w:id="2012102671">
      <w:bodyDiv w:val="1"/>
      <w:marLeft w:val="0"/>
      <w:marRight w:val="0"/>
      <w:marTop w:val="0"/>
      <w:marBottom w:val="0"/>
      <w:divBdr>
        <w:top w:val="none" w:sz="0" w:space="0" w:color="auto"/>
        <w:left w:val="none" w:sz="0" w:space="0" w:color="auto"/>
        <w:bottom w:val="none" w:sz="0" w:space="0" w:color="auto"/>
        <w:right w:val="none" w:sz="0" w:space="0" w:color="auto"/>
      </w:divBdr>
    </w:div>
    <w:div w:id="2018144644">
      <w:bodyDiv w:val="1"/>
      <w:marLeft w:val="0"/>
      <w:marRight w:val="0"/>
      <w:marTop w:val="0"/>
      <w:marBottom w:val="0"/>
      <w:divBdr>
        <w:top w:val="none" w:sz="0" w:space="0" w:color="auto"/>
        <w:left w:val="none" w:sz="0" w:space="0" w:color="auto"/>
        <w:bottom w:val="none" w:sz="0" w:space="0" w:color="auto"/>
        <w:right w:val="none" w:sz="0" w:space="0" w:color="auto"/>
      </w:divBdr>
    </w:div>
    <w:div w:id="2031754240">
      <w:bodyDiv w:val="1"/>
      <w:marLeft w:val="0"/>
      <w:marRight w:val="0"/>
      <w:marTop w:val="0"/>
      <w:marBottom w:val="0"/>
      <w:divBdr>
        <w:top w:val="none" w:sz="0" w:space="0" w:color="auto"/>
        <w:left w:val="none" w:sz="0" w:space="0" w:color="auto"/>
        <w:bottom w:val="none" w:sz="0" w:space="0" w:color="auto"/>
        <w:right w:val="none" w:sz="0" w:space="0" w:color="auto"/>
      </w:divBdr>
    </w:div>
    <w:div w:id="2032761148">
      <w:bodyDiv w:val="1"/>
      <w:marLeft w:val="0"/>
      <w:marRight w:val="0"/>
      <w:marTop w:val="0"/>
      <w:marBottom w:val="0"/>
      <w:divBdr>
        <w:top w:val="none" w:sz="0" w:space="0" w:color="auto"/>
        <w:left w:val="none" w:sz="0" w:space="0" w:color="auto"/>
        <w:bottom w:val="none" w:sz="0" w:space="0" w:color="auto"/>
        <w:right w:val="none" w:sz="0" w:space="0" w:color="auto"/>
      </w:divBdr>
    </w:div>
    <w:div w:id="2044095629">
      <w:bodyDiv w:val="1"/>
      <w:marLeft w:val="0"/>
      <w:marRight w:val="0"/>
      <w:marTop w:val="0"/>
      <w:marBottom w:val="0"/>
      <w:divBdr>
        <w:top w:val="none" w:sz="0" w:space="0" w:color="auto"/>
        <w:left w:val="none" w:sz="0" w:space="0" w:color="auto"/>
        <w:bottom w:val="none" w:sz="0" w:space="0" w:color="auto"/>
        <w:right w:val="none" w:sz="0" w:space="0" w:color="auto"/>
      </w:divBdr>
    </w:div>
    <w:div w:id="2062513091">
      <w:bodyDiv w:val="1"/>
      <w:marLeft w:val="120"/>
      <w:marRight w:val="120"/>
      <w:marTop w:val="0"/>
      <w:marBottom w:val="120"/>
      <w:divBdr>
        <w:top w:val="none" w:sz="0" w:space="0" w:color="auto"/>
        <w:left w:val="none" w:sz="0" w:space="0" w:color="auto"/>
        <w:bottom w:val="none" w:sz="0" w:space="0" w:color="auto"/>
        <w:right w:val="none" w:sz="0" w:space="0" w:color="auto"/>
      </w:divBdr>
      <w:divsChild>
        <w:div w:id="420759835">
          <w:marLeft w:val="0"/>
          <w:marRight w:val="0"/>
          <w:marTop w:val="0"/>
          <w:marBottom w:val="0"/>
          <w:divBdr>
            <w:top w:val="none" w:sz="0" w:space="0" w:color="auto"/>
            <w:left w:val="none" w:sz="0" w:space="0" w:color="auto"/>
            <w:bottom w:val="none" w:sz="0" w:space="0" w:color="auto"/>
            <w:right w:val="none" w:sz="0" w:space="0" w:color="auto"/>
          </w:divBdr>
          <w:divsChild>
            <w:div w:id="280571514">
              <w:marLeft w:val="0"/>
              <w:marRight w:val="0"/>
              <w:marTop w:val="0"/>
              <w:marBottom w:val="0"/>
              <w:divBdr>
                <w:top w:val="none" w:sz="0" w:space="0" w:color="auto"/>
                <w:left w:val="none" w:sz="0" w:space="0" w:color="auto"/>
                <w:bottom w:val="none" w:sz="0" w:space="0" w:color="auto"/>
                <w:right w:val="none" w:sz="0" w:space="0" w:color="auto"/>
              </w:divBdr>
              <w:divsChild>
                <w:div w:id="392125744">
                  <w:marLeft w:val="0"/>
                  <w:marRight w:val="0"/>
                  <w:marTop w:val="0"/>
                  <w:marBottom w:val="0"/>
                  <w:divBdr>
                    <w:top w:val="none" w:sz="0" w:space="0" w:color="auto"/>
                    <w:left w:val="none" w:sz="0" w:space="0" w:color="auto"/>
                    <w:bottom w:val="none" w:sz="0" w:space="0" w:color="auto"/>
                    <w:right w:val="none" w:sz="0" w:space="0" w:color="auto"/>
                  </w:divBdr>
                  <w:divsChild>
                    <w:div w:id="250747864">
                      <w:marLeft w:val="0"/>
                      <w:marRight w:val="0"/>
                      <w:marTop w:val="0"/>
                      <w:marBottom w:val="0"/>
                      <w:divBdr>
                        <w:top w:val="none" w:sz="0" w:space="0" w:color="auto"/>
                        <w:left w:val="none" w:sz="0" w:space="0" w:color="auto"/>
                        <w:bottom w:val="none" w:sz="0" w:space="0" w:color="auto"/>
                        <w:right w:val="none" w:sz="0" w:space="0" w:color="auto"/>
                      </w:divBdr>
                    </w:div>
                    <w:div w:id="451361438">
                      <w:marLeft w:val="0"/>
                      <w:marRight w:val="0"/>
                      <w:marTop w:val="0"/>
                      <w:marBottom w:val="0"/>
                      <w:divBdr>
                        <w:top w:val="none" w:sz="0" w:space="0" w:color="auto"/>
                        <w:left w:val="none" w:sz="0" w:space="0" w:color="auto"/>
                        <w:bottom w:val="none" w:sz="0" w:space="0" w:color="auto"/>
                        <w:right w:val="none" w:sz="0" w:space="0" w:color="auto"/>
                      </w:divBdr>
                    </w:div>
                    <w:div w:id="479807244">
                      <w:marLeft w:val="0"/>
                      <w:marRight w:val="0"/>
                      <w:marTop w:val="0"/>
                      <w:marBottom w:val="0"/>
                      <w:divBdr>
                        <w:top w:val="none" w:sz="0" w:space="0" w:color="auto"/>
                        <w:left w:val="none" w:sz="0" w:space="0" w:color="auto"/>
                        <w:bottom w:val="none" w:sz="0" w:space="0" w:color="auto"/>
                        <w:right w:val="none" w:sz="0" w:space="0" w:color="auto"/>
                      </w:divBdr>
                    </w:div>
                    <w:div w:id="520359496">
                      <w:marLeft w:val="0"/>
                      <w:marRight w:val="0"/>
                      <w:marTop w:val="0"/>
                      <w:marBottom w:val="0"/>
                      <w:divBdr>
                        <w:top w:val="none" w:sz="0" w:space="0" w:color="auto"/>
                        <w:left w:val="none" w:sz="0" w:space="0" w:color="auto"/>
                        <w:bottom w:val="none" w:sz="0" w:space="0" w:color="auto"/>
                        <w:right w:val="none" w:sz="0" w:space="0" w:color="auto"/>
                      </w:divBdr>
                    </w:div>
                    <w:div w:id="566843197">
                      <w:marLeft w:val="0"/>
                      <w:marRight w:val="0"/>
                      <w:marTop w:val="0"/>
                      <w:marBottom w:val="0"/>
                      <w:divBdr>
                        <w:top w:val="none" w:sz="0" w:space="0" w:color="auto"/>
                        <w:left w:val="none" w:sz="0" w:space="0" w:color="auto"/>
                        <w:bottom w:val="none" w:sz="0" w:space="0" w:color="auto"/>
                        <w:right w:val="none" w:sz="0" w:space="0" w:color="auto"/>
                      </w:divBdr>
                    </w:div>
                    <w:div w:id="603196444">
                      <w:marLeft w:val="0"/>
                      <w:marRight w:val="0"/>
                      <w:marTop w:val="0"/>
                      <w:marBottom w:val="0"/>
                      <w:divBdr>
                        <w:top w:val="none" w:sz="0" w:space="0" w:color="auto"/>
                        <w:left w:val="none" w:sz="0" w:space="0" w:color="auto"/>
                        <w:bottom w:val="none" w:sz="0" w:space="0" w:color="auto"/>
                        <w:right w:val="none" w:sz="0" w:space="0" w:color="auto"/>
                      </w:divBdr>
                    </w:div>
                    <w:div w:id="608974899">
                      <w:marLeft w:val="0"/>
                      <w:marRight w:val="0"/>
                      <w:marTop w:val="0"/>
                      <w:marBottom w:val="0"/>
                      <w:divBdr>
                        <w:top w:val="none" w:sz="0" w:space="0" w:color="auto"/>
                        <w:left w:val="none" w:sz="0" w:space="0" w:color="auto"/>
                        <w:bottom w:val="none" w:sz="0" w:space="0" w:color="auto"/>
                        <w:right w:val="none" w:sz="0" w:space="0" w:color="auto"/>
                      </w:divBdr>
                    </w:div>
                    <w:div w:id="723793192">
                      <w:marLeft w:val="0"/>
                      <w:marRight w:val="0"/>
                      <w:marTop w:val="0"/>
                      <w:marBottom w:val="0"/>
                      <w:divBdr>
                        <w:top w:val="none" w:sz="0" w:space="0" w:color="auto"/>
                        <w:left w:val="none" w:sz="0" w:space="0" w:color="auto"/>
                        <w:bottom w:val="none" w:sz="0" w:space="0" w:color="auto"/>
                        <w:right w:val="none" w:sz="0" w:space="0" w:color="auto"/>
                      </w:divBdr>
                    </w:div>
                    <w:div w:id="885414522">
                      <w:marLeft w:val="0"/>
                      <w:marRight w:val="0"/>
                      <w:marTop w:val="0"/>
                      <w:marBottom w:val="0"/>
                      <w:divBdr>
                        <w:top w:val="none" w:sz="0" w:space="0" w:color="auto"/>
                        <w:left w:val="none" w:sz="0" w:space="0" w:color="auto"/>
                        <w:bottom w:val="none" w:sz="0" w:space="0" w:color="auto"/>
                        <w:right w:val="none" w:sz="0" w:space="0" w:color="auto"/>
                      </w:divBdr>
                    </w:div>
                    <w:div w:id="1012563595">
                      <w:marLeft w:val="0"/>
                      <w:marRight w:val="0"/>
                      <w:marTop w:val="0"/>
                      <w:marBottom w:val="0"/>
                      <w:divBdr>
                        <w:top w:val="none" w:sz="0" w:space="0" w:color="auto"/>
                        <w:left w:val="none" w:sz="0" w:space="0" w:color="auto"/>
                        <w:bottom w:val="none" w:sz="0" w:space="0" w:color="auto"/>
                        <w:right w:val="none" w:sz="0" w:space="0" w:color="auto"/>
                      </w:divBdr>
                    </w:div>
                    <w:div w:id="1122310314">
                      <w:marLeft w:val="0"/>
                      <w:marRight w:val="0"/>
                      <w:marTop w:val="0"/>
                      <w:marBottom w:val="0"/>
                      <w:divBdr>
                        <w:top w:val="none" w:sz="0" w:space="0" w:color="auto"/>
                        <w:left w:val="none" w:sz="0" w:space="0" w:color="auto"/>
                        <w:bottom w:val="none" w:sz="0" w:space="0" w:color="auto"/>
                        <w:right w:val="none" w:sz="0" w:space="0" w:color="auto"/>
                      </w:divBdr>
                    </w:div>
                    <w:div w:id="1148354529">
                      <w:marLeft w:val="0"/>
                      <w:marRight w:val="0"/>
                      <w:marTop w:val="0"/>
                      <w:marBottom w:val="0"/>
                      <w:divBdr>
                        <w:top w:val="none" w:sz="0" w:space="0" w:color="auto"/>
                        <w:left w:val="none" w:sz="0" w:space="0" w:color="auto"/>
                        <w:bottom w:val="none" w:sz="0" w:space="0" w:color="auto"/>
                        <w:right w:val="none" w:sz="0" w:space="0" w:color="auto"/>
                      </w:divBdr>
                    </w:div>
                    <w:div w:id="1253008545">
                      <w:marLeft w:val="0"/>
                      <w:marRight w:val="0"/>
                      <w:marTop w:val="0"/>
                      <w:marBottom w:val="0"/>
                      <w:divBdr>
                        <w:top w:val="none" w:sz="0" w:space="0" w:color="auto"/>
                        <w:left w:val="none" w:sz="0" w:space="0" w:color="auto"/>
                        <w:bottom w:val="none" w:sz="0" w:space="0" w:color="auto"/>
                        <w:right w:val="none" w:sz="0" w:space="0" w:color="auto"/>
                      </w:divBdr>
                    </w:div>
                    <w:div w:id="1271207168">
                      <w:marLeft w:val="0"/>
                      <w:marRight w:val="0"/>
                      <w:marTop w:val="0"/>
                      <w:marBottom w:val="0"/>
                      <w:divBdr>
                        <w:top w:val="none" w:sz="0" w:space="0" w:color="auto"/>
                        <w:left w:val="none" w:sz="0" w:space="0" w:color="auto"/>
                        <w:bottom w:val="none" w:sz="0" w:space="0" w:color="auto"/>
                        <w:right w:val="none" w:sz="0" w:space="0" w:color="auto"/>
                      </w:divBdr>
                    </w:div>
                    <w:div w:id="1374381368">
                      <w:marLeft w:val="0"/>
                      <w:marRight w:val="0"/>
                      <w:marTop w:val="0"/>
                      <w:marBottom w:val="0"/>
                      <w:divBdr>
                        <w:top w:val="none" w:sz="0" w:space="0" w:color="auto"/>
                        <w:left w:val="none" w:sz="0" w:space="0" w:color="auto"/>
                        <w:bottom w:val="none" w:sz="0" w:space="0" w:color="auto"/>
                        <w:right w:val="none" w:sz="0" w:space="0" w:color="auto"/>
                      </w:divBdr>
                    </w:div>
                    <w:div w:id="1380402914">
                      <w:marLeft w:val="0"/>
                      <w:marRight w:val="0"/>
                      <w:marTop w:val="0"/>
                      <w:marBottom w:val="0"/>
                      <w:divBdr>
                        <w:top w:val="none" w:sz="0" w:space="0" w:color="auto"/>
                        <w:left w:val="none" w:sz="0" w:space="0" w:color="auto"/>
                        <w:bottom w:val="none" w:sz="0" w:space="0" w:color="auto"/>
                        <w:right w:val="none" w:sz="0" w:space="0" w:color="auto"/>
                      </w:divBdr>
                    </w:div>
                    <w:div w:id="1651052697">
                      <w:marLeft w:val="0"/>
                      <w:marRight w:val="0"/>
                      <w:marTop w:val="0"/>
                      <w:marBottom w:val="0"/>
                      <w:divBdr>
                        <w:top w:val="none" w:sz="0" w:space="0" w:color="auto"/>
                        <w:left w:val="none" w:sz="0" w:space="0" w:color="auto"/>
                        <w:bottom w:val="none" w:sz="0" w:space="0" w:color="auto"/>
                        <w:right w:val="none" w:sz="0" w:space="0" w:color="auto"/>
                      </w:divBdr>
                    </w:div>
                    <w:div w:id="1683891510">
                      <w:marLeft w:val="0"/>
                      <w:marRight w:val="0"/>
                      <w:marTop w:val="0"/>
                      <w:marBottom w:val="0"/>
                      <w:divBdr>
                        <w:top w:val="none" w:sz="0" w:space="0" w:color="auto"/>
                        <w:left w:val="none" w:sz="0" w:space="0" w:color="auto"/>
                        <w:bottom w:val="none" w:sz="0" w:space="0" w:color="auto"/>
                        <w:right w:val="none" w:sz="0" w:space="0" w:color="auto"/>
                      </w:divBdr>
                    </w:div>
                    <w:div w:id="1738089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3455528">
      <w:bodyDiv w:val="1"/>
      <w:marLeft w:val="0"/>
      <w:marRight w:val="0"/>
      <w:marTop w:val="0"/>
      <w:marBottom w:val="0"/>
      <w:divBdr>
        <w:top w:val="none" w:sz="0" w:space="0" w:color="auto"/>
        <w:left w:val="none" w:sz="0" w:space="0" w:color="auto"/>
        <w:bottom w:val="none" w:sz="0" w:space="0" w:color="auto"/>
        <w:right w:val="none" w:sz="0" w:space="0" w:color="auto"/>
      </w:divBdr>
    </w:div>
    <w:div w:id="2106027218">
      <w:bodyDiv w:val="1"/>
      <w:marLeft w:val="0"/>
      <w:marRight w:val="0"/>
      <w:marTop w:val="0"/>
      <w:marBottom w:val="0"/>
      <w:divBdr>
        <w:top w:val="none" w:sz="0" w:space="0" w:color="auto"/>
        <w:left w:val="none" w:sz="0" w:space="0" w:color="auto"/>
        <w:bottom w:val="none" w:sz="0" w:space="0" w:color="auto"/>
        <w:right w:val="none" w:sz="0" w:space="0" w:color="auto"/>
      </w:divBdr>
    </w:div>
    <w:div w:id="2107530732">
      <w:bodyDiv w:val="1"/>
      <w:marLeft w:val="0"/>
      <w:marRight w:val="0"/>
      <w:marTop w:val="0"/>
      <w:marBottom w:val="0"/>
      <w:divBdr>
        <w:top w:val="none" w:sz="0" w:space="0" w:color="auto"/>
        <w:left w:val="none" w:sz="0" w:space="0" w:color="auto"/>
        <w:bottom w:val="none" w:sz="0" w:space="0" w:color="auto"/>
        <w:right w:val="none" w:sz="0" w:space="0" w:color="auto"/>
      </w:divBdr>
    </w:div>
    <w:div w:id="2119178537">
      <w:bodyDiv w:val="1"/>
      <w:marLeft w:val="0"/>
      <w:marRight w:val="0"/>
      <w:marTop w:val="0"/>
      <w:marBottom w:val="0"/>
      <w:divBdr>
        <w:top w:val="none" w:sz="0" w:space="0" w:color="auto"/>
        <w:left w:val="none" w:sz="0" w:space="0" w:color="auto"/>
        <w:bottom w:val="none" w:sz="0" w:space="0" w:color="auto"/>
        <w:right w:val="none" w:sz="0" w:space="0" w:color="auto"/>
      </w:divBdr>
    </w:div>
    <w:div w:id="2127044777">
      <w:bodyDiv w:val="1"/>
      <w:marLeft w:val="0"/>
      <w:marRight w:val="0"/>
      <w:marTop w:val="0"/>
      <w:marBottom w:val="0"/>
      <w:divBdr>
        <w:top w:val="none" w:sz="0" w:space="0" w:color="auto"/>
        <w:left w:val="none" w:sz="0" w:space="0" w:color="auto"/>
        <w:bottom w:val="none" w:sz="0" w:space="0" w:color="auto"/>
        <w:right w:val="none" w:sz="0" w:space="0" w:color="auto"/>
      </w:divBdr>
    </w:div>
    <w:div w:id="21361677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CB4739-B224-40EE-99F9-7AE77CB5FDF7}">
  <ds:schemaRefs>
    <ds:schemaRef ds:uri="http://schemas.openxmlformats.org/officeDocument/2006/bibliography"/>
  </ds:schemaRefs>
</ds:datastoreItem>
</file>

<file path=customXml/itemProps2.xml><?xml version="1.0" encoding="utf-8"?>
<ds:datastoreItem xmlns:ds="http://schemas.openxmlformats.org/officeDocument/2006/customXml" ds:itemID="{5F7C772D-D168-4368-AC7D-471BAA5A1330}"/>
</file>

<file path=customXml/itemProps3.xml><?xml version="1.0" encoding="utf-8"?>
<ds:datastoreItem xmlns:ds="http://schemas.openxmlformats.org/officeDocument/2006/customXml" ds:itemID="{9B78DE46-4993-441B-B843-3EBE25217760}"/>
</file>

<file path=customXml/itemProps4.xml><?xml version="1.0" encoding="utf-8"?>
<ds:datastoreItem xmlns:ds="http://schemas.openxmlformats.org/officeDocument/2006/customXml" ds:itemID="{966B9424-DEB8-4522-BA3E-D14DAD205750}"/>
</file>

<file path=docProps/app.xml><?xml version="1.0" encoding="utf-8"?>
<Properties xmlns="http://schemas.openxmlformats.org/officeDocument/2006/extended-properties" xmlns:vt="http://schemas.openxmlformats.org/officeDocument/2006/docPropsVTypes">
  <Template>Normal</Template>
  <TotalTime>4900</TotalTime>
  <Pages>7</Pages>
  <Words>3918</Words>
  <Characters>20689</Characters>
  <Application>Microsoft Office Word</Application>
  <DocSecurity>0</DocSecurity>
  <Lines>323</Lines>
  <Paragraphs>39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24568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vaio</dc:creator>
  <cp:keywords/>
  <dc:description/>
  <cp:lastModifiedBy>Alicia Martín</cp:lastModifiedBy>
  <cp:revision>28</cp:revision>
  <cp:lastPrinted>2025-10-21T17:47:00Z</cp:lastPrinted>
  <dcterms:created xsi:type="dcterms:W3CDTF">2025-09-24T07:36:00Z</dcterms:created>
  <dcterms:modified xsi:type="dcterms:W3CDTF">2025-10-21T17:47:00Z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