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826E97" w:rsidRDefault="00D12B6B" w:rsidP="00272F4F">
      <w:pPr>
        <w:spacing w:after="0" w:line="240" w:lineRule="auto"/>
        <w:jc w:val="center"/>
        <w:rPr>
          <w:rFonts w:ascii="Times New Roman" w:hAnsi="Times New Roman" w:cs="Times New Roman"/>
          <w:b/>
          <w:sz w:val="24"/>
          <w:szCs w:val="24"/>
          <w:lang w:val="es-PE" w:eastAsia="ar-SA"/>
        </w:rPr>
      </w:pPr>
    </w:p>
    <w:p w14:paraId="19FE0E96" w14:textId="72B07B67" w:rsidR="00707C99" w:rsidRPr="00826E97" w:rsidRDefault="00201C0D" w:rsidP="00AA287A">
      <w:pPr>
        <w:spacing w:after="0" w:line="240" w:lineRule="auto"/>
        <w:jc w:val="center"/>
        <w:rPr>
          <w:rFonts w:ascii="Times New Roman" w:hAnsi="Times New Roman" w:cs="Times New Roman"/>
          <w:b/>
          <w:sz w:val="24"/>
          <w:szCs w:val="24"/>
          <w:lang w:val="es-PE" w:eastAsia="ar-SA"/>
        </w:rPr>
      </w:pPr>
      <w:r w:rsidRPr="00826E97">
        <w:rPr>
          <w:rFonts w:ascii="Times New Roman" w:hAnsi="Times New Roman" w:cs="Times New Roman"/>
          <w:b/>
          <w:sz w:val="24"/>
          <w:szCs w:val="24"/>
          <w:lang w:val="es-PE" w:eastAsia="ar-SA"/>
        </w:rPr>
        <w:t>RESOLUCIÓN</w:t>
      </w:r>
      <w:r w:rsidR="009D55E8" w:rsidRPr="00826E97">
        <w:rPr>
          <w:rFonts w:ascii="Times New Roman" w:hAnsi="Times New Roman" w:cs="Times New Roman"/>
          <w:b/>
          <w:sz w:val="24"/>
          <w:szCs w:val="24"/>
          <w:lang w:val="es-PE" w:eastAsia="ar-SA"/>
        </w:rPr>
        <w:t xml:space="preserve"> DE IMPUGNACIÓN</w:t>
      </w:r>
      <w:r w:rsidRPr="00826E97">
        <w:rPr>
          <w:rFonts w:ascii="Times New Roman" w:hAnsi="Times New Roman" w:cs="Times New Roman"/>
          <w:b/>
          <w:sz w:val="24"/>
          <w:szCs w:val="24"/>
          <w:lang w:val="es-PE" w:eastAsia="ar-SA"/>
        </w:rPr>
        <w:t xml:space="preserve"> </w:t>
      </w:r>
      <w:r w:rsidR="00D12B6B" w:rsidRPr="00826E97">
        <w:rPr>
          <w:rFonts w:ascii="Times New Roman" w:hAnsi="Times New Roman" w:cs="Times New Roman"/>
          <w:b/>
          <w:sz w:val="24"/>
          <w:szCs w:val="24"/>
          <w:lang w:val="es-PE" w:eastAsia="ar-SA"/>
        </w:rPr>
        <w:t>N</w:t>
      </w:r>
      <w:r w:rsidR="00D373B3" w:rsidRPr="00826E97">
        <w:rPr>
          <w:rFonts w:ascii="Times New Roman" w:hAnsi="Times New Roman" w:cs="Times New Roman"/>
          <w:b/>
          <w:sz w:val="24"/>
          <w:szCs w:val="24"/>
          <w:lang w:val="es-PE" w:eastAsia="ar-SA"/>
        </w:rPr>
        <w:t>° 061</w:t>
      </w:r>
      <w:r w:rsidR="00AA2AA2" w:rsidRPr="00826E97">
        <w:rPr>
          <w:rFonts w:ascii="Times New Roman" w:hAnsi="Times New Roman" w:cs="Times New Roman"/>
          <w:b/>
          <w:sz w:val="24"/>
          <w:szCs w:val="24"/>
          <w:lang w:val="es-PE" w:eastAsia="ar-SA"/>
        </w:rPr>
        <w:t>/25</w:t>
      </w:r>
    </w:p>
    <w:p w14:paraId="2E2FA649" w14:textId="77777777" w:rsidR="00D12B6B" w:rsidRPr="00826E97" w:rsidRDefault="00D12B6B" w:rsidP="00AA287A">
      <w:pPr>
        <w:spacing w:line="240" w:lineRule="auto"/>
        <w:jc w:val="both"/>
        <w:outlineLvl w:val="0"/>
        <w:rPr>
          <w:rFonts w:ascii="Times New Roman" w:hAnsi="Times New Roman" w:cs="Times New Roman"/>
          <w:b/>
          <w:bCs/>
          <w:sz w:val="24"/>
          <w:szCs w:val="24"/>
          <w:lang w:val="es-MX"/>
        </w:rPr>
      </w:pPr>
    </w:p>
    <w:p w14:paraId="01A76CCD" w14:textId="025912B7" w:rsidR="009117F7" w:rsidRPr="00826E97" w:rsidRDefault="009117F7" w:rsidP="00AA287A">
      <w:pPr>
        <w:spacing w:after="200" w:line="240" w:lineRule="auto"/>
        <w:jc w:val="both"/>
        <w:outlineLvl w:val="0"/>
        <w:rPr>
          <w:rFonts w:ascii="Times New Roman" w:hAnsi="Times New Roman" w:cs="Times New Roman"/>
          <w:b/>
          <w:bCs/>
          <w:sz w:val="24"/>
          <w:szCs w:val="24"/>
          <w:lang w:val="es-MX"/>
        </w:rPr>
      </w:pPr>
      <w:r w:rsidRPr="00826E97">
        <w:rPr>
          <w:rFonts w:ascii="Times New Roman" w:hAnsi="Times New Roman" w:cs="Times New Roman"/>
          <w:b/>
          <w:bCs/>
          <w:sz w:val="24"/>
          <w:szCs w:val="24"/>
          <w:lang w:val="es-MX"/>
        </w:rPr>
        <w:t>VISTOS:</w:t>
      </w:r>
    </w:p>
    <w:p w14:paraId="0D20935F" w14:textId="0D2C2977" w:rsidR="00614401" w:rsidRPr="00826E97" w:rsidRDefault="00D12B6B"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con fecha 16 de septiembre de 2025, ………………… COMPAÑÍA DE SEGUROS Y REASEGUROS (“…………………”) interpuso Recurso de Impugnación ante la Defensoría del Asegurado (“…………………”) contra la Resolución n.° 125/25 (la “Resolución Impugnada”) de fecha 25 de agosto de 2025, expedida por la Sala Colegiada a través de la cual se declaró FUNDADO el reclamo presentado por la señor ………………… (el señor “…………………”), para que ………………… cumpla con otorgarle cobertura de acuerdo con el Seguro de Protección de Tarjetas contemplado en la Póliza N° ………………… (la “Póliza”).</w:t>
      </w:r>
    </w:p>
    <w:p w14:paraId="5740F041" w14:textId="6674BB53" w:rsidR="00EE6F4A" w:rsidRPr="00826E97" w:rsidRDefault="003D1A7E"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 solicita que se declare fundado su Recurso de Impugnación y, por lo tanto, infundado el reclamo presentado por el asegurado sobre la base de los siguientes hechos y argumentos: a) que, la DEFASEG ha declarado fundado el reclamo interpuesto debido a que considera que ………………… se habría basado únicamente en los resultados de la prueba de polígrafo para rechazar la cobertura por fraude solicitada por el asegurado, y que no habrían actuado otros medios probatorios o indicios que acompañen a dicha prueba para justificar que estaríamos ante una reclamación fraudulenta; b) que, la ausencia de una explicación verosímil sobre cómo terceros pudieron acceder a las aplicaciones de Banca Móvil del Banco de Crédito del Perú (“BCP”) y Yape en un iPhone 15 Pro Max (celular del asegurado) constituye una duda razonable de la mayor gravedad; c) que, los dispositivos de última generación de Apple incorporan ………………… de protección multicapa —Face ID de reconocimiento facial tridimensional, encriptación de extremo a extremo, “Secure Enclave” y bloqueo automático tras intentos fallidos— que dificultan extraordinariamente el acceso no autorizado; d) que, ingresar a las aplicaciones bancarias alojadas en el equipo sin las credenciales correctas no es un proceso inmediato; e) que, incluso en escenarios de hurto o robo del celular, el atacante normalmente necesitaría: (1) superar el Face ID o la clave de desbloqueo del dispositivo; (2) obtener los códigos de verificación de Apple o del banco enviados por SMS, correo o notificaciones; y (3) franquear la autenticación específica de cada aplicación (contraseña de BCP, PIN o biometría de Yape); f) que, estas barreras se refuerzan con la Protección de Dispositivo Perdido (Find My iPhone / Activation Lock), que impide el uso del equipo sin la cuenta iCloud original; g) que, la dificultad se multiplica cuando, como en el presente caso, se trata de dos aplicaciones distintas, cada una con sus propias capas de seguridad; h) que, superar en solo unos pocos minutos (el hurto fue a las 19:30 h y los cambios de contraseña se dieron a las 20:15 i) que, las defensas de BCP y Yape, modificar contraseñas y ejecutar las transferencias sin que el asegurado advierta las notificaciones de acceso, cambio de credenciales o correos de confirmación remitidos por el banco, resulta altamente improbable sin su colaboración o negligencia; j) que, frente a esta realidad tecnológica, la simple afirmación que “los delincuentes accedieron a los aplicativos” no satisface el estándar de buena fe previsto en el artículo 69 de la Ley del Contrato de Seguro, que exige suministrar información veraz y permitir las indagaciones necesarias; k) que, la ausencia de una explicación detallada —por ejemplo, indicios de phishing, SIM swap, malware o cualquier vulneración específica— acentúa la sospecha de inconsistencia en la narrativa del siniestro y legitima plenamente que la aseguradora requiera pruebas complementarias, como la prueba del polígrafo; l) que, tratándose de un iPhone 15 Pro Max, cuya arquitectura de seguridad es reconocida como una de las más robustas del mercado, la falta de justificación técnica sobre cómo se vulneraron simultáneamente las aplicaciones del BCP y Yape refuerza la duda razonable de la aseguradora respecto a la veracidad de los hechos declarados por el asegurado, situación que no ha sido tomada en cuenta por la DEFASEG al momento de resolver; m) que, el asegurado sufrió el hurto de su celular el 5 de noviembre a las 19:30 h y, sin embargo, recién se acercó a una agencia del BCP el 6 de noviembre a las 11:00 h, es decir, más de quince horas después; intervalo, en el que los delincuentes no solo habrían accedido a los aplicativos de Banca Móvil y Yape, sino que incluso cambiaron las contraseñas a las 20:13 h del mismo día del hurto, lo que evidencia una falta de reacción incompatible del asegurado con la diligencia exigida a todo usuario bancario ante estos casos de hurto de celulares con acceso a cuentas bancarias; n) que, ante casos de robo o hurto de equipos celulares los titulares deben dar aviso inmediato a la entidad financiera con la finalidad bloquee las cuentas y evite transacciones no autorizadas; ñ) que, las aplicaciones del BCP, envían alertas de movimientos y cambios de credenciales en tiempo real mediante SMS, correo o notificaciones push; o) que, la ausencia de una explicación convincente para justificar esta tardanza socava la credibilidad del relato del siniestro y configura una duda razonable objetiva; p) que, si realmente se trataba de un robo, lo esperable era una comunicación inmediata al banco para bloquear el dispositivo, solicitar la suspensión de las cuentas y evitar mayores perjuicios, no hacerlo permitió que los delincuentes actuaran con total libertad durante la ventana de tiempo más sensible para proteger los fondos; q) que, en conclusión, la falta de aviso inmediato al BCP, pese a la inmediatez de las alertas y la gravedad de las operaciones, constituye un indicio razonable que permite cuestionar la versión de los hechos ofrecida por el asegurado y sustenta plenamente la posición de …………………; r) que, aun después de acudir al BCP el 6 de noviembre a las 11:00 h y tomar pleno conocimiento de los movimientos no reconocidos, el asegurado recién comunicó el siniestro a ………………… el 8 de noviembre, es decir, dos días después de haber confirmado el fraude bancario; s) que, la demora de dos días en dar aviso a ………………… constituye una duda razonable objetiva que justifica la decisión de requerir y valorar la prueba del polígrafo; t) que, la denominada “Macro de Fraudes” del BCP emitió una alerta roja clasificando al asegurado como “cliente riesgoso”, categoría que se reserva para usuarios cuyos movimientos presentan patrones transaccionales atípicos o potencialmente fraudulentos; u) que, el BCP ha precisado que, de manera general, esta categoría puede basarse en indicios como: (1) apertura reciente de cuentas, (2) movimientos de poca cuantía previos al evento reclamado, o (3) abonos realizados hasta 48 horas antes de la fecha del presunto fraude por montos cercanos a los reclamados; v) que, resulta claro y debidamente acreditado con los medios probatorios que obran en el expediente – y que la DEFASEG no ha tenido en cuenta pues en ningún extremo de la Resolución Impugnada se ha hecho mención sobre estos puntos alegados por nuestra representada – que en el presente caso se evidencian inconsistencias en la forma cómo ocurrió el siniestro; y, x) que, es claro que ………………… no solo se basó en los resultados del polígrafo para rechazar la cobertura reclamada, sino también en los demás indicios que, en su conjunto, llevan a una conclusión razonable de que estaríamos ante un caso de reclamación de cobertura fraudulenta. </w:t>
      </w:r>
    </w:p>
    <w:bookmarkEnd w:id="1"/>
    <w:p w14:paraId="098129FC" w14:textId="55E36B97" w:rsidR="00293371" w:rsidRPr="00826E97" w:rsidRDefault="00E07CB1"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el 22 de septiembre de 2025, el señor ………………… absolvió el Recurso de Impugnación presentado por …………………, solicitando que se declare infundado por los siguientes argumentos: a) que, el 5 de noviembre de 2024, aproximadamente a las 19:30 h, fue víctima de un hurto agravado en el Cercado de Lima, donde le arrebataron su iPhone 15 Pro Max desbloqueado mientras trotaba, interponiendo inmediatamente la denuncia policial por el hurto; b) que, el 6 de noviembre, al acudir al BCP, le informaron de las transferencias no reconocidas que se habían realizado desde sus cuentas por un total de PEN 1,864.8 (mil ochocientos sesenta y cuatro y 80/100); c) que, el 7 de noviembre, acudió nuevamente a la comisaría, ya que el oficial que recibió su denuncia se encontraba de franco el día 6, recién entonces pudo ampliar la denuncia, incorporando los datos de los destinatarios de las transferencias y los intentos de acceso no autorizado a su correo electrónico; d) que, posteriormente, cumplió con todos los procedimientos exigidos por el banco y la aseguradora, lo cual consta en la carpeta fiscal n.° 3673-2024, donde la Fiscalía ha iniciado investigación por hurto agravado y fraude informático; e) que, la empresa ………………… “altamente improbable” que delincuentes accedieran a sus cuentas sin su colaboración, lo cual desconoce el hecho objetivo que el teléfono fue arrebatado desbloqueado; f) que, al estar activo al momento del hurto, cualquier delincuente pudo acceder de inmediato a las aplicaciones instaladas (Yape y banca móvil), realizar transferencias y cambiar los accesos; g) que, esta situación no depende de improbabilidades técnicas, sino de la circunstancia concreta del robo, que fue denunciada y está siendo investigada por el Ministerio Público; h) que, apenas ocurrido el robo, lo primero que hizo fue intentar bloquear la línea telefónica llamando a Entel, lo que le tomó las primeras horas posteriores al hecho, lapso en el cual no tenía conocimiento de que ya se estaban realizando transferencias; i) que, fue el propio BCP quien detectó los movimientos anómalos a las 20:15 h aproximadamente y bloqueó preventivamente la cuenta, lo que demuestra que el sistema bancario también reconoció la situación irregular; j) que, el 5 de noviembre interpuso una denuncia inmediata, el 6 acudió al banco para obtener información de las operaciones no reconocidas, el 7 acudió nuevamente a la comisaría para actualizar la denuncia, con esta información ampliada notificó a …………………, ya con todos los elementos solicitados para formalizar el reclamo; k) que, la clasificación interna del BCP no constituye prueba de fraude por parte del asegurado, por el contrario, refleja que el propio banco identificó movimientos anómalos e inusuales, lo que motivó el bloqueo preventivo de sus cuentas; y, l) que, solicita que se desestime en su totalidad el Recurso de Impugnación presentado por …………………. </w:t>
      </w:r>
    </w:p>
    <w:p w14:paraId="5E5FAFD2" w14:textId="0A013A1E" w:rsidR="00EF15EF" w:rsidRPr="00826E97" w:rsidRDefault="00EF15EF" w:rsidP="00AA287A">
      <w:pPr>
        <w:spacing w:after="200" w:line="240" w:lineRule="auto"/>
        <w:jc w:val="both"/>
        <w:rPr>
          <w:rFonts w:ascii="Times New Roman" w:hAnsi="Times New Roman" w:cs="Times New Roman"/>
          <w:color w:val="000000"/>
          <w:sz w:val="24"/>
          <w:szCs w:val="24"/>
          <w:lang w:val="es-PE"/>
        </w:rPr>
      </w:pPr>
      <w:r w:rsidRPr="00826E97">
        <w:rPr>
          <w:rFonts w:ascii="Times New Roman" w:hAnsi="Times New Roman" w:cs="Times New Roman"/>
          <w:sz w:val="24"/>
          <w:szCs w:val="24"/>
          <w:lang w:val="es-PE"/>
        </w:rPr>
        <w:t>Al resolver, este Colegiado ha tomado en cuenta las argumentaciones de las partes expresadas a lo largo del procedimiento.</w:t>
      </w:r>
    </w:p>
    <w:p w14:paraId="7441012C" w14:textId="682DBE99" w:rsidR="00A90707" w:rsidRPr="00826E97" w:rsidRDefault="00E07CB1" w:rsidP="00AA287A">
      <w:pPr>
        <w:spacing w:after="200" w:line="240" w:lineRule="auto"/>
        <w:jc w:val="both"/>
        <w:outlineLvl w:val="0"/>
        <w:rPr>
          <w:rFonts w:ascii="Times New Roman" w:hAnsi="Times New Roman" w:cs="Times New Roman"/>
          <w:b/>
          <w:bCs/>
          <w:sz w:val="24"/>
          <w:szCs w:val="24"/>
          <w:lang w:val="es-MX"/>
        </w:rPr>
      </w:pPr>
      <w:r w:rsidRPr="00826E97">
        <w:rPr>
          <w:rFonts w:ascii="Times New Roman" w:hAnsi="Times New Roman" w:cs="Times New Roman"/>
          <w:b/>
          <w:bCs/>
          <w:sz w:val="24"/>
          <w:szCs w:val="24"/>
          <w:lang w:val="es-MX"/>
        </w:rPr>
        <w:t>C</w:t>
      </w:r>
      <w:r w:rsidR="00A90707" w:rsidRPr="00826E97">
        <w:rPr>
          <w:rFonts w:ascii="Times New Roman" w:hAnsi="Times New Roman" w:cs="Times New Roman"/>
          <w:b/>
          <w:bCs/>
          <w:sz w:val="24"/>
          <w:szCs w:val="24"/>
          <w:lang w:val="es-MX"/>
        </w:rPr>
        <w:t>ONSIDERANDO:</w:t>
      </w:r>
    </w:p>
    <w:p w14:paraId="5B38040C" w14:textId="5C759813" w:rsidR="00142F5B" w:rsidRPr="00826E97" w:rsidRDefault="00A90707"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del Reglamento establece que cualquiera de las partes que no se encuentre de acuerdo con la decisión adoptada por la Sala Colegiada sobre la materia reclamada, podrá cuestionarla, interponiendo el correspondiente Recurso de Impugnación. </w:t>
      </w:r>
    </w:p>
    <w:p w14:paraId="7918B6A4" w14:textId="03751DBF" w:rsidR="00142F5B" w:rsidRPr="00826E97" w:rsidRDefault="00142F5B"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empresa ………………… resuelto por la Sala Colegiada de esta Defensoría.</w:t>
      </w:r>
    </w:p>
    <w:p w14:paraId="0E9FE72B" w14:textId="22842BA2" w:rsidR="00A47051" w:rsidRPr="00826E97" w:rsidRDefault="00206378"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SEGUNDO: En su recurso impugnativo, ………………… ha señalado que este Colegiado, al momento de resolver el reclamo del asegurado, no ha tomado en cuenta diversas pruebas que obrarían en el expediente, las cuales evidenciarían una serie de inconsistencias en el aviso de siniestro realizado por el asegurado respecto de cómo ocurrieron las circunstancias del hurto y la transferencia no autorizada desde su cuenta del BCP. </w:t>
      </w:r>
    </w:p>
    <w:p w14:paraId="1AE68C9A" w14:textId="19157DCA" w:rsidR="00A57DC6" w:rsidRPr="00826E97" w:rsidRDefault="00A47051"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Sin embargo, lo cierto es que, tanto en la Carta de Rechazo a cubrir el siniestro reclamado por el asegurado, así como también en la absolución del reclamo presentado por el señor …………………, la empresa …………………, en la medida que el asegurado no había superado la prueba de polígrafo al presentar respuestas indicativas de engaño se había producido una actuación fraudulenta y, por lo tanto, el rechazo de cobertura era válido de acuerdo con las condiciones de la Póliza. </w:t>
      </w:r>
    </w:p>
    <w:p w14:paraId="2DDD9947" w14:textId="15BD1DF7" w:rsidR="004D0E1E" w:rsidRPr="00826E97" w:rsidRDefault="00A54E47" w:rsidP="00AA287A">
      <w:pPr>
        <w:spacing w:after="200" w:line="240" w:lineRule="auto"/>
        <w:jc w:val="both"/>
        <w:rPr>
          <w:rFonts w:ascii="Times New Roman" w:hAnsi="Times New Roman" w:cs="Times New Roman"/>
          <w:sz w:val="24"/>
          <w:szCs w:val="24"/>
          <w:lang w:val="es-PE"/>
        </w:rPr>
      </w:pPr>
      <w:r w:rsidRPr="00826E97">
        <w:rPr>
          <w:rFonts w:ascii="Times New Roman" w:hAnsi="Times New Roman" w:cs="Times New Roman"/>
          <w:sz w:val="24"/>
          <w:szCs w:val="24"/>
          <w:lang w:val="es-PE"/>
        </w:rPr>
        <w:t>C</w:t>
      </w:r>
      <w:r w:rsidR="00A57DC6" w:rsidRPr="00826E97">
        <w:rPr>
          <w:rFonts w:ascii="Times New Roman" w:hAnsi="Times New Roman" w:cs="Times New Roman"/>
          <w:sz w:val="24"/>
          <w:szCs w:val="24"/>
          <w:lang w:val="es-PE"/>
        </w:rPr>
        <w:t>abe recordar</w:t>
      </w:r>
      <w:r w:rsidR="00B24136" w:rsidRPr="00826E97">
        <w:rPr>
          <w:rFonts w:ascii="Times New Roman" w:hAnsi="Times New Roman" w:cs="Times New Roman"/>
          <w:sz w:val="24"/>
          <w:szCs w:val="24"/>
          <w:lang w:val="es-PE"/>
        </w:rPr>
        <w:t>,</w:t>
      </w:r>
      <w:r w:rsidR="00A57DC6" w:rsidRPr="00826E97">
        <w:rPr>
          <w:rFonts w:ascii="Times New Roman" w:hAnsi="Times New Roman" w:cs="Times New Roman"/>
          <w:sz w:val="24"/>
          <w:szCs w:val="24"/>
          <w:lang w:val="es-PE"/>
        </w:rPr>
        <w:t xml:space="preserve"> dad</w:t>
      </w:r>
      <w:r w:rsidR="008E21A0" w:rsidRPr="00826E97">
        <w:rPr>
          <w:rFonts w:ascii="Times New Roman" w:hAnsi="Times New Roman" w:cs="Times New Roman"/>
          <w:sz w:val="24"/>
          <w:szCs w:val="24"/>
          <w:lang w:val="es-PE"/>
        </w:rPr>
        <w:t xml:space="preserve">o el carácter </w:t>
      </w:r>
      <w:r w:rsidR="00A57DC6" w:rsidRPr="00826E97">
        <w:rPr>
          <w:rFonts w:ascii="Times New Roman" w:hAnsi="Times New Roman" w:cs="Times New Roman"/>
          <w:sz w:val="24"/>
          <w:szCs w:val="24"/>
          <w:lang w:val="es-PE"/>
        </w:rPr>
        <w:t>de este procedimiento voluntario</w:t>
      </w:r>
      <w:r w:rsidR="00460F4C" w:rsidRPr="00826E97">
        <w:rPr>
          <w:rFonts w:ascii="Times New Roman" w:hAnsi="Times New Roman" w:cs="Times New Roman"/>
          <w:sz w:val="24"/>
          <w:szCs w:val="24"/>
          <w:lang w:val="es-PE"/>
        </w:rPr>
        <w:t xml:space="preserve"> que</w:t>
      </w:r>
      <w:r w:rsidR="008E21A0" w:rsidRPr="00826E97">
        <w:rPr>
          <w:rFonts w:ascii="Times New Roman" w:hAnsi="Times New Roman" w:cs="Times New Roman"/>
          <w:sz w:val="24"/>
          <w:szCs w:val="24"/>
          <w:lang w:val="es-PE"/>
        </w:rPr>
        <w:t>,</w:t>
      </w:r>
      <w:r w:rsidR="00A57DC6" w:rsidRPr="00826E97">
        <w:rPr>
          <w:rFonts w:ascii="Times New Roman" w:hAnsi="Times New Roman" w:cs="Times New Roman"/>
          <w:sz w:val="24"/>
          <w:szCs w:val="24"/>
          <w:lang w:val="es-PE"/>
        </w:rPr>
        <w:t xml:space="preserve"> las competencias de esta Defensoría son limitadas</w:t>
      </w:r>
      <w:r w:rsidR="008E21A0" w:rsidRPr="00826E97">
        <w:rPr>
          <w:rFonts w:ascii="Times New Roman" w:hAnsi="Times New Roman" w:cs="Times New Roman"/>
          <w:sz w:val="24"/>
          <w:szCs w:val="24"/>
          <w:lang w:val="es-PE"/>
        </w:rPr>
        <w:t xml:space="preserve"> de acuerdo a lo establecido en su propio Reglamento y a </w:t>
      </w:r>
      <w:r w:rsidR="004D0E1E" w:rsidRPr="00826E97">
        <w:rPr>
          <w:rFonts w:ascii="Times New Roman" w:hAnsi="Times New Roman" w:cs="Times New Roman"/>
          <w:sz w:val="24"/>
          <w:szCs w:val="24"/>
          <w:lang w:val="es-PE"/>
        </w:rPr>
        <w:t xml:space="preserve">su </w:t>
      </w:r>
      <w:r w:rsidR="00460F4C" w:rsidRPr="00826E97">
        <w:rPr>
          <w:rFonts w:ascii="Times New Roman" w:hAnsi="Times New Roman" w:cs="Times New Roman"/>
          <w:sz w:val="24"/>
          <w:szCs w:val="24"/>
          <w:lang w:val="es-PE"/>
        </w:rPr>
        <w:t>real</w:t>
      </w:r>
      <w:r w:rsidR="001C3C6D" w:rsidRPr="00826E97">
        <w:rPr>
          <w:rFonts w:ascii="Times New Roman" w:hAnsi="Times New Roman" w:cs="Times New Roman"/>
          <w:sz w:val="24"/>
          <w:szCs w:val="24"/>
          <w:lang w:val="es-PE"/>
        </w:rPr>
        <w:t xml:space="preserve"> </w:t>
      </w:r>
      <w:r w:rsidR="008E21A0" w:rsidRPr="00826E97">
        <w:rPr>
          <w:rFonts w:ascii="Times New Roman" w:hAnsi="Times New Roman" w:cs="Times New Roman"/>
          <w:sz w:val="24"/>
          <w:szCs w:val="24"/>
          <w:lang w:val="es-PE"/>
        </w:rPr>
        <w:t>naturaleza</w:t>
      </w:r>
      <w:r w:rsidR="004D0E1E" w:rsidRPr="00826E97">
        <w:rPr>
          <w:rFonts w:ascii="Times New Roman" w:hAnsi="Times New Roman" w:cs="Times New Roman"/>
          <w:sz w:val="24"/>
          <w:szCs w:val="24"/>
          <w:lang w:val="es-PE"/>
        </w:rPr>
        <w:t xml:space="preserve"> </w:t>
      </w:r>
      <w:r w:rsidR="00460F4C" w:rsidRPr="00826E97">
        <w:rPr>
          <w:rFonts w:ascii="Times New Roman" w:hAnsi="Times New Roman" w:cs="Times New Roman"/>
          <w:sz w:val="24"/>
          <w:szCs w:val="24"/>
          <w:lang w:val="es-PE"/>
        </w:rPr>
        <w:t>-</w:t>
      </w:r>
      <w:r w:rsidR="004D0E1E" w:rsidRPr="00826E97">
        <w:rPr>
          <w:rFonts w:ascii="Times New Roman" w:hAnsi="Times New Roman" w:cs="Times New Roman"/>
          <w:sz w:val="24"/>
          <w:szCs w:val="24"/>
          <w:lang w:val="es-PE"/>
        </w:rPr>
        <w:t>sobre la base del principio dispositivo</w:t>
      </w:r>
      <w:r w:rsidR="00460F4C" w:rsidRPr="00826E97">
        <w:rPr>
          <w:rFonts w:ascii="Times New Roman" w:hAnsi="Times New Roman" w:cs="Times New Roman"/>
          <w:sz w:val="24"/>
          <w:szCs w:val="24"/>
          <w:lang w:val="es-PE"/>
        </w:rPr>
        <w:t>-</w:t>
      </w:r>
      <w:r w:rsidR="00460F4C" w:rsidRPr="00826E97">
        <w:rPr>
          <w:rStyle w:val="Refdenotaalpie"/>
          <w:rFonts w:ascii="Times New Roman" w:hAnsi="Times New Roman" w:cs="Times New Roman"/>
          <w:sz w:val="24"/>
          <w:szCs w:val="24"/>
          <w:lang w:val="es-PE"/>
        </w:rPr>
        <w:footnoteReference w:id="2"/>
      </w:r>
      <w:r w:rsidR="004D0E1E" w:rsidRPr="00826E97">
        <w:rPr>
          <w:rFonts w:ascii="Times New Roman" w:hAnsi="Times New Roman" w:cs="Times New Roman"/>
          <w:sz w:val="24"/>
          <w:szCs w:val="24"/>
          <w:lang w:val="es-PE"/>
        </w:rPr>
        <w:t xml:space="preserve">, </w:t>
      </w:r>
      <w:r w:rsidR="00A57DC6" w:rsidRPr="00826E97">
        <w:rPr>
          <w:rFonts w:ascii="Times New Roman" w:hAnsi="Times New Roman" w:cs="Times New Roman"/>
          <w:sz w:val="24"/>
          <w:szCs w:val="24"/>
          <w:lang w:val="es-PE"/>
        </w:rPr>
        <w:t>careciendo de las amplias prerrogativas de instrucción</w:t>
      </w:r>
      <w:r w:rsidR="006876AA" w:rsidRPr="00826E97">
        <w:rPr>
          <w:rFonts w:ascii="Times New Roman" w:hAnsi="Times New Roman" w:cs="Times New Roman"/>
          <w:sz w:val="24"/>
          <w:szCs w:val="24"/>
          <w:lang w:val="es-PE"/>
        </w:rPr>
        <w:t xml:space="preserve">, </w:t>
      </w:r>
      <w:r w:rsidR="00A57DC6" w:rsidRPr="00826E97">
        <w:rPr>
          <w:rFonts w:ascii="Times New Roman" w:hAnsi="Times New Roman" w:cs="Times New Roman"/>
          <w:sz w:val="24"/>
          <w:szCs w:val="24"/>
          <w:lang w:val="es-PE"/>
        </w:rPr>
        <w:t>investigación</w:t>
      </w:r>
      <w:r w:rsidR="006876AA" w:rsidRPr="00826E97">
        <w:rPr>
          <w:rFonts w:ascii="Times New Roman" w:hAnsi="Times New Roman" w:cs="Times New Roman"/>
          <w:sz w:val="24"/>
          <w:szCs w:val="24"/>
          <w:lang w:val="es-PE"/>
        </w:rPr>
        <w:t xml:space="preserve"> y actuación de medios probatorios</w:t>
      </w:r>
      <w:r w:rsidRPr="00826E97">
        <w:rPr>
          <w:rFonts w:ascii="Times New Roman" w:hAnsi="Times New Roman" w:cs="Times New Roman"/>
          <w:sz w:val="24"/>
          <w:szCs w:val="24"/>
          <w:lang w:val="es-PE"/>
        </w:rPr>
        <w:t>,</w:t>
      </w:r>
      <w:r w:rsidR="00712A62" w:rsidRPr="00826E97">
        <w:rPr>
          <w:rFonts w:ascii="Times New Roman" w:hAnsi="Times New Roman" w:cs="Times New Roman"/>
          <w:sz w:val="24"/>
          <w:szCs w:val="24"/>
          <w:lang w:val="es-PE"/>
        </w:rPr>
        <w:t xml:space="preserve"> </w:t>
      </w:r>
      <w:r w:rsidR="00A57DC6" w:rsidRPr="00826E97">
        <w:rPr>
          <w:rFonts w:ascii="Times New Roman" w:hAnsi="Times New Roman" w:cs="Times New Roman"/>
          <w:sz w:val="24"/>
          <w:szCs w:val="24"/>
          <w:lang w:val="es-PE"/>
        </w:rPr>
        <w:t xml:space="preserve">con las que sí cuentan otros órganos, como </w:t>
      </w:r>
      <w:r w:rsidR="003C563C" w:rsidRPr="00826E97">
        <w:rPr>
          <w:rFonts w:ascii="Times New Roman" w:hAnsi="Times New Roman" w:cs="Times New Roman"/>
          <w:sz w:val="24"/>
          <w:szCs w:val="24"/>
          <w:lang w:val="es-PE"/>
        </w:rPr>
        <w:t xml:space="preserve">por ejemplo </w:t>
      </w:r>
      <w:r w:rsidR="00A57DC6" w:rsidRPr="00826E97">
        <w:rPr>
          <w:rFonts w:ascii="Times New Roman" w:hAnsi="Times New Roman" w:cs="Times New Roman"/>
          <w:sz w:val="24"/>
          <w:szCs w:val="24"/>
          <w:lang w:val="es-PE"/>
        </w:rPr>
        <w:t>las Comisiones del Instituto Nacional de Defensa de la Competencia y de la Protección de la Propiedad Intelectual (INDECOPI)</w:t>
      </w:r>
      <w:r w:rsidR="006876AA" w:rsidRPr="00826E97">
        <w:rPr>
          <w:rStyle w:val="Refdenotaalpie"/>
          <w:rFonts w:ascii="Times New Roman" w:hAnsi="Times New Roman" w:cs="Times New Roman"/>
          <w:sz w:val="24"/>
          <w:szCs w:val="24"/>
          <w:lang w:val="es-PE"/>
        </w:rPr>
        <w:footnoteReference w:id="3"/>
      </w:r>
      <w:r w:rsidR="00A57DC6" w:rsidRPr="00826E97">
        <w:rPr>
          <w:rFonts w:ascii="Times New Roman" w:hAnsi="Times New Roman" w:cs="Times New Roman"/>
          <w:sz w:val="24"/>
          <w:szCs w:val="24"/>
          <w:lang w:val="es-PE"/>
        </w:rPr>
        <w:t xml:space="preserve"> o los Cuerpos Colegiados del Organismo Supervisor de la Inversión Privada en Telecomunicaciones (OSIPTEL)</w:t>
      </w:r>
      <w:r w:rsidR="006876AA" w:rsidRPr="00826E97">
        <w:rPr>
          <w:rStyle w:val="Refdenotaalpie"/>
          <w:rFonts w:ascii="Times New Roman" w:hAnsi="Times New Roman" w:cs="Times New Roman"/>
          <w:sz w:val="24"/>
          <w:szCs w:val="24"/>
          <w:lang w:val="es-PE"/>
        </w:rPr>
        <w:footnoteReference w:id="4"/>
      </w:r>
      <w:r w:rsidR="008E21A0" w:rsidRPr="00826E97">
        <w:rPr>
          <w:rFonts w:ascii="Times New Roman" w:hAnsi="Times New Roman" w:cs="Times New Roman"/>
          <w:sz w:val="24"/>
          <w:szCs w:val="24"/>
          <w:lang w:val="es-PE"/>
        </w:rPr>
        <w:t xml:space="preserve"> dentro de los límites establecidos en la Ley del Procedimiento General</w:t>
      </w:r>
      <w:r w:rsidR="008E21A0" w:rsidRPr="00826E97">
        <w:rPr>
          <w:rStyle w:val="Refdenotaalpie"/>
          <w:rFonts w:ascii="Times New Roman" w:hAnsi="Times New Roman" w:cs="Times New Roman"/>
          <w:sz w:val="24"/>
          <w:szCs w:val="24"/>
          <w:lang w:val="es-PE"/>
        </w:rPr>
        <w:footnoteReference w:id="5"/>
      </w:r>
      <w:r w:rsidR="008E21A0" w:rsidRPr="00826E97">
        <w:rPr>
          <w:rFonts w:ascii="Times New Roman" w:hAnsi="Times New Roman" w:cs="Times New Roman"/>
          <w:sz w:val="24"/>
          <w:szCs w:val="24"/>
          <w:lang w:val="es-PE"/>
        </w:rPr>
        <w:t xml:space="preserve">. </w:t>
      </w:r>
      <w:bookmarkStart w:id="6" w:name="_Hlk203656299"/>
    </w:p>
    <w:p w14:paraId="4117A918" w14:textId="5D6E7506" w:rsidR="00A75B36" w:rsidRPr="00826E97" w:rsidRDefault="00D41162"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Como se ha señalado en numerosas ocasiones, corresponde a las partes acreditar las llevaron a sospechar de la veracidad del aviso de siniestro presentado por el asegurado, a tal extremo que, ameritaba pretensiones que proponen, no siendo factible que este Colegiado compense las deficiencias probatorias y argumentativas de la empresa aseguradora, lo que por otro lado, iría en franco menoscabo de los intereses del asegurado, máxime si este espera que en plano de imparcialidad, se apliquen rigurosamente al procedimiento las reglas de interpretación contractual establecidas en la Ley del Contrato de Seguro, por ello, corresponde a la empresa …………………, ya sea en su Carta de Rechazo o en la presentación de sus descargos, cuáles fueron los elementos de juicio que la someterlo a una prueba de polígrafo adicional de acuerdo con lo señalado en la Póliza. </w:t>
      </w:r>
    </w:p>
    <w:p w14:paraId="15BF4124" w14:textId="04A670E8" w:rsidR="007C1AD6" w:rsidRPr="00826E97" w:rsidRDefault="00A57DC6"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TERCERO: En su recurso impugnativo, ………………… discrepa con lo resuelto por la Sala Colegiada por los siguientes argumentos: (i) el asegurado no ha podido explicar cómo es que terceros pudieron acceder a los aplicativos de banca móvil y billetera electrónica del BCP alojados en el equipo celular hurtado, vulnerando las claves de seguridad en 45 minutos, sin que el asegurado tome cuenta de las comunicaciones electrónicas emitidas por el banco respecto del cambio de credenciales o correos de confirmación; (ii) los dispositivos de última generación del tipo Apple iPhone 15 Pro Max (como el que fue hurtado al asegurado) incorporan ………………… robustos de seguridad que dificultan extraordinariamente el acceso no autorizado, y, en escenarios de hurto cuentan con la protección adicional de “dispositivo perdido”, que impide el uso del equipo sin la cuenta iCloud original; (iii) el hurto del equipo celular se produjo el 5 de noviembre a las 19:30 h, sin embargo, el asegurado se presentó a una agencia del BCP recién el 6 de noviembre a las 11:00 h (15 horas después), reacción tardía incompatible con la diligencia exigida a todo usuario en estos casos, en los que los titulares deben dar aviso inmediato a la entidad bancaria con la finalidad de bloquear las cuentas y evitar transacciones no autorizadas; (iv) el asegurado comunicó el siniestro a ………………… el 8 de noviembre, dos días después de haber sufrido el fraude bancario; y, (v) la denominada “macro de fraudes” del BCP emitió una alerta clasificando al asegurado como “cliente riesgoso”, categoría que se reserva para usuarios cuyos movimientos presentan patrones transaccionales atípicos o potencialmente fraudulentos.</w:t>
      </w:r>
    </w:p>
    <w:p w14:paraId="784A4F8A" w14:textId="72C4B10C" w:rsidR="007C1AD6" w:rsidRPr="00826E97" w:rsidRDefault="007C1AD6"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CUARTO: De acuerdo con el artículo 73 de la Ley del Contrato de Seguro, el asegurado pierde sus derechos indemnizatorios si actúa fraudulentamente, exagera los daños o emplea medios falsos para probarlos. En atención a ello, el artículo 69 de la Ley del Contrato de Seguro obliga al contratante, el asegurado o al beneficiario -según sea el caso-, suministre a la empresa aseguradora, información veraz, razonable y necesaria para verificar la real ocurrencia del siniestro.</w:t>
      </w:r>
    </w:p>
    <w:p w14:paraId="55DA545F" w14:textId="0E3F7B99" w:rsidR="007C1AD6" w:rsidRPr="00826E97" w:rsidRDefault="007C1AD6"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Como ha señalado en repetidas oportunidades este colegiado, es conocido que la prueba de polígrafo no arroja resultados totalmente fiables en la medida que puede presentar márgenes de error, pues constituye un registro de reacciones fisiológicas como respuesta a estímulos psicológicos a partir de una serie de preguntas preconcebidas, por lo que configura un elemento de apoyo que por sí solo no es suficiente para generar convicción respecto de sus resultados. Es decir, sí únicamente se actúa dicho examen prescindiendo de análisis adicionales, no se cumple con el estándar necesario para determinar de forma razonada, la posible naturaleza fraudulenta de un aviso de siniestro; si acaso, los resultados de la prueba de polígrafo podrían ser tomados en cuenta como parte de una serie de indicios adicionales y para que la empresa ………………… si efectivamente el siniestro se produjo en los términos indicados por el asegurado, o si, en su defecto, nos encontramos ante una conducta fraudulenta. </w:t>
      </w:r>
    </w:p>
    <w:p w14:paraId="3FC1A80E" w14:textId="7EA418E7" w:rsidR="007C1AD6" w:rsidRPr="00826E97" w:rsidRDefault="007C1AD6"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Por lo tanto, habiendo ………………… expuesto una serie de argumentos adicionales, los cuales no fueron presentados en su Carta de Rechazo, así como tampoco al momento de absolver el reclamo del asegurado, corresponde que este Colegiado proceda a evaluarlos en vía de impugnación con la finalidad de determinar si procede modificar el sentido de la Resolución Impugnada. </w:t>
      </w:r>
    </w:p>
    <w:p w14:paraId="7189C570" w14:textId="129885CD" w:rsidR="00F73696" w:rsidRPr="00826E97" w:rsidRDefault="00D67EE2"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QUINTO: Como se ha indicado, ………………… señala que el asegurado ha sido incapaz de explicar cómo es que quienes hurtaron su celular pudieron vulnerar las claves de seguridad y acceder a los aplicativos de banca móvil y billetera electrónica del BCP alojadas en el equipo en tan solo 45 minutos. </w:t>
      </w:r>
    </w:p>
    <w:p w14:paraId="473DC877" w14:textId="7F6CAF2A" w:rsidR="00CD7A5F" w:rsidRPr="00826E97" w:rsidRDefault="009669F7"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Con relación a lo manifestado, el asegurado indica que ………………… desconoce el hecho que el teléfono le fue arrebatado mientras se encontraba desbloqueado, por lo tanto, al estar activo al momento del hurto, terceros pudieron acceder de inmediato a los programas instalados, entre los que se hallaban los aplicativos de banca móvil y billetera electrónica, a partir de lo cual, se realizaron las transferencias no autorizadas y cambiar los accesos.</w:t>
      </w:r>
    </w:p>
    <w:p w14:paraId="7F9F521D" w14:textId="598C95B0" w:rsidR="005F0A3D" w:rsidRPr="00826E97" w:rsidRDefault="001E51BE"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Este Colegiado coincide con …………………, en el sentido que no basta para justificar el acceso a los aplicativos, que se señale que el equipo se encontraba desbloqueado al momento del hurto, puesto que para ingresar a los programas de banca móvil y billetera electrónica es necesario ingresar claves adicionales. Como es conocido, ambos aplicativos tienen una serie de protocolos y procedimientos de seguridad para hacer efectivo el cambio de sus respectivas contraseñas, por otro lado, pueden ser bloqueados también vía web a través de cualquier dispositivo conectado a Internet. En la medida que el asegurado no ha presentado explicación alguna respecto de cómo es que se vulneraron las medidas de seguridad de estos aplicativos sin que se percatara, y, por qué no los bloqueó de forma inmediata luego del producido el hurto de su equipo celular, es válido cuestionar, las razones de la conducta poco diligente del asegurado. </w:t>
      </w:r>
    </w:p>
    <w:p w14:paraId="41DB74E8" w14:textId="2C28867A" w:rsidR="00EE453C" w:rsidRPr="00826E97" w:rsidRDefault="00EE453C"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Por otro lado, ………………… advierte que los smartphones de Apple, como el equipo hurtado al asegurado están dotados de una serie de medidas de seguridad que impiden accesos no autorizados, asimismo, que, ante un hurto, los usuarios cuentan con la protección adicional de dispositivo perdido, que impide el uso del equipo sin la cuenta iCloud original. </w:t>
      </w:r>
    </w:p>
    <w:p w14:paraId="5B807626" w14:textId="3821C8B1" w:rsidR="004111B6" w:rsidRPr="00826E97" w:rsidRDefault="00EE453C"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Con relación a este punto, ya hemos anotado líneas arriba que el asegurado señaló que su celular se encontraba desbloqueado al momento del hurto, lo cual explicaría como los delincuentes tuvieron acceso al mismo. Sin embargo, si el asegurado conocía que el equipo se encontraba desbloqueado al momento del hurto, es razonable que explique también las razones por las cuales no actuó de forma razonable y decidió asumir el riesgo de no inutilizar el equipo para impedir que terceros lograran tener acceso a sus datos personales e información sensible, lo cual -como ha sido advertido por …………………- se logra en el caso del equipo sustraído a través de la plataforma iCloud gestionada por Apple. Este hecho, constituye un elemento adicional que debe ser tomado en cuenta en su conjunto para analizar la veracidad de la solicitud de cobertura realizada por el asegurado. </w:t>
      </w:r>
    </w:p>
    <w:p w14:paraId="47D2928B" w14:textId="4907ECC1" w:rsidR="00C80BC3" w:rsidRPr="00826E97" w:rsidRDefault="004111B6"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Asimismo, refiere la empresa ………………… el 5 de noviembre a las 19:30 h, sin embargo, el asegurado recién se presentó a informar este hecho ante una agencia del BCP el día 6 de noviembre a las 11:00 h. Para …………………, la ausencia de una reacción temprana es incompatible con la diligencia exigida a todo asegurado en casos similares. </w:t>
      </w:r>
    </w:p>
    <w:p w14:paraId="3EAA2EE1" w14:textId="1BF52664" w:rsidR="004111B6" w:rsidRPr="00826E97" w:rsidRDefault="004111B6"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Este colegiado no coincide con lo señalado por ………………… en este punto. Es cierto que el asegurado se apersonó a las oficinas del BCP al día siguiente del siniestro, sin embargo, no ha tomado en cuenta que el horario de atención del banco suele extenderse sólo hasta las 18 h para días laborables, es decir, al momento de cometerse el hurto, las agencias del banco no se encontraban abiertas al público, por lo tanto, no es de extrañar que el asegurado se presentara en una agencia bancaria a las primeras horas del día siguiente de producido el siniestro, tal como efectivamente se produjo. Sin embargo, el hecho que físicamente las agencias bancarias se encontraran cerradas al público, ello no impedía al asegurado realizar el bloqueo remoto de sus aplicativos de banca móvil y billetera electrónica en el más breve plazo.</w:t>
      </w:r>
    </w:p>
    <w:p w14:paraId="64DF131E" w14:textId="5B71B43E" w:rsidR="002573E1" w:rsidRPr="00826E97" w:rsidRDefault="002573E1"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Como otro argumento que genera sospecha de posible aviso fraudulento, ………………… ha afirmado que el asegurado recién comunicó el siniestro a ………………… el 8 de noviembre, dos días después de haber sufrido la transferencia no autorizada de su cuenta, esta demora de dos días en dar aviso a la empresa …………………. </w:t>
      </w:r>
    </w:p>
    <w:p w14:paraId="71E2D71A" w14:textId="62413833" w:rsidR="00CF7478" w:rsidRPr="00826E97" w:rsidRDefault="002573E1" w:rsidP="00AA287A">
      <w:pPr>
        <w:spacing w:after="120" w:line="240" w:lineRule="auto"/>
        <w:jc w:val="both"/>
        <w:rPr>
          <w:rFonts w:ascii="Times New Roman" w:hAnsi="Times New Roman" w:cs="Times New Roman"/>
          <w:sz w:val="24"/>
          <w:szCs w:val="24"/>
          <w:lang w:val="es-PE"/>
        </w:rPr>
      </w:pPr>
      <w:r>
        <w:rPr>
          <w:rFonts w:ascii="Times New Roman" w:hAnsi="Times New Roman"/>
          <w:sz w:val="24"/>
        </w:rPr>
        <w:t xml:space="preserve">Este Colegiado no coincide con el análisis realizado por la empresa ………………… siniestro constituye un indicio de posible actuar fraudulento. Sobre el particular, cabe traer a colación que la Póliza señala sobre el particular lo siguiente: </w:t>
      </w:r>
    </w:p>
    <w:p w14:paraId="73304269" w14:textId="79EF7184" w:rsidR="00E37F2E" w:rsidRPr="00826E97" w:rsidRDefault="00CF7478" w:rsidP="00AA287A">
      <w:pPr>
        <w:spacing w:after="200" w:line="240" w:lineRule="auto"/>
        <w:ind w:left="1701"/>
        <w:jc w:val="both"/>
        <w:rPr>
          <w:rFonts w:ascii="Times New Roman" w:hAnsi="Times New Roman" w:cs="Times New Roman"/>
          <w:i/>
          <w:iCs/>
          <w:sz w:val="24"/>
          <w:szCs w:val="24"/>
          <w:lang w:val="es-PE"/>
        </w:rPr>
      </w:pPr>
      <w:r>
        <w:rPr>
          <w:rFonts w:ascii="Times New Roman" w:hAnsi="Times New Roman"/>
          <w:sz w:val="24"/>
        </w:rPr>
        <w:t xml:space="preserve">«[d]e producirse un siniestro vinculado con alguna de las coberturas contratadas, El (sic) CONTRATANTE y/o ASEGURADO deberá dar aviso del siniestro a través de la central telefónica de ………………… y/o del BCP dentro del menor plazo posible como tenga conocimiento de la ocurrencia y dentro de un plazo no mayor de tres (3) días calendarios (sic)».</w:t>
      </w:r>
    </w:p>
    <w:p w14:paraId="3C4E1262" w14:textId="6F69F012" w:rsidR="00CF7478" w:rsidRPr="00826E97" w:rsidRDefault="00CF7478" w:rsidP="00AA287A">
      <w:pPr>
        <w:spacing w:after="120" w:line="240" w:lineRule="auto"/>
        <w:jc w:val="both"/>
        <w:rPr>
          <w:rFonts w:ascii="Times New Roman" w:hAnsi="Times New Roman" w:cs="Times New Roman"/>
          <w:sz w:val="24"/>
          <w:szCs w:val="24"/>
          <w:lang w:val="es-PE"/>
        </w:rPr>
      </w:pPr>
      <w:r>
        <w:rPr>
          <w:rFonts w:ascii="Times New Roman" w:hAnsi="Times New Roman"/>
          <w:sz w:val="24"/>
        </w:rPr>
        <w:t xml:space="preserve">Como puede advertirse, el asegurado debía dar aviso del siniestro “dentro del menor plazo posible” lo cual podría interpretarse inicialmente como de forma inmediata luego de la ocurrencia, sin embargo, la propia cláusula señala que dicho aviso no podrá realizarse en un plazo mayor de 3 días calendario, se entiende entonces que no debería cuestionarse que se realice el aviso dentro de dicho plazo. Si por la declaración del propio asegurado se entiende que tomó conocimiento de la transferencia no autorizada el día 6 de noviembre, tenía hasta el día 9 del mismo mes para dar aviso del mismo a la aseguradora. En la medida que ………………… no ha presentado instrumento alguno que permita concluir que el asegurado conoció las transacciones no autorizadas en fecha anterior y, a pesar de ello, omitió dar aviso del mismo a …………………, no puede considerarse que el asegurado actuara sobre el particular de forma sospechosa o irregular.</w:t>
      </w:r>
    </w:p>
    <w:p w14:paraId="3B55D4CA" w14:textId="50334E4D" w:rsidR="00106D7F" w:rsidRPr="00826E97" w:rsidRDefault="00443558" w:rsidP="00AA287A">
      <w:pPr>
        <w:spacing w:after="120" w:line="240" w:lineRule="auto"/>
        <w:jc w:val="both"/>
        <w:rPr>
          <w:rFonts w:ascii="Times New Roman" w:hAnsi="Times New Roman" w:cs="Times New Roman"/>
          <w:sz w:val="24"/>
          <w:szCs w:val="24"/>
          <w:lang w:val="es-PE"/>
        </w:rPr>
      </w:pPr>
      <w:r>
        <w:rPr>
          <w:rFonts w:ascii="Times New Roman" w:hAnsi="Times New Roman"/>
          <w:sz w:val="24"/>
        </w:rPr>
        <w:t xml:space="preserve">………………… considera que otro indicio de fraude es que la “Macro de Fraudes” del BCP emitió una alerta roja clasificando al señor………………… como “cliente riesgoso”, categoría que el banco reservaría para usuarios cuyos movimientos presentan patrones transaccionales atípicos o potencialmente fraudulentos. </w:t>
      </w:r>
    </w:p>
    <w:p w14:paraId="5A6ED121" w14:textId="00E12045" w:rsidR="00106D7F" w:rsidRPr="00826E97" w:rsidRDefault="00BB1409" w:rsidP="00AA287A">
      <w:pPr>
        <w:spacing w:after="120" w:line="240" w:lineRule="auto"/>
        <w:jc w:val="both"/>
        <w:rPr>
          <w:rFonts w:ascii="Times New Roman" w:hAnsi="Times New Roman" w:cs="Times New Roman"/>
          <w:sz w:val="24"/>
          <w:szCs w:val="24"/>
          <w:lang w:val="es-PE"/>
        </w:rPr>
      </w:pPr>
      <w:r>
        <w:rPr>
          <w:rFonts w:ascii="Times New Roman" w:hAnsi="Times New Roman"/>
          <w:sz w:val="24"/>
        </w:rPr>
        <w:t xml:space="preserve">Este Colegiado no puede tomar en cuenta este indicio, puesto que sólo constituye un dicho de la empresa …………………. Lamentablemente, este Colegiado no está en capacidad de conocer si esta alerta roja se generó con anterioridad al siniestro, o si, se levantó como consecuencia del mismo, situación bastante probable, en la medida que, según el asegurado -en un aserto que no ha sido cuestionado-, fue el propio BCP quien detectó los movimientos anómalos bloqueando finalmente la cuenta, de no haberlo hecho el daño patrimonial que sufrió el asegurado habría sido podido ser mayor. </w:t>
      </w:r>
    </w:p>
    <w:p w14:paraId="224C048F" w14:textId="37DDBF3F" w:rsidR="00443558" w:rsidRPr="00826E97" w:rsidRDefault="00610D6E" w:rsidP="00AA287A">
      <w:pPr>
        <w:spacing w:after="200" w:line="240" w:lineRule="auto"/>
        <w:jc w:val="both"/>
        <w:rPr>
          <w:rFonts w:ascii="Times New Roman" w:hAnsi="Times New Roman" w:cs="Times New Roman"/>
          <w:sz w:val="24"/>
          <w:szCs w:val="24"/>
          <w:lang w:val="es-PE"/>
        </w:rPr>
      </w:pPr>
      <w:r w:rsidRPr="00826E97">
        <w:rPr>
          <w:rFonts w:ascii="Times New Roman" w:hAnsi="Times New Roman" w:cs="Times New Roman"/>
          <w:sz w:val="24"/>
          <w:szCs w:val="24"/>
          <w:lang w:val="es-PE"/>
        </w:rPr>
        <w:t xml:space="preserve">En </w:t>
      </w:r>
      <w:r w:rsidR="000E578D" w:rsidRPr="00826E97">
        <w:rPr>
          <w:rFonts w:ascii="Times New Roman" w:hAnsi="Times New Roman" w:cs="Times New Roman"/>
          <w:sz w:val="24"/>
          <w:szCs w:val="24"/>
          <w:lang w:val="es-PE"/>
        </w:rPr>
        <w:t xml:space="preserve">su </w:t>
      </w:r>
      <w:r w:rsidRPr="00826E97">
        <w:rPr>
          <w:rFonts w:ascii="Times New Roman" w:hAnsi="Times New Roman" w:cs="Times New Roman"/>
          <w:sz w:val="24"/>
          <w:szCs w:val="24"/>
          <w:lang w:val="es-PE"/>
        </w:rPr>
        <w:t>absolución del Recurso Impugnativo, el asegurado ha señalado</w:t>
      </w:r>
      <w:r w:rsidR="00ED2C95" w:rsidRPr="00826E97">
        <w:rPr>
          <w:rFonts w:ascii="Times New Roman" w:hAnsi="Times New Roman" w:cs="Times New Roman"/>
          <w:sz w:val="24"/>
          <w:szCs w:val="24"/>
          <w:lang w:val="es-PE"/>
        </w:rPr>
        <w:t xml:space="preserve"> </w:t>
      </w:r>
      <w:r w:rsidR="000E578D" w:rsidRPr="00826E97">
        <w:rPr>
          <w:rFonts w:ascii="Times New Roman" w:hAnsi="Times New Roman" w:cs="Times New Roman"/>
          <w:sz w:val="24"/>
          <w:szCs w:val="24"/>
          <w:lang w:val="es-PE"/>
        </w:rPr>
        <w:t>-</w:t>
      </w:r>
      <w:r w:rsidR="00ED2C95" w:rsidRPr="00826E97">
        <w:rPr>
          <w:rFonts w:ascii="Times New Roman" w:hAnsi="Times New Roman" w:cs="Times New Roman"/>
          <w:sz w:val="24"/>
          <w:szCs w:val="24"/>
          <w:lang w:val="es-PE"/>
        </w:rPr>
        <w:t>en un dicho no debatido</w:t>
      </w:r>
      <w:r w:rsidR="000E578D" w:rsidRPr="00826E97">
        <w:rPr>
          <w:rFonts w:ascii="Times New Roman" w:hAnsi="Times New Roman" w:cs="Times New Roman"/>
          <w:sz w:val="24"/>
          <w:szCs w:val="24"/>
          <w:lang w:val="es-PE"/>
        </w:rPr>
        <w:t>-</w:t>
      </w:r>
      <w:r w:rsidR="00ED2C95" w:rsidRPr="00826E97">
        <w:rPr>
          <w:rFonts w:ascii="Times New Roman" w:hAnsi="Times New Roman" w:cs="Times New Roman"/>
          <w:sz w:val="24"/>
          <w:szCs w:val="24"/>
          <w:lang w:val="es-PE"/>
        </w:rPr>
        <w:t xml:space="preserve">, </w:t>
      </w:r>
      <w:proofErr w:type="gramStart"/>
      <w:r w:rsidR="00ED2C95" w:rsidRPr="00826E97">
        <w:rPr>
          <w:rFonts w:ascii="Times New Roman" w:hAnsi="Times New Roman" w:cs="Times New Roman"/>
          <w:sz w:val="24"/>
          <w:szCs w:val="24"/>
          <w:lang w:val="es-PE"/>
        </w:rPr>
        <w:t>que</w:t>
      </w:r>
      <w:proofErr w:type="gramEnd"/>
      <w:r w:rsidR="00ED2C95" w:rsidRPr="00826E97">
        <w:rPr>
          <w:rFonts w:ascii="Times New Roman" w:hAnsi="Times New Roman" w:cs="Times New Roman"/>
          <w:sz w:val="24"/>
          <w:szCs w:val="24"/>
          <w:lang w:val="es-PE"/>
        </w:rPr>
        <w:t xml:space="preserve"> </w:t>
      </w:r>
      <w:r w:rsidR="000E578D" w:rsidRPr="00826E97">
        <w:rPr>
          <w:rFonts w:ascii="Times New Roman" w:hAnsi="Times New Roman" w:cs="Times New Roman"/>
          <w:sz w:val="24"/>
          <w:szCs w:val="24"/>
          <w:lang w:val="es-PE"/>
        </w:rPr>
        <w:t xml:space="preserve">una vez </w:t>
      </w:r>
      <w:r w:rsidR="00443558" w:rsidRPr="00826E97">
        <w:rPr>
          <w:rFonts w:ascii="Times New Roman" w:hAnsi="Times New Roman" w:cs="Times New Roman"/>
          <w:sz w:val="24"/>
          <w:szCs w:val="24"/>
          <w:lang w:val="es-PE"/>
        </w:rPr>
        <w:t xml:space="preserve">ocurrido el </w:t>
      </w:r>
      <w:r w:rsidR="00ED2C95" w:rsidRPr="00826E97">
        <w:rPr>
          <w:rFonts w:ascii="Times New Roman" w:hAnsi="Times New Roman" w:cs="Times New Roman"/>
          <w:sz w:val="24"/>
          <w:szCs w:val="24"/>
          <w:lang w:val="es-PE"/>
        </w:rPr>
        <w:t>hurto</w:t>
      </w:r>
      <w:r w:rsidR="00443558" w:rsidRPr="00826E97">
        <w:rPr>
          <w:rFonts w:ascii="Times New Roman" w:hAnsi="Times New Roman" w:cs="Times New Roman"/>
          <w:sz w:val="24"/>
          <w:szCs w:val="24"/>
          <w:lang w:val="es-PE"/>
        </w:rPr>
        <w:t>, lo primero que hi</w:t>
      </w:r>
      <w:r w:rsidR="00ED2C95" w:rsidRPr="00826E97">
        <w:rPr>
          <w:rFonts w:ascii="Times New Roman" w:hAnsi="Times New Roman" w:cs="Times New Roman"/>
          <w:sz w:val="24"/>
          <w:szCs w:val="24"/>
          <w:lang w:val="es-PE"/>
        </w:rPr>
        <w:t xml:space="preserve">zo </w:t>
      </w:r>
      <w:r w:rsidR="00443558" w:rsidRPr="00826E97">
        <w:rPr>
          <w:rFonts w:ascii="Times New Roman" w:hAnsi="Times New Roman" w:cs="Times New Roman"/>
          <w:sz w:val="24"/>
          <w:szCs w:val="24"/>
          <w:lang w:val="es-PE"/>
        </w:rPr>
        <w:t xml:space="preserve">fue intentar </w:t>
      </w:r>
      <w:r w:rsidR="00712A62" w:rsidRPr="00826E97">
        <w:rPr>
          <w:rFonts w:ascii="Times New Roman" w:hAnsi="Times New Roman" w:cs="Times New Roman"/>
          <w:sz w:val="24"/>
          <w:szCs w:val="24"/>
          <w:lang w:val="es-PE"/>
        </w:rPr>
        <w:t xml:space="preserve">el </w:t>
      </w:r>
      <w:r w:rsidR="00443558" w:rsidRPr="00826E97">
        <w:rPr>
          <w:rFonts w:ascii="Times New Roman" w:hAnsi="Times New Roman" w:cs="Times New Roman"/>
          <w:sz w:val="24"/>
          <w:szCs w:val="24"/>
          <w:lang w:val="es-PE"/>
        </w:rPr>
        <w:t>bloqu</w:t>
      </w:r>
      <w:r w:rsidR="00712A62" w:rsidRPr="00826E97">
        <w:rPr>
          <w:rFonts w:ascii="Times New Roman" w:hAnsi="Times New Roman" w:cs="Times New Roman"/>
          <w:sz w:val="24"/>
          <w:szCs w:val="24"/>
          <w:lang w:val="es-PE"/>
        </w:rPr>
        <w:t>eo</w:t>
      </w:r>
      <w:r w:rsidR="00443558" w:rsidRPr="00826E97">
        <w:rPr>
          <w:rFonts w:ascii="Times New Roman" w:hAnsi="Times New Roman" w:cs="Times New Roman"/>
          <w:sz w:val="24"/>
          <w:szCs w:val="24"/>
          <w:lang w:val="es-PE"/>
        </w:rPr>
        <w:t xml:space="preserve"> </w:t>
      </w:r>
      <w:r w:rsidR="00712A62" w:rsidRPr="00826E97">
        <w:rPr>
          <w:rFonts w:ascii="Times New Roman" w:hAnsi="Times New Roman" w:cs="Times New Roman"/>
          <w:sz w:val="24"/>
          <w:szCs w:val="24"/>
          <w:lang w:val="es-PE"/>
        </w:rPr>
        <w:t xml:space="preserve">de su </w:t>
      </w:r>
      <w:r w:rsidR="00443558" w:rsidRPr="00826E97">
        <w:rPr>
          <w:rFonts w:ascii="Times New Roman" w:hAnsi="Times New Roman" w:cs="Times New Roman"/>
          <w:sz w:val="24"/>
          <w:szCs w:val="24"/>
          <w:lang w:val="es-PE"/>
        </w:rPr>
        <w:t>línea telefónica llamando a</w:t>
      </w:r>
      <w:r w:rsidR="00ED2C95" w:rsidRPr="00826E97">
        <w:rPr>
          <w:rFonts w:ascii="Times New Roman" w:hAnsi="Times New Roman" w:cs="Times New Roman"/>
          <w:sz w:val="24"/>
          <w:szCs w:val="24"/>
          <w:lang w:val="es-PE"/>
        </w:rPr>
        <w:t xml:space="preserve">l operador móvil </w:t>
      </w:r>
      <w:r w:rsidR="00443558" w:rsidRPr="00826E97">
        <w:rPr>
          <w:rFonts w:ascii="Times New Roman" w:hAnsi="Times New Roman" w:cs="Times New Roman"/>
          <w:sz w:val="24"/>
          <w:szCs w:val="24"/>
          <w:lang w:val="es-PE"/>
        </w:rPr>
        <w:t xml:space="preserve">Entel, lo que </w:t>
      </w:r>
      <w:r w:rsidR="00ED2C95" w:rsidRPr="00826E97">
        <w:rPr>
          <w:rFonts w:ascii="Times New Roman" w:hAnsi="Times New Roman" w:cs="Times New Roman"/>
          <w:sz w:val="24"/>
          <w:szCs w:val="24"/>
          <w:lang w:val="es-PE"/>
        </w:rPr>
        <w:t xml:space="preserve">le habría tomado </w:t>
      </w:r>
      <w:r w:rsidR="00443558" w:rsidRPr="00826E97">
        <w:rPr>
          <w:rFonts w:ascii="Times New Roman" w:hAnsi="Times New Roman" w:cs="Times New Roman"/>
          <w:sz w:val="24"/>
          <w:szCs w:val="24"/>
          <w:lang w:val="es-PE"/>
        </w:rPr>
        <w:t xml:space="preserve">las primeras horas posteriores al hecho. </w:t>
      </w:r>
      <w:r w:rsidR="00ED2C95" w:rsidRPr="00826E97">
        <w:rPr>
          <w:rFonts w:ascii="Times New Roman" w:hAnsi="Times New Roman" w:cs="Times New Roman"/>
          <w:sz w:val="24"/>
          <w:szCs w:val="24"/>
          <w:lang w:val="es-PE"/>
        </w:rPr>
        <w:t xml:space="preserve">Sin embargo, llama la atención de este Colegiado que la regulación sectorial en el ámbito de las telecomunicaciones </w:t>
      </w:r>
      <w:r w:rsidR="007D4613" w:rsidRPr="00826E97">
        <w:rPr>
          <w:rFonts w:ascii="Times New Roman" w:hAnsi="Times New Roman" w:cs="Times New Roman"/>
          <w:sz w:val="24"/>
          <w:szCs w:val="24"/>
          <w:lang w:val="es-PE"/>
        </w:rPr>
        <w:t>pareciera debatir este dicho.</w:t>
      </w:r>
      <w:r w:rsidR="00712A62" w:rsidRPr="00826E97">
        <w:rPr>
          <w:rFonts w:ascii="Times New Roman" w:hAnsi="Times New Roman" w:cs="Times New Roman"/>
          <w:sz w:val="24"/>
          <w:szCs w:val="24"/>
          <w:lang w:val="es-PE"/>
        </w:rPr>
        <w:t xml:space="preserve"> </w:t>
      </w:r>
      <w:r w:rsidR="007D4613" w:rsidRPr="00826E97">
        <w:rPr>
          <w:rFonts w:ascii="Times New Roman" w:hAnsi="Times New Roman" w:cs="Times New Roman"/>
          <w:sz w:val="24"/>
          <w:szCs w:val="24"/>
          <w:lang w:val="es-PE"/>
        </w:rPr>
        <w:t xml:space="preserve">Efectivamente, de acuerdo con el artículo 60 </w:t>
      </w:r>
      <w:bookmarkStart w:id="8" w:name="_Hlk119544882"/>
      <w:r w:rsidR="007D4613" w:rsidRPr="00826E97">
        <w:rPr>
          <w:rFonts w:ascii="Times New Roman" w:hAnsi="Times New Roman" w:cs="Times New Roman"/>
          <w:sz w:val="24"/>
          <w:szCs w:val="24"/>
          <w:lang w:val="es-PE"/>
        </w:rPr>
        <w:t>de la Resolución n.° 172-2022-CD/OSIPTEL, Norma de las condiciones de uso de los servicios públicos de telecomunicaciones</w:t>
      </w:r>
      <w:r w:rsidR="00712A62" w:rsidRPr="00826E97">
        <w:rPr>
          <w:rStyle w:val="Refdenotaalpie"/>
          <w:rFonts w:ascii="Times New Roman" w:hAnsi="Times New Roman" w:cs="Times New Roman"/>
          <w:sz w:val="24"/>
          <w:szCs w:val="24"/>
          <w:lang w:val="es-PE"/>
        </w:rPr>
        <w:footnoteReference w:id="14"/>
      </w:r>
      <w:r w:rsidR="007D4613" w:rsidRPr="00826E97">
        <w:rPr>
          <w:rFonts w:ascii="Times New Roman" w:hAnsi="Times New Roman" w:cs="Times New Roman"/>
          <w:sz w:val="24"/>
          <w:szCs w:val="24"/>
          <w:lang w:val="es-PE"/>
        </w:rPr>
        <w:t>, efectuado el reporte por sustracción o pérdida del equipo terminal por parte del abonado o usuario, la operadora está obligada</w:t>
      </w:r>
      <w:r w:rsidR="000E578D" w:rsidRPr="00826E97">
        <w:rPr>
          <w:rFonts w:ascii="Times New Roman" w:hAnsi="Times New Roman" w:cs="Times New Roman"/>
          <w:sz w:val="24"/>
          <w:szCs w:val="24"/>
          <w:lang w:val="es-PE"/>
        </w:rPr>
        <w:t xml:space="preserve"> a</w:t>
      </w:r>
      <w:r w:rsidR="007D4613" w:rsidRPr="00826E97">
        <w:rPr>
          <w:rFonts w:ascii="Times New Roman" w:hAnsi="Times New Roman" w:cs="Times New Roman"/>
          <w:sz w:val="24"/>
          <w:szCs w:val="24"/>
          <w:lang w:val="es-PE"/>
        </w:rPr>
        <w:t xml:space="preserve"> suspender </w:t>
      </w:r>
      <w:r w:rsidR="00583DBC" w:rsidRPr="00826E97">
        <w:rPr>
          <w:rFonts w:ascii="Times New Roman" w:hAnsi="Times New Roman" w:cs="Times New Roman"/>
          <w:sz w:val="24"/>
          <w:szCs w:val="24"/>
          <w:lang w:val="es-PE"/>
        </w:rPr>
        <w:t xml:space="preserve">simultáneamente </w:t>
      </w:r>
      <w:r w:rsidR="007D4613" w:rsidRPr="00826E97">
        <w:rPr>
          <w:rFonts w:ascii="Times New Roman" w:hAnsi="Times New Roman" w:cs="Times New Roman"/>
          <w:sz w:val="24"/>
          <w:szCs w:val="24"/>
          <w:lang w:val="es-PE"/>
        </w:rPr>
        <w:t xml:space="preserve">el servicio y </w:t>
      </w:r>
      <w:r w:rsidR="00583DBC" w:rsidRPr="00826E97">
        <w:rPr>
          <w:rFonts w:ascii="Times New Roman" w:hAnsi="Times New Roman" w:cs="Times New Roman"/>
          <w:sz w:val="24"/>
          <w:szCs w:val="24"/>
          <w:lang w:val="es-PE"/>
        </w:rPr>
        <w:t xml:space="preserve">a </w:t>
      </w:r>
      <w:r w:rsidR="007D4613" w:rsidRPr="00826E97">
        <w:rPr>
          <w:rFonts w:ascii="Times New Roman" w:hAnsi="Times New Roman" w:cs="Times New Roman"/>
          <w:sz w:val="24"/>
          <w:szCs w:val="24"/>
          <w:lang w:val="es-PE"/>
        </w:rPr>
        <w:t xml:space="preserve">bloquear el equipo </w:t>
      </w:r>
      <w:r w:rsidR="00583DBC" w:rsidRPr="00826E97">
        <w:rPr>
          <w:rFonts w:ascii="Times New Roman" w:hAnsi="Times New Roman" w:cs="Times New Roman"/>
          <w:sz w:val="24"/>
          <w:szCs w:val="24"/>
          <w:lang w:val="es-PE"/>
        </w:rPr>
        <w:t>de</w:t>
      </w:r>
      <w:r w:rsidR="007D4613" w:rsidRPr="00826E97">
        <w:rPr>
          <w:rFonts w:ascii="Times New Roman" w:hAnsi="Times New Roman" w:cs="Times New Roman"/>
          <w:sz w:val="24"/>
          <w:szCs w:val="24"/>
          <w:lang w:val="es-PE"/>
        </w:rPr>
        <w:t xml:space="preserve"> forma inmediata. </w:t>
      </w:r>
      <w:r w:rsidR="004D7DEA" w:rsidRPr="00826E97">
        <w:rPr>
          <w:rFonts w:ascii="Times New Roman" w:hAnsi="Times New Roman" w:cs="Times New Roman"/>
          <w:sz w:val="24"/>
          <w:szCs w:val="24"/>
          <w:lang w:val="es-PE"/>
        </w:rPr>
        <w:t xml:space="preserve">Es decir, de acuerdo con el mencionado dispositivo, inmediatamente realizado el reporte </w:t>
      </w:r>
      <w:r w:rsidR="00C82585" w:rsidRPr="00826E97">
        <w:rPr>
          <w:rFonts w:ascii="Times New Roman" w:hAnsi="Times New Roman" w:cs="Times New Roman"/>
          <w:sz w:val="24"/>
          <w:szCs w:val="24"/>
          <w:lang w:val="es-PE"/>
        </w:rPr>
        <w:t xml:space="preserve">de </w:t>
      </w:r>
      <w:r w:rsidR="004D7DEA" w:rsidRPr="00826E97">
        <w:rPr>
          <w:rFonts w:ascii="Times New Roman" w:hAnsi="Times New Roman" w:cs="Times New Roman"/>
          <w:sz w:val="24"/>
          <w:szCs w:val="24"/>
          <w:lang w:val="es-PE"/>
        </w:rPr>
        <w:t>sustracción o pérdida</w:t>
      </w:r>
      <w:r w:rsidR="00C82585" w:rsidRPr="00826E97">
        <w:rPr>
          <w:rFonts w:ascii="Times New Roman" w:hAnsi="Times New Roman" w:cs="Times New Roman"/>
          <w:sz w:val="24"/>
          <w:szCs w:val="24"/>
          <w:lang w:val="es-PE"/>
        </w:rPr>
        <w:t xml:space="preserve"> del equipo</w:t>
      </w:r>
      <w:r w:rsidR="004D7DEA" w:rsidRPr="00826E97">
        <w:rPr>
          <w:rFonts w:ascii="Times New Roman" w:hAnsi="Times New Roman" w:cs="Times New Roman"/>
          <w:sz w:val="24"/>
          <w:szCs w:val="24"/>
          <w:lang w:val="es-PE"/>
        </w:rPr>
        <w:t>, la operadora</w:t>
      </w:r>
      <w:r w:rsidR="00583DBC" w:rsidRPr="00826E97">
        <w:rPr>
          <w:rFonts w:ascii="Times New Roman" w:hAnsi="Times New Roman" w:cs="Times New Roman"/>
          <w:sz w:val="24"/>
          <w:szCs w:val="24"/>
          <w:lang w:val="es-PE"/>
        </w:rPr>
        <w:t xml:space="preserve"> móvil</w:t>
      </w:r>
      <w:r w:rsidR="00C82585" w:rsidRPr="00826E97">
        <w:rPr>
          <w:rFonts w:ascii="Times New Roman" w:hAnsi="Times New Roman" w:cs="Times New Roman"/>
          <w:sz w:val="24"/>
          <w:szCs w:val="24"/>
          <w:lang w:val="es-PE"/>
        </w:rPr>
        <w:t xml:space="preserve"> </w:t>
      </w:r>
      <w:r w:rsidR="004D7DEA" w:rsidRPr="00826E97">
        <w:rPr>
          <w:rFonts w:ascii="Times New Roman" w:hAnsi="Times New Roman" w:cs="Times New Roman"/>
          <w:sz w:val="24"/>
          <w:szCs w:val="24"/>
          <w:lang w:val="es-PE"/>
        </w:rPr>
        <w:t>debe bloquear de forma inmediata el IMEI</w:t>
      </w:r>
      <w:r w:rsidR="00C8590C" w:rsidRPr="00826E97">
        <w:rPr>
          <w:rStyle w:val="Refdenotaalpie"/>
          <w:rFonts w:ascii="Times New Roman" w:hAnsi="Times New Roman" w:cs="Times New Roman"/>
          <w:sz w:val="24"/>
          <w:szCs w:val="24"/>
          <w:lang w:val="es-PE"/>
        </w:rPr>
        <w:footnoteReference w:id="15"/>
      </w:r>
      <w:r w:rsidR="004D7DEA" w:rsidRPr="00826E97">
        <w:rPr>
          <w:rFonts w:ascii="Times New Roman" w:hAnsi="Times New Roman" w:cs="Times New Roman"/>
          <w:sz w:val="24"/>
          <w:szCs w:val="24"/>
          <w:lang w:val="es-PE"/>
        </w:rPr>
        <w:t>, no permitiendo que se vincule a servicios móviles</w:t>
      </w:r>
      <w:r w:rsidR="000E578D" w:rsidRPr="00826E97">
        <w:rPr>
          <w:rFonts w:ascii="Times New Roman" w:hAnsi="Times New Roman" w:cs="Times New Roman"/>
          <w:sz w:val="24"/>
          <w:szCs w:val="24"/>
          <w:lang w:val="es-PE"/>
        </w:rPr>
        <w:t xml:space="preserve"> y</w:t>
      </w:r>
      <w:r w:rsidR="00BB1409" w:rsidRPr="00826E97">
        <w:rPr>
          <w:rFonts w:ascii="Times New Roman" w:hAnsi="Times New Roman" w:cs="Times New Roman"/>
          <w:sz w:val="24"/>
          <w:szCs w:val="24"/>
          <w:lang w:val="es-PE"/>
        </w:rPr>
        <w:t xml:space="preserve">, que éstos </w:t>
      </w:r>
      <w:r w:rsidR="004D7DEA" w:rsidRPr="00826E97">
        <w:rPr>
          <w:rFonts w:ascii="Times New Roman" w:hAnsi="Times New Roman" w:cs="Times New Roman"/>
          <w:sz w:val="24"/>
          <w:szCs w:val="24"/>
          <w:lang w:val="es-PE"/>
        </w:rPr>
        <w:t>cursen tráfico</w:t>
      </w:r>
      <w:r w:rsidR="00BB1409" w:rsidRPr="00826E97">
        <w:rPr>
          <w:rFonts w:ascii="Times New Roman" w:hAnsi="Times New Roman" w:cs="Times New Roman"/>
          <w:sz w:val="24"/>
          <w:szCs w:val="24"/>
          <w:lang w:val="es-PE"/>
        </w:rPr>
        <w:t xml:space="preserve">, </w:t>
      </w:r>
      <w:r w:rsidR="00305F2B" w:rsidRPr="00826E97">
        <w:rPr>
          <w:rFonts w:ascii="Times New Roman" w:hAnsi="Times New Roman" w:cs="Times New Roman"/>
          <w:sz w:val="24"/>
          <w:szCs w:val="24"/>
          <w:lang w:val="es-PE"/>
        </w:rPr>
        <w:t>y</w:t>
      </w:r>
      <w:r w:rsidR="00946AFE" w:rsidRPr="00826E97">
        <w:rPr>
          <w:rFonts w:ascii="Times New Roman" w:hAnsi="Times New Roman" w:cs="Times New Roman"/>
          <w:sz w:val="24"/>
          <w:szCs w:val="24"/>
          <w:lang w:val="es-PE"/>
        </w:rPr>
        <w:t xml:space="preserve">, que </w:t>
      </w:r>
      <w:r w:rsidR="00305F2B" w:rsidRPr="00826E97">
        <w:rPr>
          <w:rFonts w:ascii="Times New Roman" w:hAnsi="Times New Roman" w:cs="Times New Roman"/>
          <w:sz w:val="24"/>
          <w:szCs w:val="24"/>
          <w:lang w:val="es-PE"/>
        </w:rPr>
        <w:t>s</w:t>
      </w:r>
      <w:r w:rsidR="000E578D" w:rsidRPr="00826E97">
        <w:rPr>
          <w:rFonts w:ascii="Times New Roman" w:hAnsi="Times New Roman" w:cs="Times New Roman"/>
          <w:sz w:val="24"/>
          <w:szCs w:val="24"/>
          <w:lang w:val="es-PE"/>
        </w:rPr>
        <w:t xml:space="preserve">e </w:t>
      </w:r>
      <w:r w:rsidR="004D7DEA" w:rsidRPr="00826E97">
        <w:rPr>
          <w:rFonts w:ascii="Times New Roman" w:hAnsi="Times New Roman" w:cs="Times New Roman"/>
          <w:sz w:val="24"/>
          <w:szCs w:val="24"/>
          <w:lang w:val="es-PE"/>
        </w:rPr>
        <w:t>ingres</w:t>
      </w:r>
      <w:r w:rsidR="000E578D" w:rsidRPr="00826E97">
        <w:rPr>
          <w:rFonts w:ascii="Times New Roman" w:hAnsi="Times New Roman" w:cs="Times New Roman"/>
          <w:sz w:val="24"/>
          <w:szCs w:val="24"/>
          <w:lang w:val="es-PE"/>
        </w:rPr>
        <w:t xml:space="preserve">en </w:t>
      </w:r>
      <w:r w:rsidR="004D7DEA" w:rsidRPr="00826E97">
        <w:rPr>
          <w:rFonts w:ascii="Times New Roman" w:hAnsi="Times New Roman" w:cs="Times New Roman"/>
          <w:sz w:val="24"/>
          <w:szCs w:val="24"/>
          <w:lang w:val="es-PE"/>
        </w:rPr>
        <w:t>en el EIR</w:t>
      </w:r>
      <w:r w:rsidR="00C8590C" w:rsidRPr="00826E97">
        <w:rPr>
          <w:rStyle w:val="Refdenotaalpie"/>
          <w:rFonts w:ascii="Times New Roman" w:hAnsi="Times New Roman" w:cs="Times New Roman"/>
          <w:sz w:val="24"/>
          <w:szCs w:val="24"/>
          <w:lang w:val="es-PE"/>
        </w:rPr>
        <w:footnoteReference w:id="16"/>
      </w:r>
      <w:r w:rsidR="004D7DEA" w:rsidRPr="00826E97">
        <w:rPr>
          <w:rFonts w:ascii="Times New Roman" w:hAnsi="Times New Roman" w:cs="Times New Roman"/>
          <w:sz w:val="24"/>
          <w:szCs w:val="24"/>
          <w:lang w:val="es-PE"/>
        </w:rPr>
        <w:t xml:space="preserve">. </w:t>
      </w:r>
      <w:r w:rsidR="001A2FFD" w:rsidRPr="00826E97">
        <w:rPr>
          <w:rFonts w:ascii="Times New Roman" w:hAnsi="Times New Roman" w:cs="Times New Roman"/>
          <w:sz w:val="24"/>
          <w:szCs w:val="24"/>
          <w:lang w:val="es-PE"/>
        </w:rPr>
        <w:t xml:space="preserve">De la revisión </w:t>
      </w:r>
      <w:r w:rsidR="00C82585" w:rsidRPr="00826E97">
        <w:rPr>
          <w:rFonts w:ascii="Times New Roman" w:hAnsi="Times New Roman" w:cs="Times New Roman"/>
          <w:sz w:val="24"/>
          <w:szCs w:val="24"/>
          <w:lang w:val="es-PE"/>
        </w:rPr>
        <w:t>de la página web del operador</w:t>
      </w:r>
      <w:r w:rsidR="00583DBC" w:rsidRPr="00826E97">
        <w:rPr>
          <w:rFonts w:ascii="Times New Roman" w:hAnsi="Times New Roman" w:cs="Times New Roman"/>
          <w:sz w:val="24"/>
          <w:szCs w:val="24"/>
          <w:lang w:val="es-PE"/>
        </w:rPr>
        <w:t xml:space="preserve"> móvil </w:t>
      </w:r>
      <w:r w:rsidR="00C82585" w:rsidRPr="00826E97">
        <w:rPr>
          <w:rFonts w:ascii="Times New Roman" w:hAnsi="Times New Roman" w:cs="Times New Roman"/>
          <w:sz w:val="24"/>
          <w:szCs w:val="24"/>
          <w:lang w:val="es-PE"/>
        </w:rPr>
        <w:t xml:space="preserve">Entel, </w:t>
      </w:r>
      <w:r w:rsidR="001A2FFD" w:rsidRPr="00826E97">
        <w:rPr>
          <w:rFonts w:ascii="Times New Roman" w:hAnsi="Times New Roman" w:cs="Times New Roman"/>
          <w:sz w:val="24"/>
          <w:szCs w:val="24"/>
          <w:lang w:val="es-PE"/>
        </w:rPr>
        <w:t xml:space="preserve">se </w:t>
      </w:r>
      <w:r w:rsidR="00C82585" w:rsidRPr="00826E97">
        <w:rPr>
          <w:rFonts w:ascii="Times New Roman" w:hAnsi="Times New Roman" w:cs="Times New Roman"/>
          <w:sz w:val="24"/>
          <w:szCs w:val="24"/>
          <w:lang w:val="es-PE"/>
        </w:rPr>
        <w:t>adv</w:t>
      </w:r>
      <w:r w:rsidR="001A2FFD" w:rsidRPr="00826E97">
        <w:rPr>
          <w:rFonts w:ascii="Times New Roman" w:hAnsi="Times New Roman" w:cs="Times New Roman"/>
          <w:sz w:val="24"/>
          <w:szCs w:val="24"/>
          <w:lang w:val="es-PE"/>
        </w:rPr>
        <w:t>ierte</w:t>
      </w:r>
      <w:r w:rsidR="00C82585" w:rsidRPr="00826E97">
        <w:rPr>
          <w:rFonts w:ascii="Times New Roman" w:hAnsi="Times New Roman" w:cs="Times New Roman"/>
          <w:sz w:val="24"/>
          <w:szCs w:val="24"/>
          <w:lang w:val="es-PE"/>
        </w:rPr>
        <w:t xml:space="preserve"> que el proceso de bloqueo </w:t>
      </w:r>
      <w:r w:rsidR="001A2FFD" w:rsidRPr="00826E97">
        <w:rPr>
          <w:rFonts w:ascii="Times New Roman" w:hAnsi="Times New Roman" w:cs="Times New Roman"/>
          <w:sz w:val="24"/>
          <w:szCs w:val="24"/>
          <w:lang w:val="es-PE"/>
        </w:rPr>
        <w:t xml:space="preserve">en caso de pérdida o robo </w:t>
      </w:r>
      <w:r w:rsidR="00C82585" w:rsidRPr="00826E97">
        <w:rPr>
          <w:rFonts w:ascii="Times New Roman" w:hAnsi="Times New Roman" w:cs="Times New Roman"/>
          <w:sz w:val="24"/>
          <w:szCs w:val="24"/>
          <w:lang w:val="es-PE"/>
        </w:rPr>
        <w:t xml:space="preserve">se </w:t>
      </w:r>
      <w:r w:rsidR="000E578D" w:rsidRPr="00826E97">
        <w:rPr>
          <w:rFonts w:ascii="Times New Roman" w:hAnsi="Times New Roman" w:cs="Times New Roman"/>
          <w:sz w:val="24"/>
          <w:szCs w:val="24"/>
          <w:lang w:val="es-PE"/>
        </w:rPr>
        <w:t xml:space="preserve">puede </w:t>
      </w:r>
      <w:r w:rsidR="00C82585" w:rsidRPr="00826E97">
        <w:rPr>
          <w:rFonts w:ascii="Times New Roman" w:hAnsi="Times New Roman" w:cs="Times New Roman"/>
          <w:sz w:val="24"/>
          <w:szCs w:val="24"/>
          <w:lang w:val="es-PE"/>
        </w:rPr>
        <w:t>realiza</w:t>
      </w:r>
      <w:r w:rsidR="000E578D" w:rsidRPr="00826E97">
        <w:rPr>
          <w:rFonts w:ascii="Times New Roman" w:hAnsi="Times New Roman" w:cs="Times New Roman"/>
          <w:sz w:val="24"/>
          <w:szCs w:val="24"/>
          <w:lang w:val="es-PE"/>
        </w:rPr>
        <w:t>r</w:t>
      </w:r>
      <w:r w:rsidR="00C82585" w:rsidRPr="00826E97">
        <w:rPr>
          <w:rFonts w:ascii="Times New Roman" w:hAnsi="Times New Roman" w:cs="Times New Roman"/>
          <w:sz w:val="24"/>
          <w:szCs w:val="24"/>
          <w:lang w:val="es-PE"/>
        </w:rPr>
        <w:t xml:space="preserve"> de forma telemática desde cualquier terminal </w:t>
      </w:r>
      <w:r w:rsidR="00583DBC" w:rsidRPr="00826E97">
        <w:rPr>
          <w:rFonts w:ascii="Times New Roman" w:hAnsi="Times New Roman" w:cs="Times New Roman"/>
          <w:sz w:val="24"/>
          <w:szCs w:val="24"/>
          <w:lang w:val="es-PE"/>
        </w:rPr>
        <w:t xml:space="preserve">telefónico </w:t>
      </w:r>
      <w:r w:rsidR="00C82585" w:rsidRPr="00826E97">
        <w:rPr>
          <w:rFonts w:ascii="Times New Roman" w:hAnsi="Times New Roman" w:cs="Times New Roman"/>
          <w:sz w:val="24"/>
          <w:szCs w:val="24"/>
          <w:lang w:val="es-PE"/>
        </w:rPr>
        <w:t>fijo o móvil</w:t>
      </w:r>
      <w:r w:rsidR="00C82585" w:rsidRPr="00826E97">
        <w:rPr>
          <w:rStyle w:val="Refdenotaalpie"/>
          <w:rFonts w:ascii="Times New Roman" w:hAnsi="Times New Roman" w:cs="Times New Roman"/>
          <w:sz w:val="24"/>
          <w:szCs w:val="24"/>
          <w:lang w:val="es-PE"/>
        </w:rPr>
        <w:footnoteReference w:id="17"/>
      </w:r>
      <w:r w:rsidR="00C82585" w:rsidRPr="00826E97">
        <w:rPr>
          <w:rFonts w:ascii="Times New Roman" w:hAnsi="Times New Roman" w:cs="Times New Roman"/>
          <w:sz w:val="24"/>
          <w:szCs w:val="24"/>
          <w:lang w:val="es-PE"/>
        </w:rPr>
        <w:t>.</w:t>
      </w:r>
      <w:bookmarkEnd w:id="8"/>
      <w:r w:rsidR="00305F2B" w:rsidRPr="00826E97">
        <w:rPr>
          <w:rFonts w:ascii="Times New Roman" w:hAnsi="Times New Roman" w:cs="Times New Roman"/>
          <w:sz w:val="24"/>
          <w:szCs w:val="24"/>
          <w:lang w:val="es-PE"/>
        </w:rPr>
        <w:t xml:space="preserve"> Por lo </w:t>
      </w:r>
      <w:r w:rsidR="001A2FFD" w:rsidRPr="00826E97">
        <w:rPr>
          <w:rFonts w:ascii="Times New Roman" w:hAnsi="Times New Roman" w:cs="Times New Roman"/>
          <w:sz w:val="24"/>
          <w:szCs w:val="24"/>
          <w:lang w:val="es-PE"/>
        </w:rPr>
        <w:t>tanto,</w:t>
      </w:r>
      <w:r w:rsidR="000E578D" w:rsidRPr="00826E97">
        <w:rPr>
          <w:rFonts w:ascii="Times New Roman" w:hAnsi="Times New Roman" w:cs="Times New Roman"/>
          <w:sz w:val="24"/>
          <w:szCs w:val="24"/>
          <w:lang w:val="es-PE"/>
        </w:rPr>
        <w:t xml:space="preserve"> este Colegiado considera </w:t>
      </w:r>
      <w:r w:rsidR="00305F2B" w:rsidRPr="00826E97">
        <w:rPr>
          <w:rFonts w:ascii="Times New Roman" w:hAnsi="Times New Roman" w:cs="Times New Roman"/>
          <w:sz w:val="24"/>
          <w:szCs w:val="24"/>
          <w:lang w:val="es-PE"/>
        </w:rPr>
        <w:t>que se ha producido una inconsistencia en l</w:t>
      </w:r>
      <w:r w:rsidR="000E578D" w:rsidRPr="00826E97">
        <w:rPr>
          <w:rFonts w:ascii="Times New Roman" w:hAnsi="Times New Roman" w:cs="Times New Roman"/>
          <w:sz w:val="24"/>
          <w:szCs w:val="24"/>
          <w:lang w:val="es-PE"/>
        </w:rPr>
        <w:t xml:space="preserve">o señalado por el asegurado, </w:t>
      </w:r>
      <w:r w:rsidR="00583DBC" w:rsidRPr="00826E97">
        <w:rPr>
          <w:rFonts w:ascii="Times New Roman" w:hAnsi="Times New Roman" w:cs="Times New Roman"/>
          <w:sz w:val="24"/>
          <w:szCs w:val="24"/>
          <w:lang w:val="es-PE"/>
        </w:rPr>
        <w:t xml:space="preserve">respecto de </w:t>
      </w:r>
      <w:r w:rsidR="001A2FFD" w:rsidRPr="00826E97">
        <w:rPr>
          <w:rFonts w:ascii="Times New Roman" w:hAnsi="Times New Roman" w:cs="Times New Roman"/>
          <w:sz w:val="24"/>
          <w:szCs w:val="24"/>
          <w:lang w:val="es-PE"/>
        </w:rPr>
        <w:t xml:space="preserve">cuando señala que dicha </w:t>
      </w:r>
      <w:r w:rsidR="00305F2B" w:rsidRPr="00826E97">
        <w:rPr>
          <w:rFonts w:ascii="Times New Roman" w:hAnsi="Times New Roman" w:cs="Times New Roman"/>
          <w:sz w:val="24"/>
          <w:szCs w:val="24"/>
          <w:lang w:val="es-PE"/>
        </w:rPr>
        <w:t xml:space="preserve">operación </w:t>
      </w:r>
      <w:r w:rsidR="001A2FFD" w:rsidRPr="00826E97">
        <w:rPr>
          <w:rFonts w:ascii="Times New Roman" w:hAnsi="Times New Roman" w:cs="Times New Roman"/>
          <w:sz w:val="24"/>
          <w:szCs w:val="24"/>
          <w:lang w:val="es-PE"/>
        </w:rPr>
        <w:t xml:space="preserve">le </w:t>
      </w:r>
      <w:r w:rsidR="00305F2B" w:rsidRPr="00826E97">
        <w:rPr>
          <w:rFonts w:ascii="Times New Roman" w:hAnsi="Times New Roman" w:cs="Times New Roman"/>
          <w:sz w:val="24"/>
          <w:szCs w:val="24"/>
          <w:lang w:val="es-PE"/>
        </w:rPr>
        <w:t xml:space="preserve">habría demorado varias horas, cuando lo </w:t>
      </w:r>
      <w:r w:rsidR="000E578D" w:rsidRPr="00826E97">
        <w:rPr>
          <w:rFonts w:ascii="Times New Roman" w:hAnsi="Times New Roman" w:cs="Times New Roman"/>
          <w:sz w:val="24"/>
          <w:szCs w:val="24"/>
          <w:lang w:val="es-PE"/>
        </w:rPr>
        <w:t xml:space="preserve">esperable es </w:t>
      </w:r>
      <w:r w:rsidR="00305F2B" w:rsidRPr="00826E97">
        <w:rPr>
          <w:rFonts w:ascii="Times New Roman" w:hAnsi="Times New Roman" w:cs="Times New Roman"/>
          <w:sz w:val="24"/>
          <w:szCs w:val="24"/>
          <w:lang w:val="es-PE"/>
        </w:rPr>
        <w:t xml:space="preserve">que se realizara </w:t>
      </w:r>
      <w:r w:rsidR="00583DBC" w:rsidRPr="00826E97">
        <w:rPr>
          <w:rFonts w:ascii="Times New Roman" w:hAnsi="Times New Roman" w:cs="Times New Roman"/>
          <w:sz w:val="24"/>
          <w:szCs w:val="24"/>
          <w:lang w:val="es-PE"/>
        </w:rPr>
        <w:t xml:space="preserve">sólo </w:t>
      </w:r>
      <w:r w:rsidR="00305F2B" w:rsidRPr="00826E97">
        <w:rPr>
          <w:rFonts w:ascii="Times New Roman" w:hAnsi="Times New Roman" w:cs="Times New Roman"/>
          <w:sz w:val="24"/>
          <w:szCs w:val="24"/>
          <w:lang w:val="es-PE"/>
        </w:rPr>
        <w:t>minutos después del hurto del equipo, sobre todo</w:t>
      </w:r>
      <w:r w:rsidR="000E578D" w:rsidRPr="00826E97">
        <w:rPr>
          <w:rFonts w:ascii="Times New Roman" w:hAnsi="Times New Roman" w:cs="Times New Roman"/>
          <w:sz w:val="24"/>
          <w:szCs w:val="24"/>
          <w:lang w:val="es-PE"/>
        </w:rPr>
        <w:t>,</w:t>
      </w:r>
      <w:r w:rsidR="00305F2B" w:rsidRPr="00826E97">
        <w:rPr>
          <w:rFonts w:ascii="Times New Roman" w:hAnsi="Times New Roman" w:cs="Times New Roman"/>
          <w:sz w:val="24"/>
          <w:szCs w:val="24"/>
          <w:lang w:val="es-PE"/>
        </w:rPr>
        <w:t xml:space="preserve"> teniendo en cuenta que el asegurado </w:t>
      </w:r>
      <w:r w:rsidR="000E578D" w:rsidRPr="00826E97">
        <w:rPr>
          <w:rFonts w:ascii="Times New Roman" w:hAnsi="Times New Roman" w:cs="Times New Roman"/>
          <w:sz w:val="24"/>
          <w:szCs w:val="24"/>
          <w:lang w:val="es-PE"/>
        </w:rPr>
        <w:t xml:space="preserve">era consciente </w:t>
      </w:r>
      <w:r w:rsidR="00305F2B" w:rsidRPr="00826E97">
        <w:rPr>
          <w:rFonts w:ascii="Times New Roman" w:hAnsi="Times New Roman" w:cs="Times New Roman"/>
          <w:sz w:val="24"/>
          <w:szCs w:val="24"/>
          <w:lang w:val="es-PE"/>
        </w:rPr>
        <w:t>que su equipo se encontraba desbloqueado al momento del hecho</w:t>
      </w:r>
      <w:r w:rsidR="000E578D" w:rsidRPr="00826E97">
        <w:rPr>
          <w:rFonts w:ascii="Times New Roman" w:hAnsi="Times New Roman" w:cs="Times New Roman"/>
          <w:sz w:val="24"/>
          <w:szCs w:val="24"/>
          <w:lang w:val="es-PE"/>
        </w:rPr>
        <w:t xml:space="preserve"> y, por ello, sus datos personales e información sensible se encontraba en </w:t>
      </w:r>
      <w:r w:rsidR="00583DBC" w:rsidRPr="00826E97">
        <w:rPr>
          <w:rFonts w:ascii="Times New Roman" w:hAnsi="Times New Roman" w:cs="Times New Roman"/>
          <w:sz w:val="24"/>
          <w:szCs w:val="24"/>
          <w:lang w:val="es-PE"/>
        </w:rPr>
        <w:t xml:space="preserve">claro </w:t>
      </w:r>
      <w:r w:rsidR="000E578D" w:rsidRPr="00826E97">
        <w:rPr>
          <w:rFonts w:ascii="Times New Roman" w:hAnsi="Times New Roman" w:cs="Times New Roman"/>
          <w:sz w:val="24"/>
          <w:szCs w:val="24"/>
          <w:lang w:val="es-PE"/>
        </w:rPr>
        <w:t>riesgo</w:t>
      </w:r>
      <w:r w:rsidR="00305F2B" w:rsidRPr="00826E97">
        <w:rPr>
          <w:rFonts w:ascii="Times New Roman" w:hAnsi="Times New Roman" w:cs="Times New Roman"/>
          <w:sz w:val="24"/>
          <w:szCs w:val="24"/>
          <w:lang w:val="es-PE"/>
        </w:rPr>
        <w:t>.</w:t>
      </w:r>
    </w:p>
    <w:p w14:paraId="48495C6D" w14:textId="691F0292" w:rsidR="001F0DFA" w:rsidRPr="00826E97" w:rsidRDefault="001F0DFA" w:rsidP="00AA287A">
      <w:pPr>
        <w:spacing w:after="200" w:line="240" w:lineRule="auto"/>
        <w:jc w:val="both"/>
        <w:rPr>
          <w:rFonts w:ascii="Times New Roman" w:hAnsi="Times New Roman" w:cs="Times New Roman"/>
          <w:sz w:val="24"/>
          <w:szCs w:val="24"/>
          <w:lang w:val="es-PE"/>
        </w:rPr>
      </w:pPr>
      <w:r w:rsidRPr="00826E97">
        <w:rPr>
          <w:rFonts w:ascii="Times New Roman" w:hAnsi="Times New Roman" w:cs="Times New Roman"/>
          <w:sz w:val="24"/>
          <w:szCs w:val="24"/>
          <w:lang w:val="es-PE"/>
        </w:rPr>
        <w:lastRenderedPageBreak/>
        <w:t>Tal como ha señalado este Colegiado en anterior oportunidad, nuestro sistema procesal ha adoptado un sistema de libre valoración de las pruebas</w:t>
      </w:r>
      <w:r w:rsidR="00946AFE" w:rsidRPr="00826E97">
        <w:rPr>
          <w:rFonts w:ascii="Times New Roman" w:hAnsi="Times New Roman" w:cs="Times New Roman"/>
          <w:sz w:val="24"/>
          <w:szCs w:val="24"/>
          <w:lang w:val="es-PE"/>
        </w:rPr>
        <w:t>. D</w:t>
      </w:r>
      <w:r w:rsidRPr="00826E97">
        <w:rPr>
          <w:rFonts w:ascii="Times New Roman" w:hAnsi="Times New Roman" w:cs="Times New Roman"/>
          <w:sz w:val="24"/>
          <w:szCs w:val="24"/>
          <w:lang w:val="es-PE"/>
        </w:rPr>
        <w:t>e acuerdo con el artículo 197 del Código Procesal Civil, todos los medios probatorios deben sen valorados por el juzgador de forma conjunta, utilizando para ello su apreciación razonada.</w:t>
      </w:r>
      <w:r w:rsidRPr="00826E97">
        <w:rPr>
          <w:rStyle w:val="Refdenotaalpie"/>
          <w:rFonts w:ascii="Times New Roman" w:hAnsi="Times New Roman" w:cs="Times New Roman"/>
          <w:sz w:val="24"/>
          <w:szCs w:val="24"/>
          <w:lang w:val="es-PE"/>
        </w:rPr>
        <w:footnoteReference w:id="18"/>
      </w:r>
      <w:r w:rsidRPr="00826E97">
        <w:rPr>
          <w:rFonts w:ascii="Times New Roman" w:hAnsi="Times New Roman" w:cs="Times New Roman"/>
          <w:sz w:val="24"/>
          <w:szCs w:val="24"/>
          <w:lang w:val="es-PE"/>
        </w:rPr>
        <w:t xml:space="preserve"> Lo que significa que para resolver este Colegiado debe tomar en cuenta todos los medios de prueba presentados y actuados, confrontando los resultados probatorios, para determinar su correlación, coherencia y convergencia respecto al objeto del presente procedimiento. </w:t>
      </w:r>
    </w:p>
    <w:p w14:paraId="52EA4303" w14:textId="50AA70D2" w:rsidR="00A51E98" w:rsidRPr="00826E97" w:rsidRDefault="001F0DFA" w:rsidP="00AA287A">
      <w:pPr>
        <w:spacing w:after="200" w:line="240" w:lineRule="auto"/>
        <w:jc w:val="both"/>
        <w:rPr>
          <w:rFonts w:ascii="Times New Roman" w:hAnsi="Times New Roman" w:cs="Times New Roman"/>
          <w:sz w:val="24"/>
          <w:szCs w:val="24"/>
          <w:lang w:val="es-PE"/>
        </w:rPr>
      </w:pPr>
      <w:r w:rsidRPr="00826E97">
        <w:rPr>
          <w:rFonts w:ascii="Times New Roman" w:hAnsi="Times New Roman" w:cs="Times New Roman"/>
          <w:sz w:val="24"/>
          <w:szCs w:val="24"/>
          <w:lang w:val="es-PE"/>
        </w:rPr>
        <w:t xml:space="preserve">Si bien la mayoría de los indicios </w:t>
      </w:r>
      <w:r w:rsidR="00A51E98" w:rsidRPr="00826E97">
        <w:rPr>
          <w:rFonts w:ascii="Times New Roman" w:hAnsi="Times New Roman" w:cs="Times New Roman"/>
          <w:sz w:val="24"/>
          <w:szCs w:val="24"/>
          <w:lang w:val="es-PE"/>
        </w:rPr>
        <w:t xml:space="preserve">señalados van en la línea de cuestionar la falta de diligencia </w:t>
      </w:r>
      <w:r w:rsidR="00E74137" w:rsidRPr="00826E97">
        <w:rPr>
          <w:rFonts w:ascii="Times New Roman" w:hAnsi="Times New Roman" w:cs="Times New Roman"/>
          <w:sz w:val="24"/>
          <w:szCs w:val="24"/>
          <w:lang w:val="es-PE"/>
        </w:rPr>
        <w:t>esperada</w:t>
      </w:r>
      <w:r w:rsidR="00A51E98" w:rsidRPr="00826E97">
        <w:rPr>
          <w:rFonts w:ascii="Times New Roman" w:hAnsi="Times New Roman" w:cs="Times New Roman"/>
          <w:sz w:val="24"/>
          <w:szCs w:val="24"/>
          <w:lang w:val="es-PE"/>
        </w:rPr>
        <w:t xml:space="preserve"> del asegurado en los momentos posteriores del </w:t>
      </w:r>
      <w:r w:rsidR="00E74137" w:rsidRPr="00826E97">
        <w:rPr>
          <w:rFonts w:ascii="Times New Roman" w:hAnsi="Times New Roman" w:cs="Times New Roman"/>
          <w:sz w:val="24"/>
          <w:szCs w:val="24"/>
          <w:lang w:val="es-PE"/>
        </w:rPr>
        <w:t>hurto de su equipo celular</w:t>
      </w:r>
      <w:r w:rsidR="00A51E98" w:rsidRPr="00826E97">
        <w:rPr>
          <w:rFonts w:ascii="Times New Roman" w:hAnsi="Times New Roman" w:cs="Times New Roman"/>
          <w:sz w:val="24"/>
          <w:szCs w:val="24"/>
          <w:lang w:val="es-PE"/>
        </w:rPr>
        <w:t xml:space="preserve">, </w:t>
      </w:r>
      <w:r w:rsidR="00B567F2" w:rsidRPr="00826E97">
        <w:rPr>
          <w:rFonts w:ascii="Times New Roman" w:hAnsi="Times New Roman" w:cs="Times New Roman"/>
          <w:sz w:val="24"/>
          <w:szCs w:val="24"/>
          <w:lang w:val="es-PE"/>
        </w:rPr>
        <w:t>en virtud del</w:t>
      </w:r>
      <w:r w:rsidR="00E74137" w:rsidRPr="00826E97">
        <w:rPr>
          <w:rFonts w:ascii="Times New Roman" w:hAnsi="Times New Roman" w:cs="Times New Roman"/>
          <w:sz w:val="24"/>
          <w:szCs w:val="24"/>
          <w:lang w:val="es-PE"/>
        </w:rPr>
        <w:t xml:space="preserve"> sistema de</w:t>
      </w:r>
      <w:r w:rsidR="00B567F2" w:rsidRPr="00826E97">
        <w:rPr>
          <w:rFonts w:ascii="Times New Roman" w:hAnsi="Times New Roman" w:cs="Times New Roman"/>
          <w:sz w:val="24"/>
          <w:szCs w:val="24"/>
          <w:lang w:val="es-PE"/>
        </w:rPr>
        <w:t xml:space="preserve"> libre valoración de las pruebas</w:t>
      </w:r>
      <w:r w:rsidR="00E74137" w:rsidRPr="00826E97">
        <w:rPr>
          <w:rFonts w:ascii="Times New Roman" w:hAnsi="Times New Roman" w:cs="Times New Roman"/>
          <w:sz w:val="24"/>
          <w:szCs w:val="24"/>
          <w:lang w:val="es-PE"/>
        </w:rPr>
        <w:t xml:space="preserve"> que inspira el marco probatorio procesal peruano</w:t>
      </w:r>
      <w:r w:rsidR="00B567F2" w:rsidRPr="00826E97">
        <w:rPr>
          <w:rFonts w:ascii="Times New Roman" w:hAnsi="Times New Roman" w:cs="Times New Roman"/>
          <w:sz w:val="24"/>
          <w:szCs w:val="24"/>
          <w:lang w:val="es-PE"/>
        </w:rPr>
        <w:t xml:space="preserve">, </w:t>
      </w:r>
      <w:r w:rsidR="00A51E98" w:rsidRPr="00826E97">
        <w:rPr>
          <w:rFonts w:ascii="Times New Roman" w:hAnsi="Times New Roman" w:cs="Times New Roman"/>
          <w:sz w:val="24"/>
          <w:szCs w:val="24"/>
          <w:lang w:val="es-PE"/>
        </w:rPr>
        <w:t xml:space="preserve">es necesario incorporar dentro del análisis un hecho adicional que obra en el expediente, </w:t>
      </w:r>
      <w:r w:rsidR="00B567F2" w:rsidRPr="00826E97">
        <w:rPr>
          <w:rFonts w:ascii="Times New Roman" w:hAnsi="Times New Roman" w:cs="Times New Roman"/>
          <w:sz w:val="24"/>
          <w:szCs w:val="24"/>
          <w:lang w:val="es-PE"/>
        </w:rPr>
        <w:t>en particular en la cédula de notificación de la Disposición de derivación respecto de la denuncia formulada contra los que resulten responsables por la presunta comisión del delito contra el patrimonio, en el extremo que señala que la transferencia no autorizada se hab</w:t>
      </w:r>
      <w:r w:rsidR="00E74137" w:rsidRPr="00826E97">
        <w:rPr>
          <w:rFonts w:ascii="Times New Roman" w:hAnsi="Times New Roman" w:cs="Times New Roman"/>
          <w:sz w:val="24"/>
          <w:szCs w:val="24"/>
          <w:lang w:val="es-PE"/>
        </w:rPr>
        <w:t>r</w:t>
      </w:r>
      <w:r w:rsidR="00B567F2" w:rsidRPr="00826E97">
        <w:rPr>
          <w:rFonts w:ascii="Times New Roman" w:hAnsi="Times New Roman" w:cs="Times New Roman"/>
          <w:sz w:val="24"/>
          <w:szCs w:val="24"/>
          <w:lang w:val="es-PE"/>
        </w:rPr>
        <w:t xml:space="preserve">ía realizado a una cuenta del Banco Internacional del Perú a nombre de una ciudadana </w:t>
      </w:r>
      <w:r w:rsidR="00E74137" w:rsidRPr="00826E97">
        <w:rPr>
          <w:rFonts w:ascii="Times New Roman" w:hAnsi="Times New Roman" w:cs="Times New Roman"/>
          <w:sz w:val="24"/>
          <w:szCs w:val="24"/>
          <w:lang w:val="es-PE"/>
        </w:rPr>
        <w:t xml:space="preserve">plenamente </w:t>
      </w:r>
      <w:r w:rsidR="00B567F2" w:rsidRPr="00826E97">
        <w:rPr>
          <w:rFonts w:ascii="Times New Roman" w:hAnsi="Times New Roman" w:cs="Times New Roman"/>
          <w:sz w:val="24"/>
          <w:szCs w:val="24"/>
          <w:lang w:val="es-PE"/>
        </w:rPr>
        <w:t xml:space="preserve">identificada, así como </w:t>
      </w:r>
      <w:r w:rsidR="00E74137" w:rsidRPr="00826E97">
        <w:rPr>
          <w:rFonts w:ascii="Times New Roman" w:hAnsi="Times New Roman" w:cs="Times New Roman"/>
          <w:sz w:val="24"/>
          <w:szCs w:val="24"/>
          <w:lang w:val="es-PE"/>
        </w:rPr>
        <w:t>que se logró asociar su</w:t>
      </w:r>
      <w:r w:rsidR="00A51E98" w:rsidRPr="00826E97">
        <w:rPr>
          <w:rFonts w:ascii="Times New Roman" w:hAnsi="Times New Roman" w:cs="Times New Roman"/>
          <w:sz w:val="24"/>
          <w:szCs w:val="24"/>
          <w:lang w:val="es-PE"/>
        </w:rPr>
        <w:t xml:space="preserve"> cuenta</w:t>
      </w:r>
      <w:r w:rsidR="00B567F2" w:rsidRPr="00826E97">
        <w:rPr>
          <w:rFonts w:ascii="Times New Roman" w:hAnsi="Times New Roman" w:cs="Times New Roman"/>
          <w:sz w:val="24"/>
          <w:szCs w:val="24"/>
          <w:lang w:val="es-PE"/>
        </w:rPr>
        <w:t xml:space="preserve"> de correo</w:t>
      </w:r>
      <w:r w:rsidR="00A51E98" w:rsidRPr="00826E97">
        <w:rPr>
          <w:rFonts w:ascii="Times New Roman" w:hAnsi="Times New Roman" w:cs="Times New Roman"/>
          <w:sz w:val="24"/>
          <w:szCs w:val="24"/>
          <w:lang w:val="es-PE"/>
        </w:rPr>
        <w:t xml:space="preserve"> Gmail </w:t>
      </w:r>
      <w:r w:rsidR="00E74137" w:rsidRPr="00826E97">
        <w:rPr>
          <w:rFonts w:ascii="Times New Roman" w:hAnsi="Times New Roman" w:cs="Times New Roman"/>
          <w:sz w:val="24"/>
          <w:szCs w:val="24"/>
          <w:lang w:val="es-PE"/>
        </w:rPr>
        <w:t xml:space="preserve">al celular de otro ciudadano también </w:t>
      </w:r>
      <w:r w:rsidR="00B567F2" w:rsidRPr="00826E97">
        <w:rPr>
          <w:rFonts w:ascii="Times New Roman" w:hAnsi="Times New Roman" w:cs="Times New Roman"/>
          <w:sz w:val="24"/>
          <w:szCs w:val="24"/>
          <w:lang w:val="es-PE"/>
        </w:rPr>
        <w:t>identificado</w:t>
      </w:r>
      <w:r w:rsidR="00A51E98" w:rsidRPr="00826E97">
        <w:rPr>
          <w:rFonts w:ascii="Times New Roman" w:hAnsi="Times New Roman" w:cs="Times New Roman"/>
          <w:sz w:val="24"/>
          <w:szCs w:val="24"/>
          <w:lang w:val="es-PE"/>
        </w:rPr>
        <w:t>.</w:t>
      </w:r>
      <w:r w:rsidR="00B567F2" w:rsidRPr="00826E97">
        <w:rPr>
          <w:rFonts w:ascii="Times New Roman" w:hAnsi="Times New Roman" w:cs="Times New Roman"/>
          <w:sz w:val="24"/>
          <w:szCs w:val="24"/>
          <w:lang w:val="es-PE"/>
        </w:rPr>
        <w:t xml:space="preserve"> Es decir, no condice con una conducta </w:t>
      </w:r>
      <w:r w:rsidR="00E74137" w:rsidRPr="00826E97">
        <w:rPr>
          <w:rFonts w:ascii="Times New Roman" w:hAnsi="Times New Roman" w:cs="Times New Roman"/>
          <w:sz w:val="24"/>
          <w:szCs w:val="24"/>
          <w:lang w:val="es-PE"/>
        </w:rPr>
        <w:t>pretendidamente fraudulenta</w:t>
      </w:r>
      <w:r w:rsidR="00B567F2" w:rsidRPr="00826E97">
        <w:rPr>
          <w:rFonts w:ascii="Times New Roman" w:hAnsi="Times New Roman" w:cs="Times New Roman"/>
          <w:sz w:val="24"/>
          <w:szCs w:val="24"/>
          <w:lang w:val="es-PE"/>
        </w:rPr>
        <w:t xml:space="preserve">, el hecho que el asegurado </w:t>
      </w:r>
      <w:r w:rsidR="00993C6F" w:rsidRPr="00826E97">
        <w:rPr>
          <w:rFonts w:ascii="Times New Roman" w:hAnsi="Times New Roman" w:cs="Times New Roman"/>
          <w:sz w:val="24"/>
          <w:szCs w:val="24"/>
          <w:lang w:val="es-PE"/>
        </w:rPr>
        <w:t xml:space="preserve">haya incorporado </w:t>
      </w:r>
      <w:r w:rsidR="00B567F2" w:rsidRPr="00826E97">
        <w:rPr>
          <w:rFonts w:ascii="Times New Roman" w:hAnsi="Times New Roman" w:cs="Times New Roman"/>
          <w:sz w:val="24"/>
          <w:szCs w:val="24"/>
          <w:lang w:val="es-PE"/>
        </w:rPr>
        <w:t xml:space="preserve">a </w:t>
      </w:r>
      <w:r w:rsidR="00E74137" w:rsidRPr="00826E97">
        <w:rPr>
          <w:rFonts w:ascii="Times New Roman" w:hAnsi="Times New Roman" w:cs="Times New Roman"/>
          <w:sz w:val="24"/>
          <w:szCs w:val="24"/>
          <w:lang w:val="es-PE"/>
        </w:rPr>
        <w:t>la</w:t>
      </w:r>
      <w:r w:rsidR="00B567F2" w:rsidRPr="00826E97">
        <w:rPr>
          <w:rFonts w:ascii="Times New Roman" w:hAnsi="Times New Roman" w:cs="Times New Roman"/>
          <w:sz w:val="24"/>
          <w:szCs w:val="24"/>
          <w:lang w:val="es-PE"/>
        </w:rPr>
        <w:t xml:space="preserve"> denuncia presentada ante las autoridades policiales</w:t>
      </w:r>
      <w:r w:rsidR="00993C6F" w:rsidRPr="00826E97">
        <w:rPr>
          <w:rFonts w:ascii="Times New Roman" w:hAnsi="Times New Roman" w:cs="Times New Roman"/>
          <w:sz w:val="24"/>
          <w:szCs w:val="24"/>
          <w:lang w:val="es-PE"/>
        </w:rPr>
        <w:t xml:space="preserve"> competentes, </w:t>
      </w:r>
      <w:r w:rsidR="00B567F2" w:rsidRPr="00826E97">
        <w:rPr>
          <w:rFonts w:ascii="Times New Roman" w:hAnsi="Times New Roman" w:cs="Times New Roman"/>
          <w:sz w:val="24"/>
          <w:szCs w:val="24"/>
          <w:lang w:val="es-PE"/>
        </w:rPr>
        <w:t>la identificación de los beneficiarios con las transfe</w:t>
      </w:r>
      <w:r w:rsidR="00993C6F" w:rsidRPr="00826E97">
        <w:rPr>
          <w:rFonts w:ascii="Times New Roman" w:hAnsi="Times New Roman" w:cs="Times New Roman"/>
          <w:sz w:val="24"/>
          <w:szCs w:val="24"/>
          <w:lang w:val="es-PE"/>
        </w:rPr>
        <w:t>rencias no autorizadas, en la medida que supuestamente estas personas deberían tener algún nivel de connivencia con quien present</w:t>
      </w:r>
      <w:r w:rsidR="00E74137" w:rsidRPr="00826E97">
        <w:rPr>
          <w:rFonts w:ascii="Times New Roman" w:hAnsi="Times New Roman" w:cs="Times New Roman"/>
          <w:sz w:val="24"/>
          <w:szCs w:val="24"/>
          <w:lang w:val="es-PE"/>
        </w:rPr>
        <w:t xml:space="preserve">ó </w:t>
      </w:r>
      <w:r w:rsidR="00993C6F" w:rsidRPr="00826E97">
        <w:rPr>
          <w:rFonts w:ascii="Times New Roman" w:hAnsi="Times New Roman" w:cs="Times New Roman"/>
          <w:sz w:val="24"/>
          <w:szCs w:val="24"/>
          <w:lang w:val="es-PE"/>
        </w:rPr>
        <w:t>la declaración fraudulenta.</w:t>
      </w:r>
    </w:p>
    <w:p w14:paraId="31C97E0F" w14:textId="7984855F" w:rsidR="00247161" w:rsidRPr="00826E97" w:rsidRDefault="00E74137" w:rsidP="00AA287A">
      <w:pPr>
        <w:spacing w:after="200" w:line="240" w:lineRule="auto"/>
        <w:jc w:val="both"/>
        <w:rPr>
          <w:rFonts w:ascii="Times New Roman" w:hAnsi="Times New Roman" w:cs="Times New Roman"/>
          <w:sz w:val="24"/>
          <w:szCs w:val="24"/>
          <w:lang w:val="es-PE"/>
        </w:rPr>
      </w:pPr>
      <w:r w:rsidRPr="00826E97">
        <w:rPr>
          <w:rFonts w:ascii="Times New Roman" w:hAnsi="Times New Roman" w:cs="Times New Roman"/>
          <w:sz w:val="24"/>
          <w:szCs w:val="24"/>
          <w:lang w:val="es-PE"/>
        </w:rPr>
        <w:t xml:space="preserve">A la luz de la información presentada, este Colegiado no duda que el asegurado </w:t>
      </w:r>
      <w:r w:rsidR="00247161" w:rsidRPr="00826E97">
        <w:rPr>
          <w:rFonts w:ascii="Times New Roman" w:hAnsi="Times New Roman" w:cs="Times New Roman"/>
          <w:sz w:val="24"/>
          <w:szCs w:val="24"/>
          <w:lang w:val="es-PE"/>
        </w:rPr>
        <w:t>se abstuvo de</w:t>
      </w:r>
      <w:r w:rsidRPr="00826E97">
        <w:rPr>
          <w:rFonts w:ascii="Times New Roman" w:hAnsi="Times New Roman" w:cs="Times New Roman"/>
          <w:sz w:val="24"/>
          <w:szCs w:val="24"/>
          <w:lang w:val="es-PE"/>
        </w:rPr>
        <w:t xml:space="preserve"> despleg</w:t>
      </w:r>
      <w:r w:rsidR="00247161" w:rsidRPr="00826E97">
        <w:rPr>
          <w:rFonts w:ascii="Times New Roman" w:hAnsi="Times New Roman" w:cs="Times New Roman"/>
          <w:sz w:val="24"/>
          <w:szCs w:val="24"/>
          <w:lang w:val="es-PE"/>
        </w:rPr>
        <w:t>ar</w:t>
      </w:r>
      <w:r w:rsidRPr="00826E97">
        <w:rPr>
          <w:rFonts w:ascii="Times New Roman" w:hAnsi="Times New Roman" w:cs="Times New Roman"/>
          <w:sz w:val="24"/>
          <w:szCs w:val="24"/>
          <w:lang w:val="es-PE"/>
        </w:rPr>
        <w:t xml:space="preserve"> una conducta prudente</w:t>
      </w:r>
      <w:r w:rsidR="00247161" w:rsidRPr="00826E97">
        <w:rPr>
          <w:rFonts w:ascii="Times New Roman" w:hAnsi="Times New Roman" w:cs="Times New Roman"/>
          <w:sz w:val="24"/>
          <w:szCs w:val="24"/>
          <w:lang w:val="es-PE"/>
        </w:rPr>
        <w:t xml:space="preserve"> y esperada</w:t>
      </w:r>
      <w:r w:rsidR="0096389B" w:rsidRPr="00826E97">
        <w:rPr>
          <w:rFonts w:ascii="Times New Roman" w:hAnsi="Times New Roman" w:cs="Times New Roman"/>
          <w:sz w:val="24"/>
          <w:szCs w:val="24"/>
          <w:lang w:val="es-PE"/>
        </w:rPr>
        <w:t xml:space="preserve"> </w:t>
      </w:r>
      <w:r w:rsidRPr="00826E97">
        <w:rPr>
          <w:rFonts w:ascii="Times New Roman" w:hAnsi="Times New Roman" w:cs="Times New Roman"/>
          <w:sz w:val="24"/>
          <w:szCs w:val="24"/>
          <w:lang w:val="es-PE"/>
        </w:rPr>
        <w:t>con la finalidad de proteger su</w:t>
      </w:r>
      <w:r w:rsidR="0096389B" w:rsidRPr="00826E97">
        <w:rPr>
          <w:rFonts w:ascii="Times New Roman" w:hAnsi="Times New Roman" w:cs="Times New Roman"/>
          <w:sz w:val="24"/>
          <w:szCs w:val="24"/>
          <w:lang w:val="es-PE"/>
        </w:rPr>
        <w:t xml:space="preserve"> patrimonio, en específico</w:t>
      </w:r>
      <w:r w:rsidR="00946AFE" w:rsidRPr="00826E97">
        <w:rPr>
          <w:rFonts w:ascii="Times New Roman" w:hAnsi="Times New Roman" w:cs="Times New Roman"/>
          <w:sz w:val="24"/>
          <w:szCs w:val="24"/>
          <w:lang w:val="es-PE"/>
        </w:rPr>
        <w:t xml:space="preserve">, para prevenir </w:t>
      </w:r>
      <w:r w:rsidR="0096389B" w:rsidRPr="00826E97">
        <w:rPr>
          <w:rFonts w:ascii="Times New Roman" w:hAnsi="Times New Roman" w:cs="Times New Roman"/>
          <w:sz w:val="24"/>
          <w:szCs w:val="24"/>
          <w:lang w:val="es-PE"/>
        </w:rPr>
        <w:t>cualquier ingreso no autorizado a sus aplicativos de banca móvil y billetera electrónica, lo</w:t>
      </w:r>
      <w:r w:rsidR="00946AFE" w:rsidRPr="00826E97">
        <w:rPr>
          <w:rFonts w:ascii="Times New Roman" w:hAnsi="Times New Roman" w:cs="Times New Roman"/>
          <w:sz w:val="24"/>
          <w:szCs w:val="24"/>
          <w:lang w:val="es-PE"/>
        </w:rPr>
        <w:t>s</w:t>
      </w:r>
      <w:r w:rsidR="0096389B" w:rsidRPr="00826E97">
        <w:rPr>
          <w:rFonts w:ascii="Times New Roman" w:hAnsi="Times New Roman" w:cs="Times New Roman"/>
          <w:sz w:val="24"/>
          <w:szCs w:val="24"/>
          <w:lang w:val="es-PE"/>
        </w:rPr>
        <w:t xml:space="preserve"> cuales se encontraban particularmente en riesgo, pues el asegurado era consciente </w:t>
      </w:r>
      <w:proofErr w:type="gramStart"/>
      <w:r w:rsidR="0096389B" w:rsidRPr="00826E97">
        <w:rPr>
          <w:rFonts w:ascii="Times New Roman" w:hAnsi="Times New Roman" w:cs="Times New Roman"/>
          <w:sz w:val="24"/>
          <w:szCs w:val="24"/>
          <w:lang w:val="es-PE"/>
        </w:rPr>
        <w:t>que</w:t>
      </w:r>
      <w:proofErr w:type="gramEnd"/>
      <w:r w:rsidR="0096389B" w:rsidRPr="00826E97">
        <w:rPr>
          <w:rFonts w:ascii="Times New Roman" w:hAnsi="Times New Roman" w:cs="Times New Roman"/>
          <w:sz w:val="24"/>
          <w:szCs w:val="24"/>
          <w:lang w:val="es-PE"/>
        </w:rPr>
        <w:t xml:space="preserve"> </w:t>
      </w:r>
      <w:r w:rsidR="00946AFE" w:rsidRPr="00826E97">
        <w:rPr>
          <w:rFonts w:ascii="Times New Roman" w:hAnsi="Times New Roman" w:cs="Times New Roman"/>
          <w:sz w:val="24"/>
          <w:szCs w:val="24"/>
          <w:lang w:val="es-PE"/>
        </w:rPr>
        <w:t xml:space="preserve">al momento del hurto, su equipo </w:t>
      </w:r>
      <w:r w:rsidR="0096389B" w:rsidRPr="00826E97">
        <w:rPr>
          <w:rFonts w:ascii="Times New Roman" w:hAnsi="Times New Roman" w:cs="Times New Roman"/>
          <w:sz w:val="24"/>
          <w:szCs w:val="24"/>
          <w:lang w:val="es-PE"/>
        </w:rPr>
        <w:t xml:space="preserve">móvil se encontraba desbloqueado. Asimismo, </w:t>
      </w:r>
      <w:r w:rsidR="00E0292D" w:rsidRPr="00826E97">
        <w:rPr>
          <w:rFonts w:ascii="Times New Roman" w:hAnsi="Times New Roman" w:cs="Times New Roman"/>
          <w:sz w:val="24"/>
          <w:szCs w:val="24"/>
          <w:lang w:val="es-PE"/>
        </w:rPr>
        <w:t xml:space="preserve">es claro que </w:t>
      </w:r>
      <w:r w:rsidR="0096389B" w:rsidRPr="00826E97">
        <w:rPr>
          <w:rFonts w:ascii="Times New Roman" w:hAnsi="Times New Roman" w:cs="Times New Roman"/>
          <w:sz w:val="24"/>
          <w:szCs w:val="24"/>
          <w:lang w:val="es-PE"/>
        </w:rPr>
        <w:t xml:space="preserve">el asegurado tampoco fue prudente al no bloquear su equipo celular </w:t>
      </w:r>
      <w:r w:rsidR="00247161" w:rsidRPr="00826E97">
        <w:rPr>
          <w:rFonts w:ascii="Times New Roman" w:hAnsi="Times New Roman" w:cs="Times New Roman"/>
          <w:sz w:val="24"/>
          <w:szCs w:val="24"/>
          <w:lang w:val="es-PE"/>
        </w:rPr>
        <w:t>d</w:t>
      </w:r>
      <w:r w:rsidR="0096389B" w:rsidRPr="00826E97">
        <w:rPr>
          <w:rFonts w:ascii="Times New Roman" w:hAnsi="Times New Roman" w:cs="Times New Roman"/>
          <w:sz w:val="24"/>
          <w:szCs w:val="24"/>
          <w:lang w:val="es-PE"/>
        </w:rPr>
        <w:t xml:space="preserve">e forma inmediata, tal como podía hacerlo de acuerdo con la regulación sectorial y </w:t>
      </w:r>
      <w:r w:rsidR="00247161" w:rsidRPr="00826E97">
        <w:rPr>
          <w:rFonts w:ascii="Times New Roman" w:hAnsi="Times New Roman" w:cs="Times New Roman"/>
          <w:sz w:val="24"/>
          <w:szCs w:val="24"/>
          <w:lang w:val="es-PE"/>
        </w:rPr>
        <w:t>l</w:t>
      </w:r>
      <w:r w:rsidR="0096389B" w:rsidRPr="00826E97">
        <w:rPr>
          <w:rFonts w:ascii="Times New Roman" w:hAnsi="Times New Roman" w:cs="Times New Roman"/>
          <w:sz w:val="24"/>
          <w:szCs w:val="24"/>
          <w:lang w:val="es-PE"/>
        </w:rPr>
        <w:t>os mecanismos telemáticos que tienen habilitados las empresas operadoras de servicios</w:t>
      </w:r>
      <w:r w:rsidR="00247161" w:rsidRPr="00826E97">
        <w:rPr>
          <w:rFonts w:ascii="Times New Roman" w:hAnsi="Times New Roman" w:cs="Times New Roman"/>
          <w:sz w:val="24"/>
          <w:szCs w:val="24"/>
          <w:lang w:val="es-PE"/>
        </w:rPr>
        <w:t xml:space="preserve"> públicos </w:t>
      </w:r>
      <w:r w:rsidR="0096389B" w:rsidRPr="00826E97">
        <w:rPr>
          <w:rFonts w:ascii="Times New Roman" w:hAnsi="Times New Roman" w:cs="Times New Roman"/>
          <w:sz w:val="24"/>
          <w:szCs w:val="24"/>
          <w:lang w:val="es-PE"/>
        </w:rPr>
        <w:t xml:space="preserve">de telecomunicaciones para tal efecto. </w:t>
      </w:r>
      <w:r w:rsidR="00E0292D" w:rsidRPr="00826E97">
        <w:rPr>
          <w:rFonts w:ascii="Times New Roman" w:hAnsi="Times New Roman" w:cs="Times New Roman"/>
          <w:sz w:val="24"/>
          <w:szCs w:val="24"/>
          <w:lang w:val="es-PE"/>
        </w:rPr>
        <w:t>Igualmente</w:t>
      </w:r>
      <w:r w:rsidR="0096389B" w:rsidRPr="00826E97">
        <w:rPr>
          <w:rFonts w:ascii="Times New Roman" w:hAnsi="Times New Roman" w:cs="Times New Roman"/>
          <w:sz w:val="24"/>
          <w:szCs w:val="24"/>
          <w:lang w:val="es-PE"/>
        </w:rPr>
        <w:t>, tampoco el asegurado habría inutilizado su equipo terminal de forma inmediata luego del hurto a través de los mecanismos de seguridad de la iCloud gestionada por Apple</w:t>
      </w:r>
      <w:r w:rsidR="00E0292D" w:rsidRPr="00826E97">
        <w:rPr>
          <w:rFonts w:ascii="Times New Roman" w:hAnsi="Times New Roman" w:cs="Times New Roman"/>
          <w:sz w:val="24"/>
          <w:szCs w:val="24"/>
          <w:lang w:val="es-PE"/>
        </w:rPr>
        <w:t xml:space="preserve"> a los que podía tener acceso</w:t>
      </w:r>
      <w:r w:rsidR="0096389B" w:rsidRPr="00826E97">
        <w:rPr>
          <w:rFonts w:ascii="Times New Roman" w:hAnsi="Times New Roman" w:cs="Times New Roman"/>
          <w:sz w:val="24"/>
          <w:szCs w:val="24"/>
          <w:lang w:val="es-PE"/>
        </w:rPr>
        <w:t xml:space="preserve">. En la medida que el asegurado no ha presentado documentación que </w:t>
      </w:r>
      <w:r w:rsidR="00247161" w:rsidRPr="00826E97">
        <w:rPr>
          <w:rFonts w:ascii="Times New Roman" w:hAnsi="Times New Roman" w:cs="Times New Roman"/>
          <w:sz w:val="24"/>
          <w:szCs w:val="24"/>
          <w:lang w:val="es-PE"/>
        </w:rPr>
        <w:t xml:space="preserve">permita a este Colegiado tener certeza respecto del momento en </w:t>
      </w:r>
      <w:r w:rsidR="00E0292D" w:rsidRPr="00826E97">
        <w:rPr>
          <w:rFonts w:ascii="Times New Roman" w:hAnsi="Times New Roman" w:cs="Times New Roman"/>
          <w:sz w:val="24"/>
          <w:szCs w:val="24"/>
          <w:lang w:val="es-PE"/>
        </w:rPr>
        <w:t xml:space="preserve">el </w:t>
      </w:r>
      <w:r w:rsidR="00247161" w:rsidRPr="00826E97">
        <w:rPr>
          <w:rFonts w:ascii="Times New Roman" w:hAnsi="Times New Roman" w:cs="Times New Roman"/>
          <w:sz w:val="24"/>
          <w:szCs w:val="24"/>
          <w:lang w:val="es-PE"/>
        </w:rPr>
        <w:t>que procedió a bloquear sus aplicativos</w:t>
      </w:r>
      <w:r w:rsidR="00E0292D" w:rsidRPr="00826E97">
        <w:rPr>
          <w:rFonts w:ascii="Times New Roman" w:hAnsi="Times New Roman" w:cs="Times New Roman"/>
          <w:sz w:val="24"/>
          <w:szCs w:val="24"/>
          <w:lang w:val="es-PE"/>
        </w:rPr>
        <w:t xml:space="preserve"> y </w:t>
      </w:r>
      <w:r w:rsidR="00247161" w:rsidRPr="00826E97">
        <w:rPr>
          <w:rFonts w:ascii="Times New Roman" w:hAnsi="Times New Roman" w:cs="Times New Roman"/>
          <w:sz w:val="24"/>
          <w:szCs w:val="24"/>
          <w:lang w:val="es-PE"/>
        </w:rPr>
        <w:t xml:space="preserve">su servicio telefónico e inutilizar su equipo </w:t>
      </w:r>
      <w:r w:rsidR="002C6A05" w:rsidRPr="00826E97">
        <w:rPr>
          <w:rFonts w:ascii="Times New Roman" w:hAnsi="Times New Roman" w:cs="Times New Roman"/>
          <w:sz w:val="24"/>
          <w:szCs w:val="24"/>
          <w:lang w:val="es-PE"/>
        </w:rPr>
        <w:t>terminal</w:t>
      </w:r>
      <w:r w:rsidR="00247161" w:rsidRPr="00826E97">
        <w:rPr>
          <w:rFonts w:ascii="Times New Roman" w:hAnsi="Times New Roman" w:cs="Times New Roman"/>
          <w:sz w:val="24"/>
          <w:szCs w:val="24"/>
          <w:lang w:val="es-PE"/>
        </w:rPr>
        <w:t xml:space="preserve">, pareciera que estas recomendables y elementales acciones de protección nunca se realizaron y sería por ello, que las transferencias no autorizadas se suspendieron </w:t>
      </w:r>
      <w:r w:rsidR="002C6A05" w:rsidRPr="00826E97">
        <w:rPr>
          <w:rFonts w:ascii="Times New Roman" w:hAnsi="Times New Roman" w:cs="Times New Roman"/>
          <w:sz w:val="24"/>
          <w:szCs w:val="24"/>
          <w:lang w:val="es-PE"/>
        </w:rPr>
        <w:t xml:space="preserve">recién con </w:t>
      </w:r>
      <w:r w:rsidR="00247161" w:rsidRPr="00826E97">
        <w:rPr>
          <w:rFonts w:ascii="Times New Roman" w:hAnsi="Times New Roman" w:cs="Times New Roman"/>
          <w:sz w:val="24"/>
          <w:szCs w:val="24"/>
          <w:lang w:val="es-PE"/>
        </w:rPr>
        <w:t>la acción independiente y coincidente del BCP, el cual procedió a bloquear las cuentas</w:t>
      </w:r>
      <w:r w:rsidR="002C6A05" w:rsidRPr="00826E97">
        <w:rPr>
          <w:rFonts w:ascii="Times New Roman" w:hAnsi="Times New Roman" w:cs="Times New Roman"/>
          <w:sz w:val="24"/>
          <w:szCs w:val="24"/>
          <w:lang w:val="es-PE"/>
        </w:rPr>
        <w:t xml:space="preserve"> bancarias </w:t>
      </w:r>
      <w:r w:rsidR="00247161" w:rsidRPr="00826E97">
        <w:rPr>
          <w:rFonts w:ascii="Times New Roman" w:hAnsi="Times New Roman" w:cs="Times New Roman"/>
          <w:sz w:val="24"/>
          <w:szCs w:val="24"/>
          <w:lang w:val="es-PE"/>
        </w:rPr>
        <w:t>del asegurado, sin su intervención. Si los mecanismos de seguridad del BCP no hubieran actuado de la forma esperada</w:t>
      </w:r>
      <w:r w:rsidR="002C6A05" w:rsidRPr="00826E97">
        <w:rPr>
          <w:rFonts w:ascii="Times New Roman" w:hAnsi="Times New Roman" w:cs="Times New Roman"/>
          <w:sz w:val="24"/>
          <w:szCs w:val="24"/>
          <w:lang w:val="es-PE"/>
        </w:rPr>
        <w:t>,</w:t>
      </w:r>
      <w:r w:rsidR="00247161" w:rsidRPr="00826E97">
        <w:rPr>
          <w:rFonts w:ascii="Times New Roman" w:hAnsi="Times New Roman" w:cs="Times New Roman"/>
          <w:sz w:val="24"/>
          <w:szCs w:val="24"/>
          <w:lang w:val="es-PE"/>
        </w:rPr>
        <w:t xml:space="preserve"> es altamente probable que el perjuicio hubiera sido mucho mayor. </w:t>
      </w:r>
    </w:p>
    <w:p w14:paraId="1F4AFE17" w14:textId="5782C87E" w:rsidR="00E0292D" w:rsidRPr="00826E97" w:rsidRDefault="002C6A05" w:rsidP="00AA287A">
      <w:pPr>
        <w:spacing w:after="200" w:line="240" w:lineRule="auto"/>
        <w:jc w:val="both"/>
        <w:rPr>
          <w:rFonts w:ascii="Times New Roman" w:hAnsi="Times New Roman" w:cs="Times New Roman"/>
          <w:sz w:val="24"/>
          <w:szCs w:val="24"/>
          <w:lang w:val="es-PE"/>
        </w:rPr>
      </w:pPr>
      <w:r w:rsidRPr="00826E97">
        <w:rPr>
          <w:rFonts w:ascii="Times New Roman" w:hAnsi="Times New Roman" w:cs="Times New Roman"/>
          <w:sz w:val="24"/>
          <w:szCs w:val="24"/>
          <w:lang w:val="es-PE"/>
        </w:rPr>
        <w:lastRenderedPageBreak/>
        <w:t>Para este Colegiado, la inacción del asegurado respecto de</w:t>
      </w:r>
      <w:r w:rsidR="00946AFE" w:rsidRPr="00826E97">
        <w:rPr>
          <w:rFonts w:ascii="Times New Roman" w:hAnsi="Times New Roman" w:cs="Times New Roman"/>
          <w:sz w:val="24"/>
          <w:szCs w:val="24"/>
          <w:lang w:val="es-PE"/>
        </w:rPr>
        <w:t xml:space="preserve"> la </w:t>
      </w:r>
      <w:r w:rsidRPr="00826E97">
        <w:rPr>
          <w:rFonts w:ascii="Times New Roman" w:hAnsi="Times New Roman" w:cs="Times New Roman"/>
          <w:sz w:val="24"/>
          <w:szCs w:val="24"/>
          <w:lang w:val="es-PE"/>
        </w:rPr>
        <w:t>implementa</w:t>
      </w:r>
      <w:r w:rsidR="00946AFE" w:rsidRPr="00826E97">
        <w:rPr>
          <w:rFonts w:ascii="Times New Roman" w:hAnsi="Times New Roman" w:cs="Times New Roman"/>
          <w:sz w:val="24"/>
          <w:szCs w:val="24"/>
          <w:lang w:val="es-PE"/>
        </w:rPr>
        <w:t xml:space="preserve">ción </w:t>
      </w:r>
      <w:r w:rsidRPr="00826E97">
        <w:rPr>
          <w:rFonts w:ascii="Times New Roman" w:hAnsi="Times New Roman" w:cs="Times New Roman"/>
          <w:sz w:val="24"/>
          <w:szCs w:val="24"/>
          <w:lang w:val="es-PE"/>
        </w:rPr>
        <w:t xml:space="preserve">las elementales medidas de seguridad luego del robo de su </w:t>
      </w:r>
      <w:proofErr w:type="gramStart"/>
      <w:r w:rsidRPr="00826E97">
        <w:rPr>
          <w:rFonts w:ascii="Times New Roman" w:hAnsi="Times New Roman" w:cs="Times New Roman"/>
          <w:sz w:val="24"/>
          <w:szCs w:val="24"/>
          <w:lang w:val="es-PE"/>
        </w:rPr>
        <w:t>celular,</w:t>
      </w:r>
      <w:proofErr w:type="gramEnd"/>
      <w:r w:rsidRPr="00826E97">
        <w:rPr>
          <w:rFonts w:ascii="Times New Roman" w:hAnsi="Times New Roman" w:cs="Times New Roman"/>
          <w:sz w:val="24"/>
          <w:szCs w:val="24"/>
          <w:lang w:val="es-PE"/>
        </w:rPr>
        <w:t xml:space="preserve"> constituyen indicios suficientes, para que </w:t>
      </w:r>
      <w:r w:rsidR="00946AFE" w:rsidRPr="00826E97">
        <w:rPr>
          <w:rFonts w:ascii="Times New Roman" w:hAnsi="Times New Roman" w:cs="Times New Roman"/>
          <w:sz w:val="24"/>
          <w:szCs w:val="24"/>
          <w:lang w:val="es-PE"/>
        </w:rPr>
        <w:t xml:space="preserve">fuera </w:t>
      </w:r>
      <w:r w:rsidRPr="00826E97">
        <w:rPr>
          <w:rFonts w:ascii="Times New Roman" w:hAnsi="Times New Roman" w:cs="Times New Roman"/>
          <w:sz w:val="24"/>
          <w:szCs w:val="24"/>
          <w:lang w:val="es-PE"/>
        </w:rPr>
        <w:t>sometido</w:t>
      </w:r>
      <w:r w:rsidR="00946AFE" w:rsidRPr="00826E97">
        <w:rPr>
          <w:rFonts w:ascii="Times New Roman" w:hAnsi="Times New Roman" w:cs="Times New Roman"/>
          <w:sz w:val="24"/>
          <w:szCs w:val="24"/>
          <w:lang w:val="es-PE"/>
        </w:rPr>
        <w:t xml:space="preserve"> adicionalmente</w:t>
      </w:r>
      <w:r w:rsidRPr="00826E97">
        <w:rPr>
          <w:rFonts w:ascii="Times New Roman" w:hAnsi="Times New Roman" w:cs="Times New Roman"/>
          <w:sz w:val="24"/>
          <w:szCs w:val="24"/>
          <w:lang w:val="es-PE"/>
        </w:rPr>
        <w:t xml:space="preserve"> a una pruebe de polígrafo</w:t>
      </w:r>
      <w:r w:rsidR="00E0292D" w:rsidRPr="00826E97">
        <w:rPr>
          <w:rFonts w:ascii="Times New Roman" w:hAnsi="Times New Roman" w:cs="Times New Roman"/>
          <w:sz w:val="24"/>
          <w:szCs w:val="24"/>
          <w:lang w:val="es-PE"/>
        </w:rPr>
        <w:t>.</w:t>
      </w:r>
    </w:p>
    <w:p w14:paraId="3356E798" w14:textId="397141E2" w:rsidR="006E1CCD" w:rsidRPr="00826E97" w:rsidRDefault="004858EC" w:rsidP="00AA287A">
      <w:pPr>
        <w:spacing w:after="200" w:line="240" w:lineRule="auto"/>
        <w:jc w:val="both"/>
        <w:rPr>
          <w:rFonts w:ascii="Times New Roman" w:hAnsi="Times New Roman" w:cs="Times New Roman"/>
          <w:sz w:val="24"/>
          <w:szCs w:val="24"/>
          <w:lang w:val="es-PE"/>
        </w:rPr>
      </w:pPr>
      <w:r w:rsidRPr="00826E97">
        <w:rPr>
          <w:rFonts w:ascii="Times New Roman" w:hAnsi="Times New Roman" w:cs="Times New Roman"/>
          <w:sz w:val="24"/>
          <w:szCs w:val="24"/>
          <w:lang w:val="es-PE"/>
        </w:rPr>
        <w:t>Q</w:t>
      </w:r>
      <w:r w:rsidR="006E1CCD" w:rsidRPr="00826E97">
        <w:rPr>
          <w:rFonts w:ascii="Times New Roman" w:hAnsi="Times New Roman" w:cs="Times New Roman"/>
          <w:sz w:val="24"/>
          <w:szCs w:val="24"/>
          <w:lang w:val="es-PE"/>
        </w:rPr>
        <w:t>ue, en consecuencia, esta Defensoría del Asegurado concluye su apreciación razonada y conjunta al amparo de lo establecido en su Reglamento, por lo que:</w:t>
      </w:r>
    </w:p>
    <w:p w14:paraId="27FF9234" w14:textId="77777777" w:rsidR="006E1CCD" w:rsidRPr="00826E97" w:rsidRDefault="006E1CCD" w:rsidP="00AA287A">
      <w:pPr>
        <w:spacing w:after="200" w:line="240" w:lineRule="auto"/>
        <w:jc w:val="both"/>
        <w:rPr>
          <w:rFonts w:ascii="Times New Roman" w:hAnsi="Times New Roman" w:cs="Times New Roman"/>
          <w:b/>
          <w:bCs/>
          <w:sz w:val="24"/>
          <w:szCs w:val="24"/>
          <w:u w:val="single"/>
          <w:lang w:val="es-PE"/>
        </w:rPr>
      </w:pPr>
      <w:r w:rsidRPr="00826E97">
        <w:rPr>
          <w:rFonts w:ascii="Times New Roman" w:hAnsi="Times New Roman" w:cs="Times New Roman"/>
          <w:b/>
          <w:bCs/>
          <w:sz w:val="24"/>
          <w:szCs w:val="24"/>
          <w:lang w:val="es-PE"/>
        </w:rPr>
        <w:t>RESUELVE:</w:t>
      </w:r>
    </w:p>
    <w:p w14:paraId="27D6AB13" w14:textId="253793B5" w:rsidR="00B541DE" w:rsidRPr="00826E97" w:rsidRDefault="00AB4214" w:rsidP="00AA287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Declarar FUNDADO el Recurso de Impugnación interpuesto por ………………… y, por lo tanto, REVOCA la Resolución n.° 125/25 de fecha 25 de agosto de 2025; en consecuencia, declara INFUNDADO el reclamo interpuesto por el señor ………………… el 19 de febrero de 2025, dejando a salvo su derecho de recurrir ante las instancias que considere pertinentes.</w:t>
      </w:r>
    </w:p>
    <w:p w14:paraId="10ECF88E" w14:textId="4AF85733" w:rsidR="00033B9E" w:rsidRPr="00AA287A" w:rsidRDefault="00033B9E" w:rsidP="00AA287A">
      <w:pPr>
        <w:spacing w:after="200" w:line="240" w:lineRule="auto"/>
        <w:jc w:val="right"/>
        <w:rPr>
          <w:rFonts w:ascii="Times New Roman" w:hAnsi="Times New Roman" w:cs="Times New Roman"/>
          <w:sz w:val="24"/>
          <w:szCs w:val="24"/>
          <w:lang w:val="es-PE"/>
        </w:rPr>
      </w:pPr>
      <w:r w:rsidRPr="00826E97">
        <w:rPr>
          <w:rFonts w:ascii="Times New Roman" w:hAnsi="Times New Roman" w:cs="Times New Roman"/>
          <w:sz w:val="24"/>
          <w:szCs w:val="24"/>
          <w:lang w:val="es-PE"/>
        </w:rPr>
        <w:t xml:space="preserve">Lima, </w:t>
      </w:r>
      <w:r w:rsidR="00D373B3" w:rsidRPr="00826E97">
        <w:rPr>
          <w:rFonts w:ascii="Times New Roman" w:hAnsi="Times New Roman" w:cs="Times New Roman"/>
          <w:sz w:val="24"/>
          <w:szCs w:val="24"/>
          <w:lang w:val="es-PE"/>
        </w:rPr>
        <w:t xml:space="preserve">20 </w:t>
      </w:r>
      <w:r w:rsidRPr="00826E97">
        <w:rPr>
          <w:rFonts w:ascii="Times New Roman" w:hAnsi="Times New Roman" w:cs="Times New Roman"/>
          <w:sz w:val="24"/>
          <w:szCs w:val="24"/>
          <w:lang w:val="es-PE"/>
        </w:rPr>
        <w:t xml:space="preserve">de </w:t>
      </w:r>
      <w:r w:rsidR="00A0075C" w:rsidRPr="00826E97">
        <w:rPr>
          <w:rFonts w:ascii="Times New Roman" w:hAnsi="Times New Roman" w:cs="Times New Roman"/>
          <w:sz w:val="24"/>
          <w:szCs w:val="24"/>
          <w:lang w:val="es-PE"/>
        </w:rPr>
        <w:t>octubre</w:t>
      </w:r>
      <w:r w:rsidR="00304C79" w:rsidRPr="00826E97">
        <w:rPr>
          <w:rFonts w:ascii="Times New Roman" w:hAnsi="Times New Roman" w:cs="Times New Roman"/>
          <w:sz w:val="24"/>
          <w:szCs w:val="24"/>
          <w:lang w:val="es-PE"/>
        </w:rPr>
        <w:t xml:space="preserve"> </w:t>
      </w:r>
      <w:r w:rsidRPr="00826E97">
        <w:rPr>
          <w:rFonts w:ascii="Times New Roman" w:hAnsi="Times New Roman" w:cs="Times New Roman"/>
          <w:sz w:val="24"/>
          <w:szCs w:val="24"/>
          <w:lang w:val="es-PE"/>
        </w:rPr>
        <w:t xml:space="preserve">de 2025 </w:t>
      </w:r>
    </w:p>
    <w:p w14:paraId="6E081B4D" w14:textId="77777777" w:rsidR="00033B9E" w:rsidRPr="00826E97" w:rsidRDefault="00033B9E" w:rsidP="002A6A6E">
      <w:pPr>
        <w:spacing w:after="200" w:line="240" w:lineRule="auto"/>
        <w:jc w:val="both"/>
        <w:rPr>
          <w:rFonts w:ascii="Times New Roman" w:hAnsi="Times New Roman" w:cs="Times New Roman"/>
          <w:b/>
          <w:bCs/>
          <w:i/>
          <w:iCs/>
          <w:sz w:val="24"/>
          <w:szCs w:val="24"/>
          <w:lang w:val="es-PE"/>
        </w:rPr>
      </w:pPr>
      <w:r w:rsidRPr="00826E97">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14:paraId="6C2B4D52" w14:textId="60DEAFF4" w:rsidR="00D373B3" w:rsidRPr="00826E97" w:rsidRDefault="00D373B3" w:rsidP="002A6A6E">
      <w:pPr>
        <w:spacing w:after="0" w:line="360" w:lineRule="auto"/>
        <w:jc w:val="center"/>
        <w:rPr>
          <w:rFonts w:ascii="Times New Roman" w:hAnsi="Times New Roman" w:cs="Times New Roman"/>
          <w:b/>
          <w:bCs/>
          <w:sz w:val="24"/>
          <w:szCs w:val="24"/>
          <w:lang w:val="es-PE"/>
        </w:rPr>
      </w:pPr>
      <w:r w:rsidRPr="00826E97">
        <w:rPr>
          <w:rFonts w:ascii="Times New Roman" w:hAnsi="Times New Roman" w:cs="Times New Roman"/>
          <w:b/>
          <w:bCs/>
          <w:sz w:val="24"/>
          <w:szCs w:val="24"/>
          <w:lang w:val="es-PE"/>
        </w:rPr>
        <w:t xml:space="preserve">Antonio Rodriguez Lobatón – </w:t>
      </w:r>
      <w:proofErr w:type="gramStart"/>
      <w:r w:rsidRPr="00826E97">
        <w:rPr>
          <w:rFonts w:ascii="Times New Roman" w:hAnsi="Times New Roman" w:cs="Times New Roman"/>
          <w:b/>
          <w:bCs/>
          <w:sz w:val="24"/>
          <w:szCs w:val="24"/>
          <w:lang w:val="es-PE"/>
        </w:rPr>
        <w:t>Presidente</w:t>
      </w:r>
      <w:proofErr w:type="gramEnd"/>
    </w:p>
    <w:p w14:paraId="1B6FD469" w14:textId="7B93B247" w:rsidR="00033B9E" w:rsidRPr="00826E97" w:rsidRDefault="00033B9E" w:rsidP="002A6A6E">
      <w:pPr>
        <w:spacing w:after="0" w:line="360" w:lineRule="auto"/>
        <w:jc w:val="center"/>
        <w:rPr>
          <w:rFonts w:ascii="Times New Roman" w:hAnsi="Times New Roman" w:cs="Times New Roman"/>
          <w:b/>
          <w:bCs/>
          <w:sz w:val="24"/>
          <w:szCs w:val="24"/>
          <w:lang w:val="es-PE"/>
        </w:rPr>
      </w:pPr>
      <w:r w:rsidRPr="00826E97">
        <w:rPr>
          <w:rFonts w:ascii="Times New Roman" w:hAnsi="Times New Roman" w:cs="Times New Roman"/>
          <w:b/>
          <w:bCs/>
          <w:sz w:val="24"/>
          <w:szCs w:val="24"/>
          <w:lang w:val="es-PE"/>
        </w:rPr>
        <w:t>María Eugenia Valdez Fernández Baca - Vocal</w:t>
      </w:r>
    </w:p>
    <w:bookmarkEnd w:id="2"/>
    <w:p w14:paraId="2057B52D" w14:textId="5500BA67" w:rsidR="00D373B3" w:rsidRPr="00826E97" w:rsidRDefault="00D373B3" w:rsidP="002A6A6E">
      <w:pPr>
        <w:spacing w:after="0" w:line="360" w:lineRule="auto"/>
        <w:jc w:val="center"/>
        <w:rPr>
          <w:rFonts w:ascii="Times New Roman" w:hAnsi="Times New Roman" w:cs="Times New Roman"/>
          <w:b/>
          <w:bCs/>
          <w:sz w:val="24"/>
          <w:szCs w:val="24"/>
          <w:lang w:val="es-PE"/>
        </w:rPr>
      </w:pPr>
      <w:r w:rsidRPr="00826E97">
        <w:rPr>
          <w:rFonts w:ascii="Times New Roman" w:hAnsi="Times New Roman" w:cs="Times New Roman"/>
          <w:b/>
          <w:bCs/>
          <w:sz w:val="24"/>
          <w:szCs w:val="24"/>
          <w:lang w:val="es-PE"/>
        </w:rPr>
        <w:t xml:space="preserve">Rolando Eyzaguirre </w:t>
      </w:r>
      <w:proofErr w:type="spellStart"/>
      <w:r w:rsidRPr="00826E97">
        <w:rPr>
          <w:rFonts w:ascii="Times New Roman" w:hAnsi="Times New Roman" w:cs="Times New Roman"/>
          <w:b/>
          <w:bCs/>
          <w:sz w:val="24"/>
          <w:szCs w:val="24"/>
          <w:lang w:val="es-PE"/>
        </w:rPr>
        <w:t>Maccan</w:t>
      </w:r>
      <w:proofErr w:type="spellEnd"/>
      <w:r w:rsidRPr="00826E97">
        <w:rPr>
          <w:rFonts w:ascii="Times New Roman" w:hAnsi="Times New Roman" w:cs="Times New Roman"/>
          <w:b/>
          <w:bCs/>
          <w:sz w:val="24"/>
          <w:szCs w:val="24"/>
          <w:lang w:val="es-PE"/>
        </w:rPr>
        <w:t xml:space="preserve"> - </w:t>
      </w:r>
      <w:r w:rsidRPr="00826E97">
        <w:rPr>
          <w:rFonts w:ascii="Times New Roman" w:hAnsi="Times New Roman" w:cs="Times New Roman"/>
          <w:b/>
          <w:bCs/>
          <w:sz w:val="24"/>
          <w:szCs w:val="24"/>
          <w:lang w:val="es-PE"/>
        </w:rPr>
        <w:t>Vocal</w:t>
      </w:r>
    </w:p>
    <w:p w14:paraId="24DF29EA" w14:textId="77777777" w:rsidR="00D373B3" w:rsidRPr="00826E97" w:rsidRDefault="00D373B3" w:rsidP="00F92849">
      <w:pPr>
        <w:spacing w:after="200" w:line="240" w:lineRule="auto"/>
        <w:jc w:val="center"/>
        <w:rPr>
          <w:rFonts w:ascii="Georgia" w:hAnsi="Georgia" w:cs="Times New Roman"/>
          <w:b/>
          <w:bCs/>
          <w:sz w:val="24"/>
          <w:szCs w:val="24"/>
          <w:lang w:val="es-PE"/>
        </w:rPr>
      </w:pPr>
    </w:p>
    <w:sectPr w:rsidR="00D373B3" w:rsidRPr="00826E97" w:rsidSect="002019FA">
      <w:headerReference w:type="default" r:id="rId8"/>
      <w:footerReference w:type="default" r:id="rId9"/>
      <w:headerReference w:type="first" r:id="rId12"/>
      <w:footerReference w:type="first" r:id="rId13"/>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7AA84" w14:textId="77777777" w:rsidR="00D27C3C" w:rsidRDefault="00D27C3C" w:rsidP="00784355">
      <w:pPr>
        <w:spacing w:after="0" w:line="240" w:lineRule="auto"/>
      </w:pPr>
      <w:r>
        <w:separator/>
      </w:r>
    </w:p>
  </w:endnote>
  <w:endnote w:type="continuationSeparator" w:id="0">
    <w:p w14:paraId="1D238886" w14:textId="77777777" w:rsidR="00D27C3C" w:rsidRDefault="00D27C3C"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useo Sans 700">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13C38AB9" w:rsidR="00C671F5" w:rsidRPr="00F94599" w:rsidRDefault="00C671F5">
            <w:pPr>
              <w:pStyle w:val="Piedepgina"/>
              <w:jc w:val="right"/>
              <w:rPr>
                <w:rFonts w:ascii="Times New Roman" w:hAnsi="Times New Roman" w:cs="Times New Roman"/>
                <w:sz w:val="18"/>
                <w:szCs w:val="18"/>
              </w:rPr>
            </w:pPr>
            <w:r w:rsidRPr="00F94599">
              <w:rPr>
                <w:rFonts w:ascii="Times New Roman" w:hAnsi="Times New Roman" w:cs="Times New Roman"/>
                <w:sz w:val="18"/>
                <w:szCs w:val="18"/>
                <w:lang w:val="es-ES"/>
              </w:rPr>
              <w:t xml:space="preserve">Página </w:t>
            </w:r>
            <w:r w:rsidRPr="00F94599">
              <w:rPr>
                <w:rFonts w:ascii="Times New Roman" w:hAnsi="Times New Roman" w:cs="Times New Roman"/>
                <w:b/>
                <w:bCs/>
                <w:sz w:val="18"/>
                <w:szCs w:val="18"/>
              </w:rPr>
              <w:fldChar w:fldCharType="begin"/>
            </w:r>
            <w:r w:rsidRPr="00F94599">
              <w:rPr>
                <w:rFonts w:ascii="Times New Roman" w:hAnsi="Times New Roman" w:cs="Times New Roman"/>
                <w:b/>
                <w:bCs/>
                <w:sz w:val="18"/>
                <w:szCs w:val="18"/>
              </w:rPr>
              <w:instrText>PAGE</w:instrText>
            </w:r>
            <w:r w:rsidRPr="00F94599">
              <w:rPr>
                <w:rFonts w:ascii="Times New Roman" w:hAnsi="Times New Roman" w:cs="Times New Roman"/>
                <w:b/>
                <w:bCs/>
                <w:sz w:val="18"/>
                <w:szCs w:val="18"/>
              </w:rPr>
              <w:fldChar w:fldCharType="separate"/>
            </w:r>
            <w:r w:rsidRPr="00F94599">
              <w:rPr>
                <w:rFonts w:ascii="Times New Roman" w:hAnsi="Times New Roman" w:cs="Times New Roman"/>
                <w:b/>
                <w:bCs/>
                <w:sz w:val="18"/>
                <w:szCs w:val="18"/>
                <w:lang w:val="es-ES"/>
              </w:rPr>
              <w:t>2</w:t>
            </w:r>
            <w:r w:rsidRPr="00F94599">
              <w:rPr>
                <w:rFonts w:ascii="Times New Roman" w:hAnsi="Times New Roman" w:cs="Times New Roman"/>
                <w:b/>
                <w:bCs/>
                <w:sz w:val="18"/>
                <w:szCs w:val="18"/>
              </w:rPr>
              <w:fldChar w:fldCharType="end"/>
            </w:r>
            <w:r w:rsidRPr="00F94599">
              <w:rPr>
                <w:rFonts w:ascii="Times New Roman" w:hAnsi="Times New Roman" w:cs="Times New Roman"/>
                <w:sz w:val="18"/>
                <w:szCs w:val="18"/>
                <w:lang w:val="es-ES"/>
              </w:rPr>
              <w:t xml:space="preserve"> de </w:t>
            </w:r>
            <w:r w:rsidRPr="00F94599">
              <w:rPr>
                <w:rFonts w:ascii="Times New Roman" w:hAnsi="Times New Roman" w:cs="Times New Roman"/>
                <w:b/>
                <w:bCs/>
                <w:sz w:val="18"/>
                <w:szCs w:val="18"/>
              </w:rPr>
              <w:fldChar w:fldCharType="begin"/>
            </w:r>
            <w:r w:rsidRPr="00F94599">
              <w:rPr>
                <w:rFonts w:ascii="Times New Roman" w:hAnsi="Times New Roman" w:cs="Times New Roman"/>
                <w:b/>
                <w:bCs/>
                <w:sz w:val="18"/>
                <w:szCs w:val="18"/>
              </w:rPr>
              <w:instrText>NUMPAGES</w:instrText>
            </w:r>
            <w:r w:rsidRPr="00F94599">
              <w:rPr>
                <w:rFonts w:ascii="Times New Roman" w:hAnsi="Times New Roman" w:cs="Times New Roman"/>
                <w:b/>
                <w:bCs/>
                <w:sz w:val="18"/>
                <w:szCs w:val="18"/>
              </w:rPr>
              <w:fldChar w:fldCharType="separate"/>
            </w:r>
            <w:r w:rsidRPr="00F94599">
              <w:rPr>
                <w:rFonts w:ascii="Times New Roman" w:hAnsi="Times New Roman" w:cs="Times New Roman"/>
                <w:b/>
                <w:bCs/>
                <w:sz w:val="18"/>
                <w:szCs w:val="18"/>
                <w:lang w:val="es-ES"/>
              </w:rPr>
              <w:t>2</w:t>
            </w:r>
            <w:r w:rsidRPr="00F94599">
              <w:rPr>
                <w:rFonts w:ascii="Times New Roman" w:hAnsi="Times New Roman" w:cs="Times New Roman"/>
                <w:b/>
                <w:bCs/>
                <w:sz w:val="18"/>
                <w:szCs w:val="18"/>
              </w:rPr>
              <w:fldChar w:fldCharType="end"/>
            </w:r>
          </w:p>
        </w:sdtContent>
      </w:sdt>
    </w:sdtContent>
  </w:sdt>
  <w:p w14:paraId="3BA05C52" w14:textId="77777777" w:rsidR="00784355" w:rsidRPr="00F94599" w:rsidRDefault="00784355">
    <w:pPr>
      <w:pStyle w:val="Piedepgina"/>
      <w:spacing w:line="240" w:lineRule="auto"/>
      <w:rPr>
        <w:rFonts w:ascii="Times New Roman" w:hAnsi="Times New Roman" w:cs="Times New Roman"/>
        <w:sz w:val="18"/>
        <w:szCs w:val="18"/>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E9AC1" w14:textId="77777777" w:rsidR="00D27C3C" w:rsidRDefault="00D27C3C" w:rsidP="00784355">
      <w:pPr>
        <w:spacing w:after="0" w:line="240" w:lineRule="auto"/>
      </w:pPr>
      <w:r>
        <w:separator/>
      </w:r>
    </w:p>
  </w:footnote>
  <w:footnote w:type="continuationSeparator" w:id="0">
    <w:p w14:paraId="2982BA23" w14:textId="77777777" w:rsidR="00D27C3C" w:rsidRDefault="00D27C3C" w:rsidP="00784355">
      <w:pPr>
        <w:spacing w:after="0" w:line="240" w:lineRule="auto"/>
      </w:pPr>
      <w:r>
        <w:continuationSeparator/>
      </w:r>
    </w:p>
  </w:footnote>
  <w:footnote w:id="1">
    <w:p w14:paraId="5026D32B" w14:textId="77777777" w:rsidR="001035ED" w:rsidRPr="00761481" w:rsidRDefault="001035ED" w:rsidP="00761481">
      <w:pPr>
        <w:pStyle w:val="Textonotapie"/>
        <w:tabs>
          <w:tab w:val="left" w:pos="284"/>
        </w:tabs>
        <w:spacing w:after="60"/>
        <w:ind w:left="284" w:hanging="284"/>
        <w:jc w:val="both"/>
        <w:rPr>
          <w:rFonts w:ascii="Times New Roman" w:hAnsi="Times New Roman" w:cs="Times New Roman"/>
          <w:b/>
          <w:bCs/>
          <w:sz w:val="18"/>
          <w:szCs w:val="18"/>
          <w:lang w:val="es-PE"/>
        </w:rPr>
      </w:pPr>
      <w:r w:rsidRPr="00761481">
        <w:rPr>
          <w:rStyle w:val="Refdenotaalpie"/>
          <w:rFonts w:ascii="Times New Roman" w:hAnsi="Times New Roman" w:cs="Times New Roman"/>
          <w:sz w:val="18"/>
          <w:szCs w:val="18"/>
          <w:lang w:val="es-PE"/>
        </w:rPr>
        <w:footnoteRef/>
      </w:r>
      <w:r w:rsidRPr="00761481">
        <w:rPr>
          <w:rFonts w:ascii="Times New Roman" w:hAnsi="Times New Roman" w:cs="Times New Roman"/>
          <w:sz w:val="18"/>
          <w:szCs w:val="18"/>
          <w:lang w:val="es-PE"/>
        </w:rPr>
        <w:t xml:space="preserve"> </w:t>
      </w:r>
      <w:r w:rsidRPr="00761481">
        <w:rPr>
          <w:rFonts w:ascii="Times New Roman" w:hAnsi="Times New Roman" w:cs="Times New Roman"/>
          <w:sz w:val="18"/>
          <w:szCs w:val="18"/>
          <w:lang w:val="es-PE"/>
        </w:rPr>
        <w:tab/>
      </w:r>
      <w:r w:rsidRPr="00761481">
        <w:rPr>
          <w:rFonts w:ascii="Times New Roman" w:hAnsi="Times New Roman" w:cs="Times New Roman"/>
          <w:b/>
          <w:bCs/>
          <w:sz w:val="18"/>
          <w:szCs w:val="18"/>
          <w:lang w:val="es-PE"/>
        </w:rPr>
        <w:t>Reglamento de DEFASEG</w:t>
      </w:r>
    </w:p>
    <w:p w14:paraId="7C7FF2C2" w14:textId="77777777" w:rsidR="001035ED" w:rsidRPr="00761481" w:rsidRDefault="001035ED" w:rsidP="00761481">
      <w:pPr>
        <w:pStyle w:val="Textonotapie"/>
        <w:tabs>
          <w:tab w:val="left" w:pos="284"/>
        </w:tabs>
        <w:spacing w:after="60"/>
        <w:ind w:left="284" w:hanging="284"/>
        <w:jc w:val="both"/>
        <w:rPr>
          <w:rFonts w:ascii="Times New Roman" w:hAnsi="Times New Roman" w:cs="Times New Roman"/>
          <w:b/>
          <w:bCs/>
          <w:sz w:val="18"/>
          <w:szCs w:val="18"/>
          <w:lang w:val="es-PE"/>
        </w:rPr>
      </w:pPr>
      <w:r w:rsidRPr="00761481">
        <w:rPr>
          <w:rFonts w:ascii="Times New Roman" w:hAnsi="Times New Roman" w:cs="Times New Roman"/>
          <w:sz w:val="18"/>
          <w:szCs w:val="18"/>
          <w:lang w:val="es-PE"/>
        </w:rPr>
        <w:tab/>
      </w:r>
      <w:r w:rsidRPr="00761481">
        <w:rPr>
          <w:rFonts w:ascii="Times New Roman" w:hAnsi="Times New Roman" w:cs="Times New Roman"/>
          <w:b/>
          <w:bCs/>
          <w:sz w:val="18"/>
          <w:szCs w:val="18"/>
          <w:lang w:val="es-PE"/>
        </w:rPr>
        <w:t>10. Procedimiento</w:t>
      </w:r>
    </w:p>
    <w:p w14:paraId="5390EA05" w14:textId="77777777" w:rsidR="001035ED" w:rsidRPr="00761481" w:rsidRDefault="001035ED" w:rsidP="00761481">
      <w:pPr>
        <w:pStyle w:val="Textonotapie"/>
        <w:tabs>
          <w:tab w:val="left" w:pos="284"/>
        </w:tabs>
        <w:spacing w:after="60"/>
        <w:ind w:left="284" w:hanging="284"/>
        <w:jc w:val="both"/>
        <w:rPr>
          <w:rFonts w:ascii="Times New Roman" w:hAnsi="Times New Roman" w:cs="Times New Roman"/>
          <w:sz w:val="18"/>
          <w:szCs w:val="18"/>
          <w:lang w:val="es-PE"/>
        </w:rPr>
      </w:pPr>
      <w:r w:rsidRPr="00761481">
        <w:rPr>
          <w:rFonts w:ascii="Times New Roman" w:hAnsi="Times New Roman" w:cs="Times New Roman"/>
          <w:sz w:val="18"/>
          <w:szCs w:val="18"/>
          <w:lang w:val="es-PE"/>
        </w:rPr>
        <w:tab/>
        <w:t>(…)</w:t>
      </w:r>
    </w:p>
    <w:p w14:paraId="796EB13B" w14:textId="77777777" w:rsidR="001035ED" w:rsidRPr="00761481" w:rsidRDefault="001035ED" w:rsidP="00761481">
      <w:pPr>
        <w:pStyle w:val="Textonotapie"/>
        <w:tabs>
          <w:tab w:val="left" w:pos="284"/>
        </w:tabs>
        <w:spacing w:after="60"/>
        <w:ind w:left="284" w:hanging="284"/>
        <w:jc w:val="both"/>
        <w:rPr>
          <w:rFonts w:ascii="Times New Roman" w:hAnsi="Times New Roman" w:cs="Times New Roman"/>
          <w:sz w:val="18"/>
          <w:szCs w:val="18"/>
          <w:lang w:val="es-PE"/>
        </w:rPr>
      </w:pPr>
      <w:r w:rsidRPr="00761481">
        <w:rPr>
          <w:rFonts w:ascii="Times New Roman" w:hAnsi="Times New Roman" w:cs="Times New Roman"/>
          <w:sz w:val="18"/>
          <w:szCs w:val="18"/>
          <w:lang w:val="es-PE"/>
        </w:rPr>
        <w:tab/>
        <w:t xml:space="preserve">En caso cualquiera de las partes no se encuentre conforme con la decisión adoptada, podrá impugnarla, en el plazo de cinco (5) días hábiles de notificada. </w:t>
      </w:r>
    </w:p>
    <w:p w14:paraId="26922876" w14:textId="77777777" w:rsidR="001035ED" w:rsidRPr="00761481" w:rsidRDefault="001035ED" w:rsidP="00761481">
      <w:pPr>
        <w:pStyle w:val="Textonotapie"/>
        <w:tabs>
          <w:tab w:val="left" w:pos="284"/>
        </w:tabs>
        <w:spacing w:after="120"/>
        <w:ind w:left="284" w:hanging="284"/>
        <w:jc w:val="both"/>
        <w:rPr>
          <w:rFonts w:ascii="Times New Roman" w:hAnsi="Times New Roman" w:cs="Times New Roman"/>
          <w:sz w:val="18"/>
          <w:szCs w:val="18"/>
          <w:lang w:val="es-PE"/>
        </w:rPr>
      </w:pPr>
      <w:r w:rsidRPr="00761481">
        <w:rPr>
          <w:rFonts w:ascii="Times New Roman" w:hAnsi="Times New Roman" w:cs="Times New Roman"/>
          <w:sz w:val="18"/>
          <w:szCs w:val="18"/>
          <w:lang w:val="es-PE"/>
        </w:rPr>
        <w:tab/>
        <w:t>Recibido el recurso, la Defensoría correrá traslado a la otra parte por el plazo de cinco (5) días hábiles para que exprese su posición.</w:t>
      </w:r>
    </w:p>
  </w:footnote>
  <w:footnote w:id="2">
    <w:p w14:paraId="7B3E1EAB" w14:textId="13F46100" w:rsidR="00460F4C" w:rsidRPr="00761481" w:rsidRDefault="00460F4C" w:rsidP="00761481">
      <w:pPr>
        <w:pStyle w:val="Textonotapie"/>
        <w:tabs>
          <w:tab w:val="left" w:pos="284"/>
        </w:tabs>
        <w:spacing w:after="120"/>
        <w:ind w:left="284" w:hanging="284"/>
        <w:jc w:val="both"/>
        <w:rPr>
          <w:rFonts w:ascii="Times New Roman" w:hAnsi="Times New Roman" w:cs="Times New Roman"/>
          <w:sz w:val="18"/>
          <w:szCs w:val="18"/>
          <w:lang w:val="es-MX"/>
        </w:rPr>
      </w:pPr>
      <w:r w:rsidRPr="00761481">
        <w:rPr>
          <w:rStyle w:val="Refdenotaalpie"/>
          <w:rFonts w:ascii="Times New Roman" w:hAnsi="Times New Roman" w:cs="Times New Roman"/>
          <w:sz w:val="18"/>
          <w:szCs w:val="18"/>
        </w:rPr>
        <w:footnoteRef/>
      </w:r>
      <w:r w:rsidRPr="00761481">
        <w:rPr>
          <w:rFonts w:ascii="Times New Roman" w:hAnsi="Times New Roman" w:cs="Times New Roman"/>
          <w:sz w:val="18"/>
          <w:szCs w:val="18"/>
        </w:rPr>
        <w:t xml:space="preserve"> </w:t>
      </w:r>
      <w:bookmarkStart w:id="3" w:name="_Hlk203655722"/>
      <w:r w:rsidRPr="00761481">
        <w:rPr>
          <w:rFonts w:ascii="Times New Roman" w:hAnsi="Times New Roman" w:cs="Times New Roman"/>
          <w:sz w:val="18"/>
          <w:szCs w:val="18"/>
        </w:rPr>
        <w:tab/>
      </w:r>
      <w:r w:rsidRPr="00761481">
        <w:rPr>
          <w:rFonts w:ascii="Times New Roman" w:hAnsi="Times New Roman" w:cs="Times New Roman"/>
          <w:noProof/>
          <w:sz w:val="18"/>
          <w:szCs w:val="18"/>
          <w:lang w:val="es-PE"/>
        </w:rPr>
        <w:t>Resolución DEFASEG n.° 13/10</w:t>
      </w:r>
      <w:bookmarkEnd w:id="3"/>
      <w:r w:rsidRPr="00761481">
        <w:rPr>
          <w:rFonts w:ascii="Times New Roman" w:hAnsi="Times New Roman" w:cs="Times New Roman"/>
          <w:noProof/>
          <w:sz w:val="18"/>
          <w:szCs w:val="18"/>
          <w:lang w:val="es-PE"/>
        </w:rPr>
        <w:t xml:space="preserve"> del 11 de febrero de 2010.</w:t>
      </w:r>
    </w:p>
  </w:footnote>
  <w:footnote w:id="3">
    <w:p w14:paraId="363D3D61" w14:textId="7FAED51A" w:rsidR="006876AA" w:rsidRPr="00761481" w:rsidRDefault="006876AA" w:rsidP="00761481">
      <w:pPr>
        <w:pStyle w:val="Textonotapie"/>
        <w:tabs>
          <w:tab w:val="left" w:pos="284"/>
        </w:tabs>
        <w:spacing w:after="120"/>
        <w:ind w:left="284" w:hanging="284"/>
        <w:jc w:val="both"/>
        <w:rPr>
          <w:rFonts w:ascii="Times New Roman" w:hAnsi="Times New Roman" w:cs="Times New Roman"/>
          <w:sz w:val="18"/>
          <w:szCs w:val="18"/>
          <w:lang w:val="es-PE"/>
        </w:rPr>
      </w:pPr>
      <w:r w:rsidRPr="00761481">
        <w:rPr>
          <w:rStyle w:val="Refdenotaalpie"/>
          <w:rFonts w:ascii="Times New Roman" w:hAnsi="Times New Roman" w:cs="Times New Roman"/>
          <w:sz w:val="18"/>
          <w:szCs w:val="18"/>
          <w:lang w:val="es-PE"/>
        </w:rPr>
        <w:footnoteRef/>
      </w:r>
      <w:r w:rsidRPr="00761481">
        <w:rPr>
          <w:rFonts w:ascii="Times New Roman" w:hAnsi="Times New Roman" w:cs="Times New Roman"/>
          <w:sz w:val="18"/>
          <w:szCs w:val="18"/>
          <w:lang w:val="es-PE"/>
        </w:rPr>
        <w:t xml:space="preserve"> </w:t>
      </w:r>
      <w:r w:rsidRPr="00761481">
        <w:rPr>
          <w:rFonts w:ascii="Times New Roman" w:hAnsi="Times New Roman" w:cs="Times New Roman"/>
          <w:sz w:val="18"/>
          <w:szCs w:val="18"/>
          <w:lang w:val="es-PE"/>
        </w:rPr>
        <w:tab/>
        <w:t>Decreto Legislativo n.° 1033, Ley de Organización y Funciones del Indecopi.</w:t>
      </w:r>
    </w:p>
  </w:footnote>
  <w:footnote w:id="4">
    <w:p w14:paraId="6E23EF72" w14:textId="6807ABE4" w:rsidR="006876AA" w:rsidRPr="00761481" w:rsidRDefault="006876AA" w:rsidP="00761481">
      <w:pPr>
        <w:pStyle w:val="Textonotapie"/>
        <w:tabs>
          <w:tab w:val="left" w:pos="284"/>
        </w:tabs>
        <w:spacing w:after="120"/>
        <w:ind w:left="284" w:hanging="284"/>
        <w:jc w:val="both"/>
        <w:rPr>
          <w:rFonts w:ascii="Times New Roman" w:hAnsi="Times New Roman" w:cs="Times New Roman"/>
          <w:sz w:val="18"/>
          <w:szCs w:val="18"/>
          <w:lang w:val="es-PE"/>
        </w:rPr>
      </w:pPr>
      <w:r w:rsidRPr="00761481">
        <w:rPr>
          <w:rStyle w:val="Refdenotaalpie"/>
          <w:rFonts w:ascii="Times New Roman" w:hAnsi="Times New Roman" w:cs="Times New Roman"/>
          <w:sz w:val="18"/>
          <w:szCs w:val="18"/>
          <w:lang w:val="es-PE"/>
        </w:rPr>
        <w:footnoteRef/>
      </w:r>
      <w:r w:rsidRPr="00761481">
        <w:rPr>
          <w:rFonts w:ascii="Times New Roman" w:hAnsi="Times New Roman" w:cs="Times New Roman"/>
          <w:sz w:val="18"/>
          <w:szCs w:val="18"/>
          <w:lang w:val="es-PE"/>
        </w:rPr>
        <w:t xml:space="preserve"> </w:t>
      </w:r>
      <w:r w:rsidRPr="00761481">
        <w:rPr>
          <w:rFonts w:ascii="Times New Roman" w:hAnsi="Times New Roman" w:cs="Times New Roman"/>
          <w:sz w:val="18"/>
          <w:szCs w:val="18"/>
          <w:lang w:val="es-PE"/>
        </w:rPr>
        <w:tab/>
        <w:t xml:space="preserve">Ley n.° 27332, </w:t>
      </w:r>
      <w:bookmarkStart w:id="4" w:name="_Hlk156957930"/>
      <w:r w:rsidRPr="00761481">
        <w:rPr>
          <w:rFonts w:ascii="Times New Roman" w:hAnsi="Times New Roman" w:cs="Times New Roman"/>
          <w:sz w:val="18"/>
          <w:szCs w:val="18"/>
          <w:lang w:val="es-PE"/>
        </w:rPr>
        <w:t xml:space="preserve">Ley Marco de los Organismos Reguladores de la Inversión Privada en los Servicios </w:t>
      </w:r>
      <w:proofErr w:type="gramStart"/>
      <w:r w:rsidRPr="00761481">
        <w:rPr>
          <w:rFonts w:ascii="Times New Roman" w:hAnsi="Times New Roman" w:cs="Times New Roman"/>
          <w:sz w:val="18"/>
          <w:szCs w:val="18"/>
          <w:lang w:val="es-PE"/>
        </w:rPr>
        <w:t xml:space="preserve">Públicos </w:t>
      </w:r>
      <w:bookmarkEnd w:id="4"/>
      <w:r w:rsidRPr="00761481">
        <w:rPr>
          <w:rFonts w:ascii="Times New Roman" w:hAnsi="Times New Roman" w:cs="Times New Roman"/>
          <w:sz w:val="18"/>
          <w:szCs w:val="18"/>
          <w:lang w:val="es-PE"/>
        </w:rPr>
        <w:t>;</w:t>
      </w:r>
      <w:proofErr w:type="gramEnd"/>
      <w:r w:rsidRPr="00761481">
        <w:rPr>
          <w:rFonts w:ascii="Times New Roman" w:hAnsi="Times New Roman" w:cs="Times New Roman"/>
          <w:sz w:val="18"/>
          <w:szCs w:val="18"/>
          <w:lang w:val="es-PE"/>
        </w:rPr>
        <w:t xml:space="preserve"> Ley n.° 27336, Ley de Desarrollo de las Funciones y Facultades del Organismo Supervisor de Inversión Privada en Telecomunicaciones; y, </w:t>
      </w:r>
      <w:bookmarkStart w:id="5" w:name="_Hlk138777501"/>
      <w:r w:rsidRPr="00761481">
        <w:rPr>
          <w:rFonts w:ascii="Times New Roman" w:hAnsi="Times New Roman" w:cs="Times New Roman"/>
          <w:sz w:val="18"/>
          <w:szCs w:val="18"/>
          <w:lang w:val="es-PE"/>
        </w:rPr>
        <w:t>Resolución n.° 248-2021-CD/OSIPTEL, Nuevo Reglamento de Solución de Controversias</w:t>
      </w:r>
      <w:bookmarkEnd w:id="5"/>
      <w:r w:rsidRPr="00761481">
        <w:rPr>
          <w:rFonts w:ascii="Times New Roman" w:hAnsi="Times New Roman" w:cs="Times New Roman"/>
          <w:sz w:val="18"/>
          <w:szCs w:val="18"/>
          <w:lang w:val="es-PE"/>
        </w:rPr>
        <w:t xml:space="preserve"> entre Empresas. </w:t>
      </w:r>
    </w:p>
  </w:footnote>
  <w:footnote w:id="5">
    <w:p w14:paraId="52273938" w14:textId="246DB523" w:rsidR="008E21A0" w:rsidRPr="00761481" w:rsidRDefault="008E21A0" w:rsidP="00761481">
      <w:pPr>
        <w:pStyle w:val="Textonotapie"/>
        <w:tabs>
          <w:tab w:val="left" w:pos="284"/>
        </w:tabs>
        <w:spacing w:after="120"/>
        <w:ind w:left="284" w:hanging="284"/>
        <w:jc w:val="both"/>
        <w:rPr>
          <w:rFonts w:ascii="Times New Roman" w:hAnsi="Times New Roman" w:cs="Times New Roman"/>
          <w:sz w:val="18"/>
          <w:szCs w:val="18"/>
          <w:lang w:val="es-PE"/>
        </w:rPr>
      </w:pPr>
      <w:r w:rsidRPr="00761481">
        <w:rPr>
          <w:rStyle w:val="Refdenotaalpie"/>
          <w:rFonts w:ascii="Times New Roman" w:hAnsi="Times New Roman" w:cs="Times New Roman"/>
          <w:sz w:val="18"/>
          <w:szCs w:val="18"/>
        </w:rPr>
        <w:footnoteRef/>
      </w:r>
      <w:r w:rsidRPr="00761481">
        <w:rPr>
          <w:rFonts w:ascii="Times New Roman" w:hAnsi="Times New Roman" w:cs="Times New Roman"/>
          <w:sz w:val="18"/>
          <w:szCs w:val="18"/>
        </w:rPr>
        <w:t xml:space="preserve"> </w:t>
      </w:r>
      <w:r w:rsidRPr="00761481">
        <w:rPr>
          <w:rFonts w:ascii="Times New Roman" w:hAnsi="Times New Roman" w:cs="Times New Roman"/>
          <w:sz w:val="18"/>
          <w:szCs w:val="18"/>
        </w:rPr>
        <w:tab/>
      </w:r>
      <w:r w:rsidRPr="00761481">
        <w:rPr>
          <w:rFonts w:ascii="Times New Roman" w:hAnsi="Times New Roman" w:cs="Times New Roman"/>
          <w:sz w:val="18"/>
          <w:szCs w:val="18"/>
          <w:lang w:val="es-PE"/>
        </w:rPr>
        <w:t xml:space="preserve">Decreto Supremo n.° 4-2019-JUS, Texto Único Ordenado de la Ley n.° 27444 -Ley del Procedimiento Administrativo General-. </w:t>
      </w:r>
    </w:p>
  </w:footnote>
  <w:footnote w:id="6">
    <w:p w14:paraId="291DEC48" w14:textId="7B346320" w:rsidR="008A690D" w:rsidRPr="00761481" w:rsidRDefault="00A75B36" w:rsidP="00761481">
      <w:pPr>
        <w:pStyle w:val="Textonotapie"/>
        <w:tabs>
          <w:tab w:val="left" w:pos="284"/>
        </w:tabs>
        <w:spacing w:after="60"/>
        <w:ind w:left="284" w:hanging="284"/>
        <w:jc w:val="both"/>
        <w:rPr>
          <w:rFonts w:ascii="Times New Roman" w:hAnsi="Times New Roman" w:cs="Times New Roman"/>
          <w:sz w:val="18"/>
          <w:szCs w:val="18"/>
          <w:lang w:val="es-PE"/>
        </w:rPr>
      </w:pPr>
      <w:r w:rsidRPr="00761481">
        <w:rPr>
          <w:rStyle w:val="Refdenotaalpie"/>
          <w:rFonts w:ascii="Times New Roman" w:hAnsi="Times New Roman" w:cs="Times New Roman"/>
          <w:sz w:val="18"/>
          <w:szCs w:val="18"/>
        </w:rPr>
        <w:footnoteRef/>
      </w:r>
      <w:r w:rsidRPr="00761481">
        <w:rPr>
          <w:rFonts w:ascii="Times New Roman" w:hAnsi="Times New Roman" w:cs="Times New Roman"/>
          <w:sz w:val="18"/>
          <w:szCs w:val="18"/>
        </w:rPr>
        <w:t xml:space="preserve"> </w:t>
      </w:r>
      <w:r w:rsidRPr="00761481">
        <w:rPr>
          <w:rFonts w:ascii="Times New Roman" w:hAnsi="Times New Roman" w:cs="Times New Roman"/>
          <w:sz w:val="18"/>
          <w:szCs w:val="18"/>
        </w:rPr>
        <w:tab/>
      </w:r>
      <w:r w:rsidR="008A690D" w:rsidRPr="00761481">
        <w:rPr>
          <w:rFonts w:ascii="Times New Roman" w:hAnsi="Times New Roman" w:cs="Times New Roman"/>
          <w:sz w:val="18"/>
          <w:szCs w:val="18"/>
        </w:rPr>
        <w:t xml:space="preserve">Vid. Resolución </w:t>
      </w:r>
      <w:r w:rsidR="008A690D" w:rsidRPr="00761481">
        <w:rPr>
          <w:rFonts w:ascii="Times New Roman" w:hAnsi="Times New Roman" w:cs="Times New Roman"/>
          <w:sz w:val="18"/>
          <w:szCs w:val="18"/>
          <w:lang w:val="es-PE"/>
        </w:rPr>
        <w:t>DEFASEG n.° 21/17 (</w:t>
      </w:r>
      <w:r w:rsidR="008A690D" w:rsidRPr="00761481">
        <w:rPr>
          <w:rFonts w:ascii="Times New Roman" w:hAnsi="Times New Roman" w:cs="Times New Roman"/>
          <w:i/>
          <w:iCs/>
          <w:sz w:val="18"/>
          <w:szCs w:val="18"/>
          <w:u w:val="single"/>
          <w:lang w:val="es-PE"/>
        </w:rPr>
        <w:t>Expediente 3393, Vega Miranda v Rímac</w:t>
      </w:r>
      <w:r w:rsidR="008A690D" w:rsidRPr="00761481">
        <w:rPr>
          <w:rFonts w:ascii="Times New Roman" w:hAnsi="Times New Roman" w:cs="Times New Roman"/>
          <w:sz w:val="18"/>
          <w:szCs w:val="18"/>
          <w:lang w:val="es-PE"/>
        </w:rPr>
        <w:t>) del 20 de febrero de 2017 y Resolución DEFASEG n.° 104/25 (</w:t>
      </w:r>
      <w:r w:rsidR="008A690D" w:rsidRPr="00761481">
        <w:rPr>
          <w:rFonts w:ascii="Times New Roman" w:hAnsi="Times New Roman" w:cs="Times New Roman"/>
          <w:i/>
          <w:iCs/>
          <w:sz w:val="18"/>
          <w:szCs w:val="18"/>
          <w:u w:val="single"/>
          <w:lang w:val="es-PE"/>
        </w:rPr>
        <w:t>Expediente 6234, Vásquez Oruna v Quálitas</w:t>
      </w:r>
      <w:r w:rsidR="008A690D" w:rsidRPr="00761481">
        <w:rPr>
          <w:rFonts w:ascii="Times New Roman" w:hAnsi="Times New Roman" w:cs="Times New Roman"/>
          <w:sz w:val="18"/>
          <w:szCs w:val="18"/>
          <w:lang w:val="es-PE"/>
        </w:rPr>
        <w:t>) del 8 de julio de 2025.</w:t>
      </w:r>
    </w:p>
  </w:footnote>
  <w:footnote w:id="7">
    <w:p w14:paraId="06142DF8" w14:textId="14067532" w:rsidR="008A690D" w:rsidRPr="00761481" w:rsidRDefault="008A690D" w:rsidP="00761481">
      <w:pPr>
        <w:pStyle w:val="Textonotapie"/>
        <w:tabs>
          <w:tab w:val="left" w:pos="284"/>
        </w:tabs>
        <w:spacing w:after="60"/>
        <w:ind w:left="284" w:hanging="284"/>
        <w:jc w:val="both"/>
        <w:rPr>
          <w:rFonts w:ascii="Times New Roman" w:hAnsi="Times New Roman" w:cs="Times New Roman"/>
          <w:sz w:val="18"/>
          <w:szCs w:val="18"/>
          <w:lang w:val="es-MX"/>
        </w:rPr>
      </w:pPr>
      <w:r w:rsidRPr="00761481">
        <w:rPr>
          <w:rStyle w:val="Refdenotaalpie"/>
          <w:rFonts w:ascii="Times New Roman" w:hAnsi="Times New Roman" w:cs="Times New Roman"/>
          <w:sz w:val="18"/>
          <w:szCs w:val="18"/>
        </w:rPr>
        <w:footnoteRef/>
      </w:r>
      <w:r w:rsidRPr="00761481">
        <w:rPr>
          <w:rFonts w:ascii="Times New Roman" w:hAnsi="Times New Roman" w:cs="Times New Roman"/>
          <w:sz w:val="18"/>
          <w:szCs w:val="18"/>
        </w:rPr>
        <w:t xml:space="preserve"> </w:t>
      </w:r>
      <w:r w:rsidRPr="00761481">
        <w:rPr>
          <w:rFonts w:ascii="Times New Roman" w:hAnsi="Times New Roman" w:cs="Times New Roman"/>
          <w:sz w:val="18"/>
          <w:szCs w:val="18"/>
        </w:rPr>
        <w:tab/>
      </w:r>
      <w:r w:rsidRPr="00761481">
        <w:rPr>
          <w:rFonts w:ascii="Times New Roman" w:hAnsi="Times New Roman" w:cs="Times New Roman"/>
          <w:sz w:val="18"/>
          <w:szCs w:val="18"/>
          <w:lang w:val="es-PE"/>
        </w:rPr>
        <w:t>Vid. Resolución DEFASEG n.° 33/22 (</w:t>
      </w:r>
      <w:r w:rsidRPr="00761481">
        <w:rPr>
          <w:rFonts w:ascii="Times New Roman" w:hAnsi="Times New Roman" w:cs="Times New Roman"/>
          <w:i/>
          <w:iCs/>
          <w:sz w:val="18"/>
          <w:szCs w:val="18"/>
          <w:u w:val="single"/>
          <w:lang w:val="es-PE"/>
        </w:rPr>
        <w:t>Expediente n.° 4916,</w:t>
      </w:r>
      <w:r w:rsidR="00712A62" w:rsidRPr="00761481">
        <w:rPr>
          <w:rFonts w:ascii="Times New Roman" w:hAnsi="Times New Roman" w:cs="Times New Roman"/>
          <w:i/>
          <w:iCs/>
          <w:sz w:val="18"/>
          <w:szCs w:val="18"/>
          <w:u w:val="single"/>
          <w:lang w:val="es-PE"/>
        </w:rPr>
        <w:t xml:space="preserve"> </w:t>
      </w:r>
      <w:r w:rsidRPr="00761481">
        <w:rPr>
          <w:rFonts w:ascii="Times New Roman" w:hAnsi="Times New Roman" w:cs="Times New Roman"/>
          <w:i/>
          <w:iCs/>
          <w:sz w:val="18"/>
          <w:szCs w:val="18"/>
          <w:u w:val="single"/>
          <w:lang w:val="es-PE"/>
        </w:rPr>
        <w:t>Lazo Dávila v. Rímac</w:t>
      </w:r>
      <w:r w:rsidRPr="00761481">
        <w:rPr>
          <w:rFonts w:ascii="Times New Roman" w:hAnsi="Times New Roman" w:cs="Times New Roman"/>
          <w:sz w:val="18"/>
          <w:szCs w:val="18"/>
          <w:lang w:val="es-PE"/>
        </w:rPr>
        <w:t xml:space="preserve">) </w:t>
      </w:r>
      <w:r w:rsidR="00D41162" w:rsidRPr="00761481">
        <w:rPr>
          <w:rFonts w:ascii="Times New Roman" w:hAnsi="Times New Roman" w:cs="Times New Roman"/>
          <w:sz w:val="18"/>
          <w:szCs w:val="18"/>
          <w:lang w:val="es-PE"/>
        </w:rPr>
        <w:t xml:space="preserve">de fecha </w:t>
      </w:r>
      <w:r w:rsidRPr="00761481">
        <w:rPr>
          <w:rFonts w:ascii="Times New Roman" w:hAnsi="Times New Roman" w:cs="Times New Roman"/>
          <w:sz w:val="18"/>
          <w:szCs w:val="18"/>
          <w:lang w:val="es-PE"/>
        </w:rPr>
        <w:t>22 de febrero de 2022</w:t>
      </w:r>
      <w:r w:rsidR="00D41162" w:rsidRPr="00761481">
        <w:rPr>
          <w:rFonts w:ascii="Times New Roman" w:hAnsi="Times New Roman" w:cs="Times New Roman"/>
          <w:sz w:val="18"/>
          <w:szCs w:val="18"/>
          <w:lang w:val="es-PE"/>
        </w:rPr>
        <w:t xml:space="preserve"> y </w:t>
      </w:r>
      <w:r w:rsidRPr="00761481">
        <w:rPr>
          <w:rFonts w:ascii="Times New Roman" w:hAnsi="Times New Roman" w:cs="Times New Roman"/>
          <w:sz w:val="18"/>
          <w:szCs w:val="18"/>
          <w:lang w:val="es-PE"/>
        </w:rPr>
        <w:t>Resolución DEFASEG n.° 54/25 (</w:t>
      </w:r>
      <w:r w:rsidRPr="00761481">
        <w:rPr>
          <w:rFonts w:ascii="Times New Roman" w:hAnsi="Times New Roman" w:cs="Times New Roman"/>
          <w:i/>
          <w:iCs/>
          <w:sz w:val="18"/>
          <w:szCs w:val="18"/>
          <w:u w:val="single"/>
          <w:lang w:val="es-PE"/>
        </w:rPr>
        <w:t>Expediente n.° 6117, Linares Barreda v. MAPFRE</w:t>
      </w:r>
      <w:r w:rsidRPr="00761481">
        <w:rPr>
          <w:rFonts w:ascii="Times New Roman" w:hAnsi="Times New Roman" w:cs="Times New Roman"/>
          <w:sz w:val="18"/>
          <w:szCs w:val="18"/>
          <w:lang w:val="es-PE"/>
        </w:rPr>
        <w:t>)</w:t>
      </w:r>
      <w:r w:rsidR="00D41162" w:rsidRPr="00761481">
        <w:rPr>
          <w:rFonts w:ascii="Times New Roman" w:hAnsi="Times New Roman" w:cs="Times New Roman"/>
          <w:sz w:val="18"/>
          <w:szCs w:val="18"/>
          <w:lang w:val="es-PE"/>
        </w:rPr>
        <w:t xml:space="preserve"> de fecha 4 de abril de 2025.</w:t>
      </w:r>
    </w:p>
  </w:footnote>
  <w:footnote w:id="8">
    <w:p w14:paraId="15670F94" w14:textId="77777777" w:rsidR="007C1AD6" w:rsidRPr="00761481" w:rsidRDefault="007C1AD6" w:rsidP="00761481">
      <w:pPr>
        <w:pStyle w:val="Textonotapie"/>
        <w:tabs>
          <w:tab w:val="left" w:pos="284"/>
        </w:tabs>
        <w:spacing w:after="60"/>
        <w:ind w:left="284" w:hanging="284"/>
        <w:jc w:val="both"/>
        <w:rPr>
          <w:rFonts w:ascii="Times New Roman" w:hAnsi="Times New Roman" w:cs="Times New Roman"/>
          <w:sz w:val="18"/>
          <w:szCs w:val="18"/>
          <w:lang w:val="es-PE"/>
        </w:rPr>
      </w:pPr>
      <w:r w:rsidRPr="00761481">
        <w:rPr>
          <w:rStyle w:val="Refdenotaalpie"/>
          <w:rFonts w:ascii="Times New Roman" w:hAnsi="Times New Roman" w:cs="Times New Roman"/>
          <w:sz w:val="18"/>
          <w:szCs w:val="18"/>
          <w:lang w:val="es-PE"/>
        </w:rPr>
        <w:footnoteRef/>
      </w:r>
      <w:r w:rsidRPr="00761481">
        <w:rPr>
          <w:rFonts w:ascii="Times New Roman" w:hAnsi="Times New Roman" w:cs="Times New Roman"/>
          <w:sz w:val="18"/>
          <w:szCs w:val="18"/>
          <w:lang w:val="es-PE"/>
        </w:rPr>
        <w:t xml:space="preserve"> </w:t>
      </w:r>
      <w:r w:rsidRPr="00761481">
        <w:rPr>
          <w:rFonts w:ascii="Times New Roman" w:hAnsi="Times New Roman" w:cs="Times New Roman"/>
          <w:sz w:val="18"/>
          <w:szCs w:val="18"/>
          <w:lang w:val="es-PE"/>
        </w:rPr>
        <w:tab/>
      </w:r>
      <w:r w:rsidRPr="00761481">
        <w:rPr>
          <w:rFonts w:ascii="Times New Roman" w:hAnsi="Times New Roman" w:cs="Times New Roman"/>
          <w:b/>
          <w:bCs/>
          <w:sz w:val="18"/>
          <w:szCs w:val="18"/>
          <w:lang w:val="es-PE"/>
        </w:rPr>
        <w:t>Ley del Contrato de Seguro</w:t>
      </w:r>
    </w:p>
    <w:p w14:paraId="2DCD6CAB" w14:textId="77777777" w:rsidR="007C1AD6" w:rsidRPr="00761481" w:rsidRDefault="007C1AD6" w:rsidP="00761481">
      <w:pPr>
        <w:pStyle w:val="Textonotapie"/>
        <w:tabs>
          <w:tab w:val="left" w:pos="284"/>
        </w:tabs>
        <w:spacing w:after="60"/>
        <w:ind w:left="284" w:hanging="284"/>
        <w:jc w:val="both"/>
        <w:rPr>
          <w:rFonts w:ascii="Times New Roman" w:hAnsi="Times New Roman" w:cs="Times New Roman"/>
          <w:b/>
          <w:bCs/>
          <w:sz w:val="18"/>
          <w:szCs w:val="18"/>
          <w:lang w:val="es-PE"/>
        </w:rPr>
      </w:pPr>
      <w:r w:rsidRPr="00761481">
        <w:rPr>
          <w:rFonts w:ascii="Times New Roman" w:hAnsi="Times New Roman" w:cs="Times New Roman"/>
          <w:sz w:val="18"/>
          <w:szCs w:val="18"/>
          <w:lang w:val="es-PE"/>
        </w:rPr>
        <w:tab/>
      </w:r>
      <w:r w:rsidRPr="00761481">
        <w:rPr>
          <w:rFonts w:ascii="Times New Roman" w:hAnsi="Times New Roman" w:cs="Times New Roman"/>
          <w:b/>
          <w:bCs/>
          <w:sz w:val="18"/>
          <w:szCs w:val="18"/>
          <w:lang w:val="es-PE"/>
        </w:rPr>
        <w:t>Artículo 73.- Fraude</w:t>
      </w:r>
    </w:p>
    <w:p w14:paraId="3CCEB609" w14:textId="77777777" w:rsidR="007C1AD6" w:rsidRPr="00761481" w:rsidRDefault="007C1AD6" w:rsidP="00761481">
      <w:pPr>
        <w:pStyle w:val="Textonotapie"/>
        <w:tabs>
          <w:tab w:val="left" w:pos="284"/>
        </w:tabs>
        <w:spacing w:after="120"/>
        <w:ind w:left="284" w:hanging="284"/>
        <w:jc w:val="both"/>
        <w:rPr>
          <w:rFonts w:ascii="Times New Roman" w:hAnsi="Times New Roman" w:cs="Times New Roman"/>
          <w:sz w:val="18"/>
          <w:szCs w:val="18"/>
          <w:lang w:val="es-PE"/>
        </w:rPr>
      </w:pPr>
      <w:r w:rsidRPr="00761481">
        <w:rPr>
          <w:rFonts w:ascii="Times New Roman" w:hAnsi="Times New Roman" w:cs="Times New Roman"/>
          <w:sz w:val="18"/>
          <w:szCs w:val="18"/>
          <w:lang w:val="es-PE"/>
        </w:rPr>
        <w:tab/>
        <w:t>El asegurado pierde el derecho a ser indemnizado si actúa fraudulentamente, exagera los daños o emplea medios falsos para probarlos.</w:t>
      </w:r>
    </w:p>
  </w:footnote>
  <w:footnote w:id="9">
    <w:p w14:paraId="612A4FE8" w14:textId="77777777" w:rsidR="007C1AD6" w:rsidRPr="00761481" w:rsidRDefault="007C1AD6" w:rsidP="00761481">
      <w:pPr>
        <w:pStyle w:val="Textonotapie"/>
        <w:tabs>
          <w:tab w:val="left" w:pos="284"/>
        </w:tabs>
        <w:spacing w:after="60"/>
        <w:ind w:left="284" w:hanging="284"/>
        <w:jc w:val="both"/>
        <w:rPr>
          <w:rFonts w:ascii="Times New Roman" w:hAnsi="Times New Roman" w:cs="Times New Roman"/>
          <w:sz w:val="18"/>
          <w:szCs w:val="18"/>
          <w:lang w:val="es-PE"/>
        </w:rPr>
      </w:pPr>
      <w:r w:rsidRPr="00761481">
        <w:rPr>
          <w:rStyle w:val="Refdenotaalpie"/>
          <w:rFonts w:ascii="Times New Roman" w:hAnsi="Times New Roman" w:cs="Times New Roman"/>
          <w:sz w:val="18"/>
          <w:szCs w:val="18"/>
          <w:lang w:val="es-PE"/>
        </w:rPr>
        <w:footnoteRef/>
      </w:r>
      <w:r w:rsidRPr="00761481">
        <w:rPr>
          <w:rFonts w:ascii="Times New Roman" w:hAnsi="Times New Roman" w:cs="Times New Roman"/>
          <w:sz w:val="18"/>
          <w:szCs w:val="18"/>
          <w:lang w:val="es-PE"/>
        </w:rPr>
        <w:t xml:space="preserve"> </w:t>
      </w:r>
      <w:r w:rsidRPr="00761481">
        <w:rPr>
          <w:rFonts w:ascii="Times New Roman" w:hAnsi="Times New Roman" w:cs="Times New Roman"/>
          <w:sz w:val="18"/>
          <w:szCs w:val="18"/>
          <w:lang w:val="es-PE"/>
        </w:rPr>
        <w:tab/>
      </w:r>
      <w:r w:rsidRPr="00761481">
        <w:rPr>
          <w:rFonts w:ascii="Times New Roman" w:hAnsi="Times New Roman" w:cs="Times New Roman"/>
          <w:b/>
          <w:bCs/>
          <w:sz w:val="18"/>
          <w:szCs w:val="18"/>
          <w:lang w:val="es-PE"/>
        </w:rPr>
        <w:t>Ley del Contrato de Seguro</w:t>
      </w:r>
    </w:p>
    <w:p w14:paraId="2F4872EA" w14:textId="77777777" w:rsidR="007C1AD6" w:rsidRPr="00761481" w:rsidRDefault="007C1AD6" w:rsidP="00761481">
      <w:pPr>
        <w:pStyle w:val="Textonotapie"/>
        <w:tabs>
          <w:tab w:val="left" w:pos="284"/>
        </w:tabs>
        <w:spacing w:after="60"/>
        <w:ind w:left="284" w:hanging="284"/>
        <w:jc w:val="both"/>
        <w:rPr>
          <w:rFonts w:ascii="Times New Roman" w:hAnsi="Times New Roman" w:cs="Times New Roman"/>
          <w:b/>
          <w:bCs/>
          <w:sz w:val="18"/>
          <w:szCs w:val="18"/>
          <w:lang w:val="es-PE"/>
        </w:rPr>
      </w:pPr>
      <w:r w:rsidRPr="00761481">
        <w:rPr>
          <w:rFonts w:ascii="Times New Roman" w:hAnsi="Times New Roman" w:cs="Times New Roman"/>
          <w:b/>
          <w:bCs/>
          <w:sz w:val="18"/>
          <w:szCs w:val="18"/>
          <w:lang w:val="es-PE"/>
        </w:rPr>
        <w:tab/>
        <w:t>Artículo 69.- Informaciones</w:t>
      </w:r>
    </w:p>
    <w:p w14:paraId="096D499C" w14:textId="77777777" w:rsidR="007C1AD6" w:rsidRPr="00761481" w:rsidRDefault="007C1AD6" w:rsidP="00761481">
      <w:pPr>
        <w:pStyle w:val="Textonotapie"/>
        <w:tabs>
          <w:tab w:val="left" w:pos="284"/>
        </w:tabs>
        <w:spacing w:after="120"/>
        <w:ind w:left="284" w:hanging="284"/>
        <w:jc w:val="both"/>
        <w:rPr>
          <w:rFonts w:ascii="Times New Roman" w:hAnsi="Times New Roman" w:cs="Times New Roman"/>
          <w:sz w:val="18"/>
          <w:szCs w:val="18"/>
          <w:lang w:val="es-PE"/>
        </w:rPr>
      </w:pPr>
      <w:r w:rsidRPr="00761481">
        <w:rPr>
          <w:rFonts w:ascii="Times New Roman" w:hAnsi="Times New Roman" w:cs="Times New Roman"/>
          <w:sz w:val="18"/>
          <w:szCs w:val="18"/>
          <w:lang w:val="es-PE"/>
        </w:rPr>
        <w:tab/>
        <w:t xml:space="preserve">Sin perjuicio de lo dispuesto en el artículo anterior, el contratante, el asegurado o el beneficiario deben suministrar al asegurador, a su pedido, la información veraz, razonable y necesaria para verificar el siniestro o la extensión de la prestación a su cargo y </w:t>
      </w:r>
      <w:proofErr w:type="gramStart"/>
      <w:r w:rsidRPr="00761481">
        <w:rPr>
          <w:rFonts w:ascii="Times New Roman" w:hAnsi="Times New Roman" w:cs="Times New Roman"/>
          <w:sz w:val="18"/>
          <w:szCs w:val="18"/>
          <w:lang w:val="es-PE"/>
        </w:rPr>
        <w:t>permitirle</w:t>
      </w:r>
      <w:proofErr w:type="gramEnd"/>
      <w:r w:rsidRPr="00761481">
        <w:rPr>
          <w:rFonts w:ascii="Times New Roman" w:hAnsi="Times New Roman" w:cs="Times New Roman"/>
          <w:sz w:val="18"/>
          <w:szCs w:val="18"/>
          <w:lang w:val="es-PE"/>
        </w:rPr>
        <w:t xml:space="preserve"> las indagaciones necesarias a tales fines.</w:t>
      </w:r>
    </w:p>
  </w:footnote>
  <w:footnote w:id="10">
    <w:p w14:paraId="7258FBAF" w14:textId="012BBDBB" w:rsidR="00385D6C" w:rsidRPr="00761481" w:rsidRDefault="00385D6C" w:rsidP="00761481">
      <w:pPr>
        <w:pStyle w:val="Textonotapie"/>
        <w:tabs>
          <w:tab w:val="left" w:pos="284"/>
        </w:tabs>
        <w:spacing w:after="120"/>
        <w:ind w:left="284" w:hanging="284"/>
        <w:jc w:val="both"/>
        <w:rPr>
          <w:rFonts w:ascii="Times New Roman" w:hAnsi="Times New Roman" w:cs="Times New Roman"/>
          <w:sz w:val="18"/>
          <w:szCs w:val="18"/>
          <w:lang w:val="es-PE"/>
        </w:rPr>
      </w:pPr>
      <w:r w:rsidRPr="00761481">
        <w:rPr>
          <w:rStyle w:val="Refdenotaalpie"/>
          <w:rFonts w:ascii="Times New Roman" w:hAnsi="Times New Roman" w:cs="Times New Roman"/>
          <w:sz w:val="18"/>
          <w:szCs w:val="18"/>
        </w:rPr>
        <w:footnoteRef/>
      </w:r>
      <w:r w:rsidRPr="00761481">
        <w:rPr>
          <w:rFonts w:ascii="Times New Roman" w:hAnsi="Times New Roman" w:cs="Times New Roman"/>
          <w:sz w:val="18"/>
          <w:szCs w:val="18"/>
        </w:rPr>
        <w:t xml:space="preserve"> </w:t>
      </w:r>
      <w:r w:rsidRPr="00761481">
        <w:rPr>
          <w:rFonts w:ascii="Times New Roman" w:hAnsi="Times New Roman" w:cs="Times New Roman"/>
          <w:sz w:val="18"/>
          <w:szCs w:val="18"/>
        </w:rPr>
        <w:tab/>
      </w:r>
      <w:r w:rsidRPr="00761481">
        <w:rPr>
          <w:rFonts w:ascii="Times New Roman" w:hAnsi="Times New Roman" w:cs="Times New Roman"/>
          <w:sz w:val="18"/>
          <w:szCs w:val="18"/>
          <w:lang w:val="es-PE"/>
        </w:rPr>
        <w:t>FAIGMAN, David L., Stephen E. FIENBERG y Paul C. STERN. «</w:t>
      </w:r>
      <w:r w:rsidRPr="00761481">
        <w:rPr>
          <w:rFonts w:ascii="Times New Roman" w:hAnsi="Times New Roman" w:cs="Times New Roman"/>
          <w:i/>
          <w:iCs/>
          <w:sz w:val="18"/>
          <w:szCs w:val="18"/>
          <w:lang w:val="es-PE"/>
        </w:rPr>
        <w:t>The Limits of the Polygraph». Issues inScience and Technology</w:t>
      </w:r>
      <w:r w:rsidRPr="00761481">
        <w:rPr>
          <w:rFonts w:ascii="Times New Roman" w:hAnsi="Times New Roman" w:cs="Times New Roman"/>
          <w:sz w:val="18"/>
          <w:szCs w:val="18"/>
          <w:lang w:val="es-PE"/>
        </w:rPr>
        <w:t>, 20(1) (otoño de 2003) [en línea]. En: https://issues.org/faigman-polygraph-lie-detector-limits-accuracy/ (Consulta: 12 de octubre de 2025).</w:t>
      </w:r>
    </w:p>
  </w:footnote>
  <w:footnote w:id="11">
    <w:p w14:paraId="40ADADE7" w14:textId="77777777" w:rsidR="007C1AD6" w:rsidRPr="00761481" w:rsidRDefault="007C1AD6" w:rsidP="00761481">
      <w:pPr>
        <w:pStyle w:val="Textonotapie"/>
        <w:tabs>
          <w:tab w:val="left" w:pos="284"/>
        </w:tabs>
        <w:spacing w:after="120"/>
        <w:ind w:left="284" w:hanging="284"/>
        <w:jc w:val="both"/>
        <w:rPr>
          <w:rFonts w:ascii="Times New Roman" w:hAnsi="Times New Roman" w:cs="Times New Roman"/>
          <w:sz w:val="18"/>
          <w:szCs w:val="18"/>
          <w:lang w:val="es-PE"/>
        </w:rPr>
      </w:pPr>
      <w:r w:rsidRPr="00761481">
        <w:rPr>
          <w:rStyle w:val="Refdenotaalpie"/>
          <w:rFonts w:ascii="Times New Roman" w:hAnsi="Times New Roman" w:cs="Times New Roman"/>
          <w:sz w:val="18"/>
          <w:szCs w:val="18"/>
          <w:lang w:val="es-PE"/>
        </w:rPr>
        <w:footnoteRef/>
      </w:r>
      <w:r w:rsidRPr="00761481">
        <w:rPr>
          <w:rFonts w:ascii="Times New Roman" w:hAnsi="Times New Roman" w:cs="Times New Roman"/>
          <w:sz w:val="18"/>
          <w:szCs w:val="18"/>
          <w:lang w:val="es-PE"/>
        </w:rPr>
        <w:t xml:space="preserve"> </w:t>
      </w:r>
      <w:r w:rsidRPr="00761481">
        <w:rPr>
          <w:rFonts w:ascii="Times New Roman" w:hAnsi="Times New Roman" w:cs="Times New Roman"/>
          <w:sz w:val="18"/>
          <w:szCs w:val="18"/>
          <w:lang w:val="es-PE"/>
        </w:rPr>
        <w:tab/>
      </w:r>
      <w:proofErr w:type="gramStart"/>
      <w:r w:rsidRPr="00761481">
        <w:rPr>
          <w:rFonts w:ascii="Times New Roman" w:hAnsi="Times New Roman" w:cs="Times New Roman"/>
          <w:sz w:val="18"/>
          <w:szCs w:val="18"/>
          <w:lang w:val="es-PE"/>
        </w:rPr>
        <w:t>Véase</w:t>
      </w:r>
      <w:proofErr w:type="gramEnd"/>
      <w:r w:rsidRPr="00761481">
        <w:rPr>
          <w:rFonts w:ascii="Times New Roman" w:hAnsi="Times New Roman" w:cs="Times New Roman"/>
          <w:sz w:val="18"/>
          <w:szCs w:val="18"/>
          <w:lang w:val="es-PE"/>
        </w:rPr>
        <w:t xml:space="preserve"> por ejemplo, Resolución DEFASEG n.° 40/25 (</w:t>
      </w:r>
      <w:r w:rsidRPr="00761481">
        <w:rPr>
          <w:rFonts w:ascii="Times New Roman" w:hAnsi="Times New Roman" w:cs="Times New Roman"/>
          <w:i/>
          <w:iCs/>
          <w:sz w:val="18"/>
          <w:szCs w:val="18"/>
          <w:u w:val="single"/>
          <w:lang w:val="es-PE"/>
        </w:rPr>
        <w:t>Expediente n.° 6279, Caso Paredes Colorado v</w:t>
      </w:r>
      <w:bookmarkStart w:id="7" w:name="OLE_LINK2"/>
      <w:r w:rsidRPr="00761481">
        <w:rPr>
          <w:rFonts w:ascii="Times New Roman" w:hAnsi="Times New Roman" w:cs="Times New Roman"/>
          <w:i/>
          <w:iCs/>
          <w:sz w:val="18"/>
          <w:szCs w:val="18"/>
          <w:u w:val="single"/>
          <w:lang w:val="es-PE"/>
        </w:rPr>
        <w:t>. Interseguro</w:t>
      </w:r>
      <w:r w:rsidRPr="00761481">
        <w:rPr>
          <w:rFonts w:ascii="Times New Roman" w:hAnsi="Times New Roman" w:cs="Times New Roman"/>
          <w:sz w:val="18"/>
          <w:szCs w:val="18"/>
          <w:lang w:val="es-PE"/>
        </w:rPr>
        <w:t xml:space="preserve">) del </w:t>
      </w:r>
      <w:bookmarkEnd w:id="7"/>
      <w:r w:rsidRPr="00761481">
        <w:rPr>
          <w:rFonts w:ascii="Times New Roman" w:hAnsi="Times New Roman" w:cs="Times New Roman"/>
          <w:sz w:val="18"/>
          <w:szCs w:val="18"/>
          <w:lang w:val="es-PE"/>
        </w:rPr>
        <w:t>4 de agosto de 2025.</w:t>
      </w:r>
    </w:p>
  </w:footnote>
  <w:footnote w:id="12">
    <w:p w14:paraId="7A30CF3D" w14:textId="73B3A658" w:rsidR="00737EF5" w:rsidRPr="00761481" w:rsidRDefault="001E51BE" w:rsidP="00761481">
      <w:pPr>
        <w:pStyle w:val="Textonotapie"/>
        <w:tabs>
          <w:tab w:val="left" w:pos="284"/>
        </w:tabs>
        <w:spacing w:after="120"/>
        <w:ind w:left="284" w:hanging="284"/>
        <w:jc w:val="both"/>
        <w:rPr>
          <w:rFonts w:ascii="Times New Roman" w:hAnsi="Times New Roman" w:cs="Times New Roman"/>
          <w:sz w:val="18"/>
          <w:szCs w:val="18"/>
        </w:rPr>
      </w:pPr>
      <w:r w:rsidRPr="00761481">
        <w:rPr>
          <w:rStyle w:val="Refdenotaalpie"/>
          <w:rFonts w:ascii="Times New Roman" w:hAnsi="Times New Roman" w:cs="Times New Roman"/>
          <w:sz w:val="18"/>
          <w:szCs w:val="18"/>
        </w:rPr>
        <w:footnoteRef/>
      </w:r>
      <w:r w:rsidRPr="00761481">
        <w:rPr>
          <w:rFonts w:ascii="Times New Roman" w:hAnsi="Times New Roman" w:cs="Times New Roman"/>
          <w:sz w:val="18"/>
          <w:szCs w:val="18"/>
        </w:rPr>
        <w:t xml:space="preserve"> </w:t>
      </w:r>
      <w:r w:rsidR="00737EF5" w:rsidRPr="00761481">
        <w:rPr>
          <w:rFonts w:ascii="Times New Roman" w:hAnsi="Times New Roman" w:cs="Times New Roman"/>
          <w:sz w:val="18"/>
          <w:szCs w:val="18"/>
        </w:rPr>
        <w:tab/>
      </w:r>
      <w:r w:rsidR="00737EF5" w:rsidRPr="00761481">
        <w:rPr>
          <w:rFonts w:ascii="Times New Roman" w:hAnsi="Times New Roman" w:cs="Times New Roman"/>
          <w:sz w:val="18"/>
          <w:szCs w:val="18"/>
          <w:lang w:val="es-PE"/>
        </w:rPr>
        <w:t xml:space="preserve">BCP: </w:t>
      </w:r>
      <w:r w:rsidR="00737EF5" w:rsidRPr="00761481">
        <w:rPr>
          <w:rFonts w:ascii="Times New Roman" w:hAnsi="Times New Roman" w:cs="Times New Roman"/>
          <w:i/>
          <w:iCs/>
          <w:sz w:val="18"/>
          <w:szCs w:val="18"/>
          <w:lang w:val="es-PE"/>
        </w:rPr>
        <w:t>«¿Cómo desafiliar mi dispositivo de la App Banca Móvil BCP?»</w:t>
      </w:r>
      <w:r w:rsidR="00737EF5" w:rsidRPr="00761481">
        <w:rPr>
          <w:rFonts w:ascii="Times New Roman" w:hAnsi="Times New Roman" w:cs="Times New Roman"/>
          <w:sz w:val="18"/>
          <w:szCs w:val="18"/>
          <w:lang w:val="es-PE"/>
        </w:rPr>
        <w:t xml:space="preserve"> [en línea]. </w:t>
      </w:r>
      <w:hyperlink r:id="rId1" w:history="1">
        <w:r w:rsidR="00737EF5" w:rsidRPr="00761481">
          <w:rPr>
            <w:rStyle w:val="Hipervnculo"/>
            <w:rFonts w:ascii="Times New Roman" w:hAnsi="Times New Roman" w:cs="Times New Roman"/>
            <w:sz w:val="18"/>
            <w:szCs w:val="18"/>
            <w:lang w:val="es-PE"/>
          </w:rPr>
          <w:t>https://www.viabcp.com/ayuda-bcp/operaciones-digitales/como-desafiliar-dispositivo-app-banca-movil-bcp</w:t>
        </w:r>
      </w:hyperlink>
      <w:r w:rsidR="00737EF5" w:rsidRPr="00761481">
        <w:rPr>
          <w:rFonts w:ascii="Times New Roman" w:hAnsi="Times New Roman" w:cs="Times New Roman"/>
          <w:sz w:val="18"/>
          <w:szCs w:val="18"/>
          <w:lang w:val="es-PE"/>
        </w:rPr>
        <w:t xml:space="preserve"> (Consulta: 12 de octubre de 2025); y, Yape. </w:t>
      </w:r>
      <w:r w:rsidR="00737EF5" w:rsidRPr="00761481">
        <w:rPr>
          <w:rFonts w:ascii="Times New Roman" w:hAnsi="Times New Roman" w:cs="Times New Roman"/>
          <w:i/>
          <w:iCs/>
          <w:sz w:val="18"/>
          <w:szCs w:val="18"/>
          <w:lang w:val="es-PE"/>
        </w:rPr>
        <w:t>«¿Qué hago en caso de pérdida o robo del celular?»</w:t>
      </w:r>
      <w:r w:rsidR="00737EF5" w:rsidRPr="00761481">
        <w:rPr>
          <w:rFonts w:ascii="Times New Roman" w:hAnsi="Times New Roman" w:cs="Times New Roman"/>
          <w:sz w:val="18"/>
          <w:szCs w:val="18"/>
          <w:lang w:val="es-PE"/>
        </w:rPr>
        <w:t xml:space="preserve"> [en línea]. </w:t>
      </w:r>
      <w:hyperlink r:id="rId2" w:history="1">
        <w:r w:rsidR="00737EF5" w:rsidRPr="00761481">
          <w:rPr>
            <w:rStyle w:val="Hipervnculo"/>
            <w:rFonts w:ascii="Times New Roman" w:hAnsi="Times New Roman" w:cs="Times New Roman"/>
            <w:sz w:val="18"/>
            <w:szCs w:val="18"/>
            <w:lang w:val="es-PE"/>
          </w:rPr>
          <w:t>https://www.yape.com.pe/preguntas-frecuentes/temas-urgentes/46--con-quien-me-contacto-en-caso-de-robo-o-perdida-del-celular</w:t>
        </w:r>
      </w:hyperlink>
      <w:r w:rsidR="00737EF5" w:rsidRPr="00761481">
        <w:rPr>
          <w:rFonts w:ascii="Times New Roman" w:hAnsi="Times New Roman" w:cs="Times New Roman"/>
          <w:sz w:val="18"/>
          <w:szCs w:val="18"/>
          <w:lang w:val="es-PE"/>
        </w:rPr>
        <w:t xml:space="preserve"> (Consulta: 12 de octubre de 2025).</w:t>
      </w:r>
    </w:p>
  </w:footnote>
  <w:footnote w:id="13">
    <w:p w14:paraId="3C0304D2" w14:textId="7F64F43C" w:rsidR="00C80BC3" w:rsidRPr="00761481" w:rsidRDefault="00C80BC3" w:rsidP="00761481">
      <w:pPr>
        <w:pStyle w:val="Textonotapie"/>
        <w:tabs>
          <w:tab w:val="left" w:pos="284"/>
        </w:tabs>
        <w:spacing w:after="120"/>
        <w:ind w:left="284" w:hanging="284"/>
        <w:jc w:val="both"/>
        <w:rPr>
          <w:rFonts w:ascii="Times New Roman" w:hAnsi="Times New Roman" w:cs="Times New Roman"/>
          <w:sz w:val="18"/>
          <w:szCs w:val="18"/>
          <w:lang w:val="es-PE"/>
        </w:rPr>
      </w:pPr>
      <w:r w:rsidRPr="00761481">
        <w:rPr>
          <w:rStyle w:val="Refdenotaalpie"/>
          <w:rFonts w:ascii="Times New Roman" w:hAnsi="Times New Roman" w:cs="Times New Roman"/>
          <w:sz w:val="18"/>
          <w:szCs w:val="18"/>
        </w:rPr>
        <w:footnoteRef/>
      </w:r>
      <w:r w:rsidRPr="00761481">
        <w:rPr>
          <w:rFonts w:ascii="Times New Roman" w:hAnsi="Times New Roman" w:cs="Times New Roman"/>
          <w:sz w:val="18"/>
          <w:szCs w:val="18"/>
        </w:rPr>
        <w:t xml:space="preserve"> </w:t>
      </w:r>
      <w:r w:rsidRPr="00761481">
        <w:rPr>
          <w:rFonts w:ascii="Times New Roman" w:hAnsi="Times New Roman" w:cs="Times New Roman"/>
          <w:sz w:val="18"/>
          <w:szCs w:val="18"/>
        </w:rPr>
        <w:tab/>
      </w:r>
      <w:r w:rsidRPr="00761481">
        <w:rPr>
          <w:rFonts w:ascii="Times New Roman" w:hAnsi="Times New Roman" w:cs="Times New Roman"/>
          <w:sz w:val="18"/>
          <w:szCs w:val="18"/>
          <w:lang w:val="es-PE"/>
        </w:rPr>
        <w:t xml:space="preserve">Apple. </w:t>
      </w:r>
      <w:r w:rsidR="00C82585" w:rsidRPr="00761481">
        <w:rPr>
          <w:rFonts w:ascii="Times New Roman" w:hAnsi="Times New Roman" w:cs="Times New Roman"/>
          <w:sz w:val="18"/>
          <w:szCs w:val="18"/>
          <w:lang w:val="es-PE"/>
        </w:rPr>
        <w:t>«</w:t>
      </w:r>
      <w:r w:rsidRPr="00761481">
        <w:rPr>
          <w:rFonts w:ascii="Times New Roman" w:hAnsi="Times New Roman" w:cs="Times New Roman"/>
          <w:i/>
          <w:iCs/>
          <w:sz w:val="18"/>
          <w:szCs w:val="18"/>
          <w:lang w:val="es-PE"/>
        </w:rPr>
        <w:t>Usar el Modo perdido en Encontrar dispositivos en iCloud.com</w:t>
      </w:r>
      <w:r w:rsidR="00C82585" w:rsidRPr="00761481">
        <w:rPr>
          <w:rFonts w:ascii="Times New Roman" w:hAnsi="Times New Roman" w:cs="Times New Roman"/>
          <w:i/>
          <w:iCs/>
          <w:sz w:val="18"/>
          <w:szCs w:val="18"/>
          <w:lang w:val="es-PE"/>
        </w:rPr>
        <w:t>»</w:t>
      </w:r>
      <w:r w:rsidRPr="00761481">
        <w:rPr>
          <w:rFonts w:ascii="Times New Roman" w:hAnsi="Times New Roman" w:cs="Times New Roman"/>
          <w:sz w:val="18"/>
          <w:szCs w:val="18"/>
          <w:lang w:val="es-PE"/>
        </w:rPr>
        <w:t xml:space="preserve"> [en línea]. </w:t>
      </w:r>
      <w:hyperlink r:id="rId3" w:history="1">
        <w:r w:rsidRPr="00761481">
          <w:rPr>
            <w:rStyle w:val="Hipervnculo"/>
            <w:rFonts w:ascii="Times New Roman" w:hAnsi="Times New Roman" w:cs="Times New Roman"/>
            <w:sz w:val="18"/>
            <w:szCs w:val="18"/>
            <w:lang w:val="es-PE"/>
          </w:rPr>
          <w:t>https://support.apple.com/es-mx/guide/icloud/mmfc0f0165/icloud</w:t>
        </w:r>
      </w:hyperlink>
      <w:r w:rsidRPr="00761481">
        <w:rPr>
          <w:rFonts w:ascii="Times New Roman" w:hAnsi="Times New Roman" w:cs="Times New Roman"/>
          <w:sz w:val="18"/>
          <w:szCs w:val="18"/>
          <w:lang w:val="es-PE"/>
        </w:rPr>
        <w:t xml:space="preserve"> (Consulta: 12 de octubre de 2025)</w:t>
      </w:r>
      <w:r w:rsidR="00C82585" w:rsidRPr="00761481">
        <w:rPr>
          <w:rFonts w:ascii="Times New Roman" w:hAnsi="Times New Roman" w:cs="Times New Roman"/>
          <w:sz w:val="18"/>
          <w:szCs w:val="18"/>
          <w:lang w:val="es-PE"/>
        </w:rPr>
        <w:t>.</w:t>
      </w:r>
    </w:p>
    <w:p w14:paraId="2E327D29" w14:textId="5ADCBDE2" w:rsidR="00C80BC3" w:rsidRPr="00761481" w:rsidRDefault="00C80BC3" w:rsidP="00761481">
      <w:pPr>
        <w:pStyle w:val="Textonotapie"/>
        <w:tabs>
          <w:tab w:val="left" w:pos="284"/>
        </w:tabs>
        <w:spacing w:after="120"/>
        <w:ind w:left="284" w:hanging="284"/>
        <w:jc w:val="both"/>
        <w:rPr>
          <w:rFonts w:ascii="Times New Roman" w:hAnsi="Times New Roman" w:cs="Times New Roman"/>
          <w:sz w:val="18"/>
          <w:szCs w:val="18"/>
          <w:lang w:val="es-PE"/>
        </w:rPr>
      </w:pPr>
    </w:p>
  </w:footnote>
  <w:footnote w:id="14">
    <w:p w14:paraId="3ED99762" w14:textId="206E748C" w:rsidR="00712A62" w:rsidRPr="00761481" w:rsidRDefault="00712A62" w:rsidP="00761481">
      <w:pPr>
        <w:pStyle w:val="Textonotapie"/>
        <w:tabs>
          <w:tab w:val="left" w:pos="284"/>
        </w:tabs>
        <w:spacing w:after="60"/>
        <w:ind w:left="284" w:hanging="284"/>
        <w:jc w:val="both"/>
        <w:rPr>
          <w:rFonts w:ascii="Times New Roman" w:hAnsi="Times New Roman" w:cs="Times New Roman"/>
          <w:color w:val="000000"/>
          <w:sz w:val="18"/>
          <w:szCs w:val="18"/>
          <w:lang w:val="es-PE"/>
        </w:rPr>
      </w:pPr>
      <w:r w:rsidRPr="00761481">
        <w:rPr>
          <w:rStyle w:val="Refdenotaalpie"/>
          <w:rFonts w:ascii="Times New Roman" w:hAnsi="Times New Roman" w:cs="Times New Roman"/>
          <w:sz w:val="18"/>
          <w:szCs w:val="18"/>
        </w:rPr>
        <w:footnoteRef/>
      </w:r>
      <w:r w:rsidRPr="00761481">
        <w:rPr>
          <w:rFonts w:ascii="Times New Roman" w:hAnsi="Times New Roman" w:cs="Times New Roman"/>
          <w:sz w:val="18"/>
          <w:szCs w:val="18"/>
        </w:rPr>
        <w:t xml:space="preserve"> </w:t>
      </w:r>
      <w:r w:rsidRPr="00761481">
        <w:rPr>
          <w:rFonts w:ascii="Times New Roman" w:hAnsi="Times New Roman" w:cs="Times New Roman"/>
          <w:sz w:val="18"/>
          <w:szCs w:val="18"/>
        </w:rPr>
        <w:tab/>
      </w:r>
      <w:r w:rsidRPr="00761481">
        <w:rPr>
          <w:rFonts w:ascii="Times New Roman" w:hAnsi="Times New Roman" w:cs="Times New Roman"/>
          <w:b/>
          <w:bCs/>
          <w:color w:val="000000"/>
          <w:sz w:val="18"/>
          <w:szCs w:val="18"/>
          <w:lang w:val="es-PE"/>
        </w:rPr>
        <w:t xml:space="preserve">Norma de las Condiciones de Uso de los Servicios Públicos de Telecomunicaciones </w:t>
      </w:r>
    </w:p>
    <w:p w14:paraId="5FBA4BAF" w14:textId="6A8F27C2" w:rsidR="00712A62" w:rsidRPr="00761481" w:rsidRDefault="00712A62" w:rsidP="00761481">
      <w:pPr>
        <w:pStyle w:val="Textonotapie"/>
        <w:tabs>
          <w:tab w:val="left" w:pos="284"/>
        </w:tabs>
        <w:spacing w:after="60"/>
        <w:ind w:left="284" w:hanging="284"/>
        <w:jc w:val="both"/>
        <w:rPr>
          <w:rFonts w:ascii="Times New Roman" w:hAnsi="Times New Roman" w:cs="Times New Roman"/>
          <w:b/>
          <w:bCs/>
          <w:color w:val="000000"/>
          <w:sz w:val="18"/>
          <w:szCs w:val="18"/>
          <w:lang w:val="es-PE"/>
        </w:rPr>
      </w:pPr>
      <w:r w:rsidRPr="00761481">
        <w:rPr>
          <w:rFonts w:ascii="Times New Roman" w:hAnsi="Times New Roman" w:cs="Times New Roman"/>
          <w:color w:val="000000"/>
          <w:sz w:val="18"/>
          <w:szCs w:val="18"/>
          <w:lang w:val="es-PE"/>
        </w:rPr>
        <w:tab/>
      </w:r>
      <w:r w:rsidRPr="00761481">
        <w:rPr>
          <w:rFonts w:ascii="Times New Roman" w:hAnsi="Times New Roman" w:cs="Times New Roman"/>
          <w:b/>
          <w:bCs/>
          <w:color w:val="000000"/>
          <w:sz w:val="18"/>
          <w:szCs w:val="18"/>
          <w:lang w:val="es-PE"/>
        </w:rPr>
        <w:t>Artículo 60.- Suspensión del servicio y bloqueo de equipo terminal por la sustracción o pérdida de este último</w:t>
      </w:r>
    </w:p>
    <w:p w14:paraId="08F64F58" w14:textId="289E8349" w:rsidR="00712A62" w:rsidRPr="00761481" w:rsidRDefault="00712A62" w:rsidP="00761481">
      <w:pPr>
        <w:pStyle w:val="Textonotapie"/>
        <w:tabs>
          <w:tab w:val="left" w:pos="284"/>
        </w:tabs>
        <w:spacing w:after="60"/>
        <w:ind w:left="284" w:hanging="284"/>
        <w:jc w:val="both"/>
        <w:rPr>
          <w:rFonts w:ascii="Times New Roman" w:hAnsi="Times New Roman" w:cs="Times New Roman"/>
          <w:color w:val="000000"/>
          <w:sz w:val="18"/>
          <w:szCs w:val="18"/>
          <w:lang w:val="es-PE"/>
        </w:rPr>
      </w:pPr>
      <w:r w:rsidRPr="00761481">
        <w:rPr>
          <w:rFonts w:ascii="Times New Roman" w:hAnsi="Times New Roman" w:cs="Times New Roman"/>
          <w:color w:val="000000"/>
          <w:sz w:val="18"/>
          <w:szCs w:val="18"/>
          <w:lang w:val="es-PE"/>
        </w:rPr>
        <w:tab/>
        <w:t>Luego de efectuado el reporte por parte del abonado o usuario por la sustracción o pérdida del equipo terminal, la empresa operadora está obligada a simultáneamente, suspender el servicio y bloquear el referido equipo en forma inmediata al reporte. Si la empresa no cumpliera con ello, no podrá facturar los consumos que se efectúen desde el momento en que se realizó el reporte respectivo.</w:t>
      </w:r>
    </w:p>
    <w:p w14:paraId="63416B32" w14:textId="641F50DF" w:rsidR="00712A62" w:rsidRPr="00761481" w:rsidRDefault="00712A62" w:rsidP="00761481">
      <w:pPr>
        <w:pStyle w:val="Textonotapie"/>
        <w:tabs>
          <w:tab w:val="left" w:pos="284"/>
        </w:tabs>
        <w:spacing w:after="120"/>
        <w:ind w:left="284" w:hanging="284"/>
        <w:jc w:val="both"/>
        <w:rPr>
          <w:rFonts w:ascii="Times New Roman" w:hAnsi="Times New Roman" w:cs="Times New Roman"/>
          <w:color w:val="000000"/>
          <w:sz w:val="18"/>
          <w:szCs w:val="18"/>
          <w:lang w:val="es-PE"/>
        </w:rPr>
      </w:pPr>
      <w:r w:rsidRPr="00761481">
        <w:rPr>
          <w:rFonts w:ascii="Times New Roman" w:hAnsi="Times New Roman" w:cs="Times New Roman"/>
          <w:color w:val="000000"/>
          <w:sz w:val="18"/>
          <w:szCs w:val="18"/>
          <w:lang w:val="es-PE"/>
        </w:rPr>
        <w:tab/>
        <w:t>En ningún caso, la empresa operadora puede realizar únicamente la suspensión del servicio o el bloqueo del equipo terminal, cuando se haya reportado la sustracción o pérdida del equipo terminal móvil, salvo en los casos en los que el sistema del RENTESEG determine una sola acción.</w:t>
      </w:r>
    </w:p>
  </w:footnote>
  <w:footnote w:id="15">
    <w:p w14:paraId="05E75A03" w14:textId="69385ED0" w:rsidR="00C82585" w:rsidRPr="00761481" w:rsidRDefault="00C8590C" w:rsidP="00761481">
      <w:pPr>
        <w:pStyle w:val="Textonotapie"/>
        <w:tabs>
          <w:tab w:val="left" w:pos="284"/>
        </w:tabs>
        <w:spacing w:after="120"/>
        <w:ind w:left="284" w:hanging="284"/>
        <w:jc w:val="both"/>
        <w:rPr>
          <w:rFonts w:ascii="Times New Roman" w:hAnsi="Times New Roman" w:cs="Times New Roman"/>
          <w:color w:val="000000"/>
          <w:sz w:val="18"/>
          <w:szCs w:val="18"/>
          <w:lang w:val="es-PE"/>
        </w:rPr>
      </w:pPr>
      <w:r w:rsidRPr="00761481">
        <w:rPr>
          <w:rStyle w:val="Refdenotaalpie"/>
          <w:rFonts w:ascii="Times New Roman" w:hAnsi="Times New Roman" w:cs="Times New Roman"/>
          <w:sz w:val="18"/>
          <w:szCs w:val="18"/>
          <w:lang w:val="es-PE"/>
        </w:rPr>
        <w:footnoteRef/>
      </w:r>
      <w:r w:rsidRPr="00761481">
        <w:rPr>
          <w:rFonts w:ascii="Times New Roman" w:hAnsi="Times New Roman" w:cs="Times New Roman"/>
          <w:sz w:val="18"/>
          <w:szCs w:val="18"/>
          <w:lang w:val="es-PE"/>
        </w:rPr>
        <w:t xml:space="preserve"> </w:t>
      </w:r>
      <w:r w:rsidRPr="00761481">
        <w:rPr>
          <w:rFonts w:ascii="Times New Roman" w:hAnsi="Times New Roman" w:cs="Times New Roman"/>
          <w:sz w:val="18"/>
          <w:szCs w:val="18"/>
          <w:lang w:val="es-PE"/>
        </w:rPr>
        <w:tab/>
        <w:t xml:space="preserve">Acrónimo de </w:t>
      </w:r>
      <w:r w:rsidRPr="00761481">
        <w:rPr>
          <w:rFonts w:ascii="Times New Roman" w:hAnsi="Times New Roman" w:cs="Times New Roman"/>
          <w:i/>
          <w:iCs/>
          <w:color w:val="000000"/>
          <w:sz w:val="18"/>
          <w:szCs w:val="18"/>
          <w:lang w:val="es-PE"/>
        </w:rPr>
        <w:t>International mobile Station Equipment Identity</w:t>
      </w:r>
      <w:r w:rsidRPr="00761481">
        <w:rPr>
          <w:rFonts w:ascii="Times New Roman" w:hAnsi="Times New Roman" w:cs="Times New Roman"/>
          <w:color w:val="000000"/>
          <w:sz w:val="18"/>
          <w:szCs w:val="18"/>
          <w:lang w:val="es-PE"/>
        </w:rPr>
        <w:t xml:space="preserve"> (identidad internacional del equipo terminal móvil): es el código o número de serie de 15 dígitos único pregrabado por el fabrican</w:t>
      </w:r>
      <w:r w:rsidRPr="00761481">
        <w:rPr>
          <w:rFonts w:ascii="Times New Roman" w:hAnsi="Times New Roman" w:cs="Times New Roman"/>
          <w:color w:val="000000"/>
          <w:sz w:val="18"/>
          <w:szCs w:val="18"/>
          <w:lang w:val="es-PE"/>
        </w:rPr>
        <w:softHyphen/>
        <w:t>te que identifica al equipo terminal móvil de manera exclusiva a nivel mundial</w:t>
      </w:r>
      <w:r w:rsidR="00C82585" w:rsidRPr="00761481">
        <w:rPr>
          <w:rFonts w:ascii="Times New Roman" w:hAnsi="Times New Roman" w:cs="Times New Roman"/>
          <w:color w:val="000000"/>
          <w:sz w:val="18"/>
          <w:szCs w:val="18"/>
          <w:lang w:val="es-PE"/>
        </w:rPr>
        <w:t xml:space="preserve">. OSIPTEL (2023) </w:t>
      </w:r>
      <w:r w:rsidR="00C82585" w:rsidRPr="00761481">
        <w:rPr>
          <w:rFonts w:ascii="Times New Roman" w:hAnsi="Times New Roman" w:cs="Times New Roman"/>
          <w:i/>
          <w:iCs/>
          <w:color w:val="000000"/>
          <w:sz w:val="18"/>
          <w:szCs w:val="18"/>
          <w:lang w:val="es-PE"/>
        </w:rPr>
        <w:t>Glosario de términos de telecomunicaciones</w:t>
      </w:r>
      <w:r w:rsidR="00C82585" w:rsidRPr="00761481">
        <w:rPr>
          <w:rFonts w:ascii="Times New Roman" w:hAnsi="Times New Roman" w:cs="Times New Roman"/>
          <w:color w:val="000000"/>
          <w:sz w:val="18"/>
          <w:szCs w:val="18"/>
          <w:lang w:val="es-PE"/>
        </w:rPr>
        <w:t>. Lima. Pág. 200.</w:t>
      </w:r>
    </w:p>
  </w:footnote>
  <w:footnote w:id="16">
    <w:p w14:paraId="5AA8CE1E" w14:textId="7E1B4BAA" w:rsidR="00C8590C" w:rsidRPr="00761481" w:rsidRDefault="00C8590C" w:rsidP="00761481">
      <w:pPr>
        <w:pStyle w:val="Textonotapie"/>
        <w:tabs>
          <w:tab w:val="left" w:pos="284"/>
        </w:tabs>
        <w:spacing w:after="120"/>
        <w:ind w:left="284" w:hanging="284"/>
        <w:jc w:val="both"/>
        <w:rPr>
          <w:rFonts w:ascii="Times New Roman" w:hAnsi="Times New Roman" w:cs="Times New Roman"/>
          <w:color w:val="000000"/>
          <w:sz w:val="18"/>
          <w:szCs w:val="18"/>
          <w:lang w:val="es-PE"/>
        </w:rPr>
      </w:pPr>
      <w:r w:rsidRPr="00761481">
        <w:rPr>
          <w:rStyle w:val="Refdenotaalpie"/>
          <w:rFonts w:ascii="Times New Roman" w:hAnsi="Times New Roman" w:cs="Times New Roman"/>
          <w:sz w:val="18"/>
          <w:szCs w:val="18"/>
          <w:lang w:val="es-PE"/>
        </w:rPr>
        <w:footnoteRef/>
      </w:r>
      <w:r w:rsidRPr="00761481">
        <w:rPr>
          <w:rFonts w:ascii="Times New Roman" w:hAnsi="Times New Roman" w:cs="Times New Roman"/>
          <w:sz w:val="18"/>
          <w:szCs w:val="18"/>
          <w:lang w:val="es-PE"/>
        </w:rPr>
        <w:t xml:space="preserve"> </w:t>
      </w:r>
      <w:r w:rsidRPr="00761481">
        <w:rPr>
          <w:rFonts w:ascii="Times New Roman" w:hAnsi="Times New Roman" w:cs="Times New Roman"/>
          <w:sz w:val="18"/>
          <w:szCs w:val="18"/>
          <w:lang w:val="es-PE"/>
        </w:rPr>
        <w:tab/>
        <w:t xml:space="preserve">Acrónimo de </w:t>
      </w:r>
      <w:r w:rsidRPr="00761481">
        <w:rPr>
          <w:rFonts w:ascii="Times New Roman" w:hAnsi="Times New Roman" w:cs="Times New Roman"/>
          <w:i/>
          <w:iCs/>
          <w:color w:val="000000"/>
          <w:sz w:val="18"/>
          <w:szCs w:val="18"/>
          <w:lang w:val="es-PE"/>
        </w:rPr>
        <w:t xml:space="preserve">Equipment Identity Register </w:t>
      </w:r>
      <w:r w:rsidRPr="00761481">
        <w:rPr>
          <w:rFonts w:ascii="Times New Roman" w:hAnsi="Times New Roman" w:cs="Times New Roman"/>
          <w:color w:val="000000"/>
          <w:sz w:val="18"/>
          <w:szCs w:val="18"/>
          <w:lang w:val="es-PE"/>
        </w:rPr>
        <w:t>(registro de identificación de equipo): elemento de red de un operador móvil que contiene una o varias bases de datos que almacenan los IMEI u otros datos usados en las redes del servicio público móvil, y tiene la capacidad para permitir o impedir que los IMEI que se encuentren registrados en dichas bases utilicen la red de las empresas operadoras.</w:t>
      </w:r>
      <w:r w:rsidR="00C82585" w:rsidRPr="00761481">
        <w:rPr>
          <w:rFonts w:ascii="Times New Roman" w:hAnsi="Times New Roman" w:cs="Times New Roman"/>
          <w:color w:val="000000"/>
          <w:sz w:val="18"/>
          <w:szCs w:val="18"/>
          <w:lang w:val="es-PE"/>
        </w:rPr>
        <w:t xml:space="preserve"> OSIPTEL (2023) </w:t>
      </w:r>
      <w:r w:rsidR="00C82585" w:rsidRPr="00761481">
        <w:rPr>
          <w:rFonts w:ascii="Times New Roman" w:hAnsi="Times New Roman" w:cs="Times New Roman"/>
          <w:i/>
          <w:iCs/>
          <w:color w:val="000000"/>
          <w:sz w:val="18"/>
          <w:szCs w:val="18"/>
          <w:lang w:val="es-PE"/>
        </w:rPr>
        <w:t>Glosario de términos de telecomunicaciones</w:t>
      </w:r>
      <w:r w:rsidR="00C82585" w:rsidRPr="00761481">
        <w:rPr>
          <w:rFonts w:ascii="Times New Roman" w:hAnsi="Times New Roman" w:cs="Times New Roman"/>
          <w:color w:val="000000"/>
          <w:sz w:val="18"/>
          <w:szCs w:val="18"/>
          <w:lang w:val="es-PE"/>
        </w:rPr>
        <w:t>. Lima. Pág. 133.</w:t>
      </w:r>
    </w:p>
  </w:footnote>
  <w:footnote w:id="17">
    <w:p w14:paraId="6B74B63F" w14:textId="4A786039" w:rsidR="00C82585" w:rsidRPr="00761481" w:rsidRDefault="00C82585" w:rsidP="00761481">
      <w:pPr>
        <w:pStyle w:val="Textonotapie"/>
        <w:tabs>
          <w:tab w:val="left" w:pos="284"/>
        </w:tabs>
        <w:spacing w:after="120"/>
        <w:ind w:left="284" w:hanging="284"/>
        <w:jc w:val="both"/>
        <w:rPr>
          <w:rFonts w:ascii="Times New Roman" w:hAnsi="Times New Roman" w:cs="Times New Roman"/>
          <w:sz w:val="18"/>
          <w:szCs w:val="18"/>
          <w:lang w:val="es-PE"/>
        </w:rPr>
      </w:pPr>
      <w:r w:rsidRPr="00761481">
        <w:rPr>
          <w:rStyle w:val="Refdenotaalpie"/>
          <w:rFonts w:ascii="Times New Roman" w:hAnsi="Times New Roman" w:cs="Times New Roman"/>
          <w:sz w:val="18"/>
          <w:szCs w:val="18"/>
          <w:lang w:val="es-PE"/>
        </w:rPr>
        <w:footnoteRef/>
      </w:r>
      <w:r w:rsidRPr="00761481">
        <w:rPr>
          <w:rFonts w:ascii="Times New Roman" w:hAnsi="Times New Roman" w:cs="Times New Roman"/>
          <w:sz w:val="18"/>
          <w:szCs w:val="18"/>
          <w:lang w:val="es-PE"/>
        </w:rPr>
        <w:t xml:space="preserve"> </w:t>
      </w:r>
      <w:r w:rsidRPr="00761481">
        <w:rPr>
          <w:rFonts w:ascii="Times New Roman" w:hAnsi="Times New Roman" w:cs="Times New Roman"/>
          <w:sz w:val="18"/>
          <w:szCs w:val="18"/>
          <w:lang w:val="es-PE"/>
        </w:rPr>
        <w:tab/>
        <w:t>Entel</w:t>
      </w:r>
      <w:r w:rsidR="000E578D" w:rsidRPr="00761481">
        <w:rPr>
          <w:rFonts w:ascii="Times New Roman" w:hAnsi="Times New Roman" w:cs="Times New Roman"/>
          <w:sz w:val="18"/>
          <w:szCs w:val="18"/>
          <w:lang w:val="es-PE"/>
        </w:rPr>
        <w:t>.</w:t>
      </w:r>
      <w:r w:rsidRPr="00761481">
        <w:rPr>
          <w:rFonts w:ascii="Times New Roman" w:hAnsi="Times New Roman" w:cs="Times New Roman"/>
          <w:sz w:val="18"/>
          <w:szCs w:val="18"/>
          <w:lang w:val="es-PE"/>
        </w:rPr>
        <w:t xml:space="preserve"> «</w:t>
      </w:r>
      <w:r w:rsidR="00305F2B" w:rsidRPr="00761481">
        <w:rPr>
          <w:rFonts w:ascii="Times New Roman" w:hAnsi="Times New Roman" w:cs="Times New Roman"/>
          <w:i/>
          <w:iCs/>
          <w:sz w:val="18"/>
          <w:szCs w:val="18"/>
          <w:lang w:val="es-PE"/>
        </w:rPr>
        <w:t>Bloqueo y desbloqueo del equipo celular</w:t>
      </w:r>
      <w:r w:rsidRPr="00761481">
        <w:rPr>
          <w:rFonts w:ascii="Times New Roman" w:hAnsi="Times New Roman" w:cs="Times New Roman"/>
          <w:i/>
          <w:iCs/>
          <w:sz w:val="18"/>
          <w:szCs w:val="18"/>
          <w:lang w:val="es-PE"/>
        </w:rPr>
        <w:t>»</w:t>
      </w:r>
      <w:r w:rsidRPr="00761481">
        <w:rPr>
          <w:rFonts w:ascii="Times New Roman" w:hAnsi="Times New Roman" w:cs="Times New Roman"/>
          <w:sz w:val="18"/>
          <w:szCs w:val="18"/>
          <w:lang w:val="es-PE"/>
        </w:rPr>
        <w:t xml:space="preserve"> [en línea]. </w:t>
      </w:r>
      <w:hyperlink r:id="rId4" w:history="1">
        <w:r w:rsidRPr="00761481">
          <w:rPr>
            <w:rStyle w:val="Hipervnculo"/>
            <w:rFonts w:ascii="Times New Roman" w:hAnsi="Times New Roman" w:cs="Times New Roman"/>
            <w:sz w:val="18"/>
            <w:szCs w:val="18"/>
            <w:lang w:val="es-PE"/>
          </w:rPr>
          <w:t>https://www.entel.pe/informacion-a-abonados-y-usuarios/bloqueo</w:t>
        </w:r>
      </w:hyperlink>
      <w:r w:rsidRPr="00761481">
        <w:rPr>
          <w:rFonts w:ascii="Times New Roman" w:hAnsi="Times New Roman" w:cs="Times New Roman"/>
          <w:sz w:val="18"/>
          <w:szCs w:val="18"/>
          <w:lang w:val="es-PE"/>
        </w:rPr>
        <w:t xml:space="preserve"> (Consulta: 12 de octubre de 2025).</w:t>
      </w:r>
    </w:p>
  </w:footnote>
  <w:footnote w:id="18">
    <w:p w14:paraId="1E744416" w14:textId="12E6D0F9" w:rsidR="001F0DFA" w:rsidRPr="00761481" w:rsidRDefault="001F0DFA" w:rsidP="00761481">
      <w:pPr>
        <w:pStyle w:val="Textonotapie"/>
        <w:tabs>
          <w:tab w:val="left" w:pos="284"/>
        </w:tabs>
        <w:spacing w:after="60"/>
        <w:ind w:left="284" w:hanging="284"/>
        <w:jc w:val="both"/>
        <w:rPr>
          <w:rFonts w:ascii="Times New Roman" w:hAnsi="Times New Roman" w:cs="Times New Roman"/>
          <w:color w:val="000000"/>
          <w:sz w:val="18"/>
          <w:szCs w:val="18"/>
          <w:lang w:val="es-PE"/>
        </w:rPr>
      </w:pPr>
      <w:r w:rsidRPr="00761481">
        <w:rPr>
          <w:rStyle w:val="Refdenotaalpie"/>
          <w:rFonts w:ascii="Times New Roman" w:hAnsi="Times New Roman" w:cs="Times New Roman"/>
          <w:sz w:val="18"/>
          <w:szCs w:val="18"/>
        </w:rPr>
        <w:footnoteRef/>
      </w:r>
      <w:r w:rsidRPr="00761481">
        <w:rPr>
          <w:rFonts w:ascii="Times New Roman" w:hAnsi="Times New Roman" w:cs="Times New Roman"/>
          <w:sz w:val="18"/>
          <w:szCs w:val="18"/>
        </w:rPr>
        <w:t xml:space="preserve"> </w:t>
      </w:r>
      <w:r w:rsidRPr="00761481">
        <w:rPr>
          <w:rFonts w:ascii="Times New Roman" w:hAnsi="Times New Roman" w:cs="Times New Roman"/>
          <w:sz w:val="18"/>
          <w:szCs w:val="18"/>
        </w:rPr>
        <w:tab/>
      </w:r>
      <w:r w:rsidRPr="00761481">
        <w:rPr>
          <w:rFonts w:ascii="Times New Roman" w:hAnsi="Times New Roman" w:cs="Times New Roman"/>
          <w:b/>
          <w:bCs/>
          <w:color w:val="000000"/>
          <w:sz w:val="18"/>
          <w:szCs w:val="18"/>
          <w:lang w:val="es-PE"/>
        </w:rPr>
        <w:t xml:space="preserve">Código Procesal Civil </w:t>
      </w:r>
    </w:p>
    <w:p w14:paraId="77233006" w14:textId="3BEB9907" w:rsidR="001F0DFA" w:rsidRPr="00CD5C0E" w:rsidRDefault="001F0DFA" w:rsidP="00761481">
      <w:pPr>
        <w:pStyle w:val="Textonotapie"/>
        <w:tabs>
          <w:tab w:val="left" w:pos="284"/>
        </w:tabs>
        <w:spacing w:after="120"/>
        <w:ind w:left="284" w:hanging="284"/>
        <w:jc w:val="both"/>
        <w:rPr>
          <w:rFonts w:ascii="Georgia" w:hAnsi="Georgia" w:cs="Arial"/>
          <w:color w:val="000000"/>
          <w:lang w:val="es-PE"/>
        </w:rPr>
      </w:pPr>
      <w:r w:rsidRPr="00761481">
        <w:rPr>
          <w:rFonts w:ascii="Times New Roman" w:hAnsi="Times New Roman" w:cs="Times New Roman"/>
          <w:color w:val="000000"/>
          <w:sz w:val="18"/>
          <w:szCs w:val="18"/>
          <w:lang w:val="es-PE"/>
        </w:rPr>
        <w:tab/>
      </w:r>
      <w:r w:rsidRPr="00761481">
        <w:rPr>
          <w:rFonts w:ascii="Times New Roman" w:hAnsi="Times New Roman" w:cs="Times New Roman"/>
          <w:b/>
          <w:bCs/>
          <w:color w:val="000000"/>
          <w:sz w:val="18"/>
          <w:szCs w:val="18"/>
          <w:lang w:val="es-PE"/>
        </w:rPr>
        <w:t xml:space="preserve">Artículo 197.- </w:t>
      </w:r>
      <w:r w:rsidRPr="00761481">
        <w:rPr>
          <w:rFonts w:ascii="Times New Roman" w:hAnsi="Times New Roman" w:cs="Times New Roman"/>
          <w:color w:val="000000"/>
          <w:sz w:val="18"/>
          <w:szCs w:val="18"/>
          <w:lang w:val="es-PE"/>
        </w:rPr>
        <w:t xml:space="preserve">Valoración de la </w:t>
      </w:r>
      <w:proofErr w:type="gramStart"/>
      <w:r w:rsidRPr="00761481">
        <w:rPr>
          <w:rFonts w:ascii="Times New Roman" w:hAnsi="Times New Roman" w:cs="Times New Roman"/>
          <w:color w:val="000000"/>
          <w:sz w:val="18"/>
          <w:szCs w:val="18"/>
          <w:lang w:val="es-PE"/>
        </w:rPr>
        <w:t>prueba.-</w:t>
      </w:r>
      <w:proofErr w:type="gramEnd"/>
      <w:r w:rsidRPr="00761481">
        <w:rPr>
          <w:rFonts w:ascii="Times New Roman" w:hAnsi="Times New Roman" w:cs="Times New Roman"/>
          <w:color w:val="000000"/>
          <w:sz w:val="18"/>
          <w:szCs w:val="18"/>
          <w:lang w:val="es-PE"/>
        </w:rPr>
        <w:t xml:space="preserve"> Todos los medios probatorios son valorados por el Juez en forma conjunta, utilizando su apreciación razonada. Sin embargo, en la resolución sólo serán expresadas las valoraciones esenciales y determinantes que sustentan su decisión.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855BF0"/>
    <w:multiLevelType w:val="hybridMultilevel"/>
    <w:tmpl w:val="DE0F875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2924E02"/>
    <w:multiLevelType w:val="hybridMultilevel"/>
    <w:tmpl w:val="4A8BA1B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959E7F0"/>
    <w:multiLevelType w:val="hybridMultilevel"/>
    <w:tmpl w:val="D7F056D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F7979CB"/>
    <w:multiLevelType w:val="hybridMultilevel"/>
    <w:tmpl w:val="5C361A8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289D757"/>
    <w:multiLevelType w:val="hybridMultilevel"/>
    <w:tmpl w:val="4E2BF3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A5E7AD5"/>
    <w:multiLevelType w:val="hybridMultilevel"/>
    <w:tmpl w:val="9AC53A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03CB607"/>
    <w:multiLevelType w:val="hybridMultilevel"/>
    <w:tmpl w:val="EB248C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6A4CCAC"/>
    <w:multiLevelType w:val="hybridMultilevel"/>
    <w:tmpl w:val="A43FDE8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A692C79"/>
    <w:multiLevelType w:val="hybridMultilevel"/>
    <w:tmpl w:val="543EBC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B0A310D"/>
    <w:multiLevelType w:val="hybridMultilevel"/>
    <w:tmpl w:val="2B06F7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4FA3401"/>
    <w:multiLevelType w:val="hybridMultilevel"/>
    <w:tmpl w:val="18C3BA0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C8A12E0"/>
    <w:multiLevelType w:val="hybridMultilevel"/>
    <w:tmpl w:val="DA9E45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64461B3"/>
    <w:multiLevelType w:val="hybridMultilevel"/>
    <w:tmpl w:val="37B8E696"/>
    <w:lvl w:ilvl="0" w:tplc="A1584632">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48ED3CCB"/>
    <w:multiLevelType w:val="hybridMultilevel"/>
    <w:tmpl w:val="3890D95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FB9D141"/>
    <w:multiLevelType w:val="hybridMultilevel"/>
    <w:tmpl w:val="0BBBFD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42257F0"/>
    <w:multiLevelType w:val="hybridMultilevel"/>
    <w:tmpl w:val="9A24EC5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5CFB186A"/>
    <w:multiLevelType w:val="hybridMultilevel"/>
    <w:tmpl w:val="7AB7701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15D779E"/>
    <w:multiLevelType w:val="multilevel"/>
    <w:tmpl w:val="57188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6C8C6B"/>
    <w:multiLevelType w:val="hybridMultilevel"/>
    <w:tmpl w:val="E5D47CC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A0879DC"/>
    <w:multiLevelType w:val="hybridMultilevel"/>
    <w:tmpl w:val="EECDC84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E037E97"/>
    <w:multiLevelType w:val="hybridMultilevel"/>
    <w:tmpl w:val="C84A60B8"/>
    <w:lvl w:ilvl="0" w:tplc="2670FF54">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83247600">
    <w:abstractNumId w:val="6"/>
  </w:num>
  <w:num w:numId="2" w16cid:durableId="1038705577">
    <w:abstractNumId w:val="20"/>
  </w:num>
  <w:num w:numId="3" w16cid:durableId="1173106358">
    <w:abstractNumId w:val="12"/>
  </w:num>
  <w:num w:numId="4" w16cid:durableId="52197751">
    <w:abstractNumId w:val="3"/>
  </w:num>
  <w:num w:numId="5" w16cid:durableId="1691910055">
    <w:abstractNumId w:val="8"/>
  </w:num>
  <w:num w:numId="6" w16cid:durableId="1265502928">
    <w:abstractNumId w:val="16"/>
  </w:num>
  <w:num w:numId="7" w16cid:durableId="222178606">
    <w:abstractNumId w:val="1"/>
  </w:num>
  <w:num w:numId="8" w16cid:durableId="1284995735">
    <w:abstractNumId w:val="13"/>
  </w:num>
  <w:num w:numId="9" w16cid:durableId="339426527">
    <w:abstractNumId w:val="10"/>
  </w:num>
  <w:num w:numId="10" w16cid:durableId="896671447">
    <w:abstractNumId w:val="2"/>
  </w:num>
  <w:num w:numId="11" w16cid:durableId="383482535">
    <w:abstractNumId w:val="0"/>
  </w:num>
  <w:num w:numId="12" w16cid:durableId="1324818834">
    <w:abstractNumId w:val="14"/>
  </w:num>
  <w:num w:numId="13" w16cid:durableId="755975115">
    <w:abstractNumId w:val="19"/>
  </w:num>
  <w:num w:numId="14" w16cid:durableId="960645879">
    <w:abstractNumId w:val="18"/>
  </w:num>
  <w:num w:numId="15" w16cid:durableId="1459296585">
    <w:abstractNumId w:val="11"/>
  </w:num>
  <w:num w:numId="16" w16cid:durableId="1967077504">
    <w:abstractNumId w:val="4"/>
  </w:num>
  <w:num w:numId="17" w16cid:durableId="151021307">
    <w:abstractNumId w:val="15"/>
  </w:num>
  <w:num w:numId="18" w16cid:durableId="2012835703">
    <w:abstractNumId w:val="9"/>
  </w:num>
  <w:num w:numId="19" w16cid:durableId="812529717">
    <w:abstractNumId w:val="7"/>
  </w:num>
  <w:num w:numId="20" w16cid:durableId="1326056073">
    <w:abstractNumId w:val="5"/>
  </w:num>
  <w:num w:numId="21" w16cid:durableId="2071877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0E57"/>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4FA"/>
    <w:rsid w:val="00026FE0"/>
    <w:rsid w:val="00027263"/>
    <w:rsid w:val="0002733C"/>
    <w:rsid w:val="00027978"/>
    <w:rsid w:val="00031866"/>
    <w:rsid w:val="00032687"/>
    <w:rsid w:val="0003359A"/>
    <w:rsid w:val="00033B9E"/>
    <w:rsid w:val="00035A04"/>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2395"/>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2AF9"/>
    <w:rsid w:val="000B58D8"/>
    <w:rsid w:val="000B734B"/>
    <w:rsid w:val="000C0734"/>
    <w:rsid w:val="000C1AAB"/>
    <w:rsid w:val="000D107E"/>
    <w:rsid w:val="000D288A"/>
    <w:rsid w:val="000D5F00"/>
    <w:rsid w:val="000D7348"/>
    <w:rsid w:val="000D7B6B"/>
    <w:rsid w:val="000E578D"/>
    <w:rsid w:val="000E6C90"/>
    <w:rsid w:val="000F17DA"/>
    <w:rsid w:val="000F1F1F"/>
    <w:rsid w:val="000F372E"/>
    <w:rsid w:val="000F4458"/>
    <w:rsid w:val="000F56CC"/>
    <w:rsid w:val="000F6340"/>
    <w:rsid w:val="0010277D"/>
    <w:rsid w:val="001035ED"/>
    <w:rsid w:val="001064A0"/>
    <w:rsid w:val="00106D7F"/>
    <w:rsid w:val="00107CAE"/>
    <w:rsid w:val="00110157"/>
    <w:rsid w:val="00111342"/>
    <w:rsid w:val="00112C8D"/>
    <w:rsid w:val="0011308C"/>
    <w:rsid w:val="0011380D"/>
    <w:rsid w:val="00113FB6"/>
    <w:rsid w:val="0011633B"/>
    <w:rsid w:val="00116708"/>
    <w:rsid w:val="00116B6A"/>
    <w:rsid w:val="00117C74"/>
    <w:rsid w:val="00120E1C"/>
    <w:rsid w:val="0012166D"/>
    <w:rsid w:val="001223F9"/>
    <w:rsid w:val="00123031"/>
    <w:rsid w:val="00123707"/>
    <w:rsid w:val="00123F48"/>
    <w:rsid w:val="001242FF"/>
    <w:rsid w:val="00125709"/>
    <w:rsid w:val="00125B9B"/>
    <w:rsid w:val="0013051A"/>
    <w:rsid w:val="00130559"/>
    <w:rsid w:val="001320DF"/>
    <w:rsid w:val="001347DF"/>
    <w:rsid w:val="0013694D"/>
    <w:rsid w:val="00136E12"/>
    <w:rsid w:val="001373AF"/>
    <w:rsid w:val="001377EF"/>
    <w:rsid w:val="00140304"/>
    <w:rsid w:val="00140CF5"/>
    <w:rsid w:val="001429BD"/>
    <w:rsid w:val="00142F5B"/>
    <w:rsid w:val="00143F49"/>
    <w:rsid w:val="0014650D"/>
    <w:rsid w:val="00146C27"/>
    <w:rsid w:val="00147363"/>
    <w:rsid w:val="00147DBE"/>
    <w:rsid w:val="00150874"/>
    <w:rsid w:val="001508BC"/>
    <w:rsid w:val="001529FE"/>
    <w:rsid w:val="00156308"/>
    <w:rsid w:val="00157979"/>
    <w:rsid w:val="00160361"/>
    <w:rsid w:val="00163D81"/>
    <w:rsid w:val="00167937"/>
    <w:rsid w:val="001703D8"/>
    <w:rsid w:val="00170E39"/>
    <w:rsid w:val="00171DF3"/>
    <w:rsid w:val="00172097"/>
    <w:rsid w:val="0017278C"/>
    <w:rsid w:val="00174918"/>
    <w:rsid w:val="001749D2"/>
    <w:rsid w:val="00174DA5"/>
    <w:rsid w:val="00177B3D"/>
    <w:rsid w:val="0018143B"/>
    <w:rsid w:val="001816B5"/>
    <w:rsid w:val="00181908"/>
    <w:rsid w:val="00181DCE"/>
    <w:rsid w:val="001833F2"/>
    <w:rsid w:val="001864B9"/>
    <w:rsid w:val="00186C29"/>
    <w:rsid w:val="00187BFD"/>
    <w:rsid w:val="00192535"/>
    <w:rsid w:val="00193C61"/>
    <w:rsid w:val="001947B7"/>
    <w:rsid w:val="001948DB"/>
    <w:rsid w:val="001A008A"/>
    <w:rsid w:val="001A2FFD"/>
    <w:rsid w:val="001A3395"/>
    <w:rsid w:val="001A44E1"/>
    <w:rsid w:val="001A555F"/>
    <w:rsid w:val="001A61E0"/>
    <w:rsid w:val="001A6EBB"/>
    <w:rsid w:val="001B1E59"/>
    <w:rsid w:val="001B3EE9"/>
    <w:rsid w:val="001B58A3"/>
    <w:rsid w:val="001B6C30"/>
    <w:rsid w:val="001C052B"/>
    <w:rsid w:val="001C3A70"/>
    <w:rsid w:val="001C3C6D"/>
    <w:rsid w:val="001C49C6"/>
    <w:rsid w:val="001D0EED"/>
    <w:rsid w:val="001D1D31"/>
    <w:rsid w:val="001D2203"/>
    <w:rsid w:val="001D2577"/>
    <w:rsid w:val="001D5286"/>
    <w:rsid w:val="001D59D9"/>
    <w:rsid w:val="001D5BEC"/>
    <w:rsid w:val="001D6136"/>
    <w:rsid w:val="001D6F7E"/>
    <w:rsid w:val="001E0D0C"/>
    <w:rsid w:val="001E119C"/>
    <w:rsid w:val="001E212A"/>
    <w:rsid w:val="001E4982"/>
    <w:rsid w:val="001E51BE"/>
    <w:rsid w:val="001E53E2"/>
    <w:rsid w:val="001E6143"/>
    <w:rsid w:val="001F0BD0"/>
    <w:rsid w:val="001F0DFA"/>
    <w:rsid w:val="001F1398"/>
    <w:rsid w:val="001F522B"/>
    <w:rsid w:val="001F5408"/>
    <w:rsid w:val="001F5DC4"/>
    <w:rsid w:val="002019FA"/>
    <w:rsid w:val="00201C0D"/>
    <w:rsid w:val="002041EC"/>
    <w:rsid w:val="00204407"/>
    <w:rsid w:val="00205AC5"/>
    <w:rsid w:val="00206378"/>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0336"/>
    <w:rsid w:val="00241719"/>
    <w:rsid w:val="00242425"/>
    <w:rsid w:val="00243DFC"/>
    <w:rsid w:val="00243F6B"/>
    <w:rsid w:val="0024405B"/>
    <w:rsid w:val="00245393"/>
    <w:rsid w:val="00247161"/>
    <w:rsid w:val="002528B8"/>
    <w:rsid w:val="00252D46"/>
    <w:rsid w:val="00253CBD"/>
    <w:rsid w:val="00254641"/>
    <w:rsid w:val="00256E4E"/>
    <w:rsid w:val="002573E1"/>
    <w:rsid w:val="00260B6D"/>
    <w:rsid w:val="00260F46"/>
    <w:rsid w:val="0026148B"/>
    <w:rsid w:val="0026162A"/>
    <w:rsid w:val="00261D97"/>
    <w:rsid w:val="00262031"/>
    <w:rsid w:val="0027261F"/>
    <w:rsid w:val="00272F4F"/>
    <w:rsid w:val="0027301E"/>
    <w:rsid w:val="00273738"/>
    <w:rsid w:val="00273E0A"/>
    <w:rsid w:val="00274985"/>
    <w:rsid w:val="00274A0C"/>
    <w:rsid w:val="0027653A"/>
    <w:rsid w:val="002768C6"/>
    <w:rsid w:val="00276A92"/>
    <w:rsid w:val="00277667"/>
    <w:rsid w:val="002804DF"/>
    <w:rsid w:val="00281072"/>
    <w:rsid w:val="002813C9"/>
    <w:rsid w:val="00282133"/>
    <w:rsid w:val="0028294E"/>
    <w:rsid w:val="002830BC"/>
    <w:rsid w:val="00283E79"/>
    <w:rsid w:val="002866F5"/>
    <w:rsid w:val="00286C15"/>
    <w:rsid w:val="00287545"/>
    <w:rsid w:val="00287E4A"/>
    <w:rsid w:val="00290CA4"/>
    <w:rsid w:val="00293371"/>
    <w:rsid w:val="002943F3"/>
    <w:rsid w:val="00294C91"/>
    <w:rsid w:val="00294D98"/>
    <w:rsid w:val="00295828"/>
    <w:rsid w:val="002970F3"/>
    <w:rsid w:val="00297CEF"/>
    <w:rsid w:val="002A05CF"/>
    <w:rsid w:val="002A0BD9"/>
    <w:rsid w:val="002A31D3"/>
    <w:rsid w:val="002A3AE3"/>
    <w:rsid w:val="002A3D36"/>
    <w:rsid w:val="002A4C39"/>
    <w:rsid w:val="002A625F"/>
    <w:rsid w:val="002A6626"/>
    <w:rsid w:val="002A6A6E"/>
    <w:rsid w:val="002A7E2E"/>
    <w:rsid w:val="002B5119"/>
    <w:rsid w:val="002B5256"/>
    <w:rsid w:val="002B69A7"/>
    <w:rsid w:val="002B726E"/>
    <w:rsid w:val="002B7735"/>
    <w:rsid w:val="002C2A0F"/>
    <w:rsid w:val="002C5DF4"/>
    <w:rsid w:val="002C6A05"/>
    <w:rsid w:val="002D0DB0"/>
    <w:rsid w:val="002D13DA"/>
    <w:rsid w:val="002D3B01"/>
    <w:rsid w:val="002D4977"/>
    <w:rsid w:val="002D5E13"/>
    <w:rsid w:val="002D7BC7"/>
    <w:rsid w:val="002E0275"/>
    <w:rsid w:val="002E1221"/>
    <w:rsid w:val="002E17F9"/>
    <w:rsid w:val="002E23B2"/>
    <w:rsid w:val="002E287E"/>
    <w:rsid w:val="002E2DDF"/>
    <w:rsid w:val="002E2F76"/>
    <w:rsid w:val="002E4E90"/>
    <w:rsid w:val="002E67E2"/>
    <w:rsid w:val="002F09CA"/>
    <w:rsid w:val="002F35F0"/>
    <w:rsid w:val="002F478E"/>
    <w:rsid w:val="002F5F01"/>
    <w:rsid w:val="002F60A5"/>
    <w:rsid w:val="002F73B9"/>
    <w:rsid w:val="002F7D42"/>
    <w:rsid w:val="00300E51"/>
    <w:rsid w:val="003011D8"/>
    <w:rsid w:val="00303740"/>
    <w:rsid w:val="003045E3"/>
    <w:rsid w:val="00304C79"/>
    <w:rsid w:val="00305F2B"/>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30790"/>
    <w:rsid w:val="003314D9"/>
    <w:rsid w:val="00331F16"/>
    <w:rsid w:val="00333BAA"/>
    <w:rsid w:val="00340E4B"/>
    <w:rsid w:val="00341784"/>
    <w:rsid w:val="00344B3D"/>
    <w:rsid w:val="00345AC3"/>
    <w:rsid w:val="00345DF0"/>
    <w:rsid w:val="00345F7F"/>
    <w:rsid w:val="003477EF"/>
    <w:rsid w:val="00347D7E"/>
    <w:rsid w:val="003526ED"/>
    <w:rsid w:val="00353092"/>
    <w:rsid w:val="003534E0"/>
    <w:rsid w:val="003544B1"/>
    <w:rsid w:val="00356F61"/>
    <w:rsid w:val="00357D70"/>
    <w:rsid w:val="00360239"/>
    <w:rsid w:val="00361278"/>
    <w:rsid w:val="00361F6A"/>
    <w:rsid w:val="00362449"/>
    <w:rsid w:val="0036267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1DBF"/>
    <w:rsid w:val="0038290F"/>
    <w:rsid w:val="00385D6C"/>
    <w:rsid w:val="0038740F"/>
    <w:rsid w:val="00391C15"/>
    <w:rsid w:val="00391F40"/>
    <w:rsid w:val="00391F72"/>
    <w:rsid w:val="00392259"/>
    <w:rsid w:val="00392CC3"/>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4A61"/>
    <w:rsid w:val="003C563C"/>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7BAE"/>
    <w:rsid w:val="003F0C97"/>
    <w:rsid w:val="003F1149"/>
    <w:rsid w:val="003F1B5F"/>
    <w:rsid w:val="003F20C7"/>
    <w:rsid w:val="003F2DC2"/>
    <w:rsid w:val="003F5262"/>
    <w:rsid w:val="003F53D3"/>
    <w:rsid w:val="00401E6A"/>
    <w:rsid w:val="00403814"/>
    <w:rsid w:val="004049B9"/>
    <w:rsid w:val="00406AFD"/>
    <w:rsid w:val="004111B6"/>
    <w:rsid w:val="00411866"/>
    <w:rsid w:val="00414109"/>
    <w:rsid w:val="00414A7B"/>
    <w:rsid w:val="00417CFB"/>
    <w:rsid w:val="00417E23"/>
    <w:rsid w:val="00420F89"/>
    <w:rsid w:val="0042236E"/>
    <w:rsid w:val="00425ACB"/>
    <w:rsid w:val="00425F75"/>
    <w:rsid w:val="0042659F"/>
    <w:rsid w:val="00426C11"/>
    <w:rsid w:val="004310D6"/>
    <w:rsid w:val="004324AC"/>
    <w:rsid w:val="00440AE0"/>
    <w:rsid w:val="00440BC2"/>
    <w:rsid w:val="00443191"/>
    <w:rsid w:val="00443558"/>
    <w:rsid w:val="00443875"/>
    <w:rsid w:val="00444232"/>
    <w:rsid w:val="00444DE9"/>
    <w:rsid w:val="00445D0D"/>
    <w:rsid w:val="004513F2"/>
    <w:rsid w:val="00452340"/>
    <w:rsid w:val="00452C11"/>
    <w:rsid w:val="00460C30"/>
    <w:rsid w:val="00460F4C"/>
    <w:rsid w:val="00463C58"/>
    <w:rsid w:val="00465FB9"/>
    <w:rsid w:val="00466302"/>
    <w:rsid w:val="0046647B"/>
    <w:rsid w:val="0047370C"/>
    <w:rsid w:val="00475098"/>
    <w:rsid w:val="0047522D"/>
    <w:rsid w:val="00475B39"/>
    <w:rsid w:val="00476BA1"/>
    <w:rsid w:val="00477488"/>
    <w:rsid w:val="00477A6F"/>
    <w:rsid w:val="0048408F"/>
    <w:rsid w:val="004858EC"/>
    <w:rsid w:val="00486637"/>
    <w:rsid w:val="004872DA"/>
    <w:rsid w:val="004912F8"/>
    <w:rsid w:val="00491AAA"/>
    <w:rsid w:val="004931C9"/>
    <w:rsid w:val="004946A3"/>
    <w:rsid w:val="004966DD"/>
    <w:rsid w:val="00496848"/>
    <w:rsid w:val="00496A1A"/>
    <w:rsid w:val="00497760"/>
    <w:rsid w:val="004A1518"/>
    <w:rsid w:val="004A2812"/>
    <w:rsid w:val="004A3DB7"/>
    <w:rsid w:val="004A3E25"/>
    <w:rsid w:val="004A3F7E"/>
    <w:rsid w:val="004A537B"/>
    <w:rsid w:val="004A718F"/>
    <w:rsid w:val="004B155C"/>
    <w:rsid w:val="004B1A8C"/>
    <w:rsid w:val="004B27E2"/>
    <w:rsid w:val="004B32A9"/>
    <w:rsid w:val="004B51ED"/>
    <w:rsid w:val="004B7D4E"/>
    <w:rsid w:val="004B7DCE"/>
    <w:rsid w:val="004C0196"/>
    <w:rsid w:val="004C0388"/>
    <w:rsid w:val="004C1C34"/>
    <w:rsid w:val="004C34ED"/>
    <w:rsid w:val="004C3692"/>
    <w:rsid w:val="004C51EC"/>
    <w:rsid w:val="004C5A91"/>
    <w:rsid w:val="004C7FB3"/>
    <w:rsid w:val="004D0E1E"/>
    <w:rsid w:val="004D7DEA"/>
    <w:rsid w:val="004E04CE"/>
    <w:rsid w:val="004E210D"/>
    <w:rsid w:val="004E3092"/>
    <w:rsid w:val="004E4AF3"/>
    <w:rsid w:val="004E5339"/>
    <w:rsid w:val="004E65DD"/>
    <w:rsid w:val="004E72B4"/>
    <w:rsid w:val="004E75E2"/>
    <w:rsid w:val="004E78E9"/>
    <w:rsid w:val="004F1DD0"/>
    <w:rsid w:val="004F39E2"/>
    <w:rsid w:val="004F42A8"/>
    <w:rsid w:val="004F467D"/>
    <w:rsid w:val="004F549E"/>
    <w:rsid w:val="004F7344"/>
    <w:rsid w:val="00500494"/>
    <w:rsid w:val="00504C79"/>
    <w:rsid w:val="00504F01"/>
    <w:rsid w:val="005152C7"/>
    <w:rsid w:val="00516293"/>
    <w:rsid w:val="0051692C"/>
    <w:rsid w:val="005175FE"/>
    <w:rsid w:val="005201C0"/>
    <w:rsid w:val="005201E9"/>
    <w:rsid w:val="00521B4C"/>
    <w:rsid w:val="00522E2A"/>
    <w:rsid w:val="005256D3"/>
    <w:rsid w:val="005259E7"/>
    <w:rsid w:val="005265A5"/>
    <w:rsid w:val="005271DD"/>
    <w:rsid w:val="00527760"/>
    <w:rsid w:val="00527B27"/>
    <w:rsid w:val="00531386"/>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399"/>
    <w:rsid w:val="00556526"/>
    <w:rsid w:val="00556F85"/>
    <w:rsid w:val="005570A7"/>
    <w:rsid w:val="005606DC"/>
    <w:rsid w:val="00561130"/>
    <w:rsid w:val="00564B1B"/>
    <w:rsid w:val="0056773D"/>
    <w:rsid w:val="00567DEC"/>
    <w:rsid w:val="0057035B"/>
    <w:rsid w:val="0057428A"/>
    <w:rsid w:val="005818E3"/>
    <w:rsid w:val="0058207F"/>
    <w:rsid w:val="00582D26"/>
    <w:rsid w:val="0058358B"/>
    <w:rsid w:val="00583A87"/>
    <w:rsid w:val="00583DBC"/>
    <w:rsid w:val="00585D65"/>
    <w:rsid w:val="00586159"/>
    <w:rsid w:val="0058675D"/>
    <w:rsid w:val="00587F86"/>
    <w:rsid w:val="005948EF"/>
    <w:rsid w:val="00597430"/>
    <w:rsid w:val="005A03DD"/>
    <w:rsid w:val="005A0B70"/>
    <w:rsid w:val="005A0C96"/>
    <w:rsid w:val="005A40A4"/>
    <w:rsid w:val="005A48DF"/>
    <w:rsid w:val="005A5161"/>
    <w:rsid w:val="005A5A37"/>
    <w:rsid w:val="005A5C9D"/>
    <w:rsid w:val="005A704E"/>
    <w:rsid w:val="005A782D"/>
    <w:rsid w:val="005B0526"/>
    <w:rsid w:val="005B187B"/>
    <w:rsid w:val="005B2577"/>
    <w:rsid w:val="005B2924"/>
    <w:rsid w:val="005B2D66"/>
    <w:rsid w:val="005B306B"/>
    <w:rsid w:val="005C04B1"/>
    <w:rsid w:val="005C2ABA"/>
    <w:rsid w:val="005C524E"/>
    <w:rsid w:val="005C5AB9"/>
    <w:rsid w:val="005C6AB8"/>
    <w:rsid w:val="005D2136"/>
    <w:rsid w:val="005D3E68"/>
    <w:rsid w:val="005D427D"/>
    <w:rsid w:val="005D52E5"/>
    <w:rsid w:val="005D5F88"/>
    <w:rsid w:val="005D6057"/>
    <w:rsid w:val="005D778C"/>
    <w:rsid w:val="005E0C8B"/>
    <w:rsid w:val="005E0EC2"/>
    <w:rsid w:val="005E17C2"/>
    <w:rsid w:val="005E1C60"/>
    <w:rsid w:val="005E2CBE"/>
    <w:rsid w:val="005E4870"/>
    <w:rsid w:val="005E57C9"/>
    <w:rsid w:val="005E5878"/>
    <w:rsid w:val="005E6329"/>
    <w:rsid w:val="005F0A3D"/>
    <w:rsid w:val="005F0F6B"/>
    <w:rsid w:val="005F2582"/>
    <w:rsid w:val="005F265B"/>
    <w:rsid w:val="005F34F8"/>
    <w:rsid w:val="005F4C97"/>
    <w:rsid w:val="005F5311"/>
    <w:rsid w:val="00601339"/>
    <w:rsid w:val="00601861"/>
    <w:rsid w:val="0060197F"/>
    <w:rsid w:val="00601CB2"/>
    <w:rsid w:val="00605902"/>
    <w:rsid w:val="00606105"/>
    <w:rsid w:val="00610D6E"/>
    <w:rsid w:val="0061124D"/>
    <w:rsid w:val="00611905"/>
    <w:rsid w:val="00613283"/>
    <w:rsid w:val="00613A39"/>
    <w:rsid w:val="00614401"/>
    <w:rsid w:val="006157B3"/>
    <w:rsid w:val="006214B0"/>
    <w:rsid w:val="00622ABC"/>
    <w:rsid w:val="00623204"/>
    <w:rsid w:val="00624034"/>
    <w:rsid w:val="00627C05"/>
    <w:rsid w:val="00631D8C"/>
    <w:rsid w:val="00631E24"/>
    <w:rsid w:val="0063347E"/>
    <w:rsid w:val="00633C1D"/>
    <w:rsid w:val="00634A13"/>
    <w:rsid w:val="00635FBD"/>
    <w:rsid w:val="00636CCE"/>
    <w:rsid w:val="00637269"/>
    <w:rsid w:val="00641B59"/>
    <w:rsid w:val="006442E0"/>
    <w:rsid w:val="006444A9"/>
    <w:rsid w:val="00645D40"/>
    <w:rsid w:val="0064607A"/>
    <w:rsid w:val="00647AEA"/>
    <w:rsid w:val="00650CFB"/>
    <w:rsid w:val="00652672"/>
    <w:rsid w:val="00654FC9"/>
    <w:rsid w:val="0065542B"/>
    <w:rsid w:val="00655625"/>
    <w:rsid w:val="0065594D"/>
    <w:rsid w:val="00655A90"/>
    <w:rsid w:val="00655BA3"/>
    <w:rsid w:val="006562E4"/>
    <w:rsid w:val="0065656E"/>
    <w:rsid w:val="0065683D"/>
    <w:rsid w:val="006569D5"/>
    <w:rsid w:val="00656FE2"/>
    <w:rsid w:val="0065714F"/>
    <w:rsid w:val="00657AD2"/>
    <w:rsid w:val="00660D6F"/>
    <w:rsid w:val="00660FBB"/>
    <w:rsid w:val="00664518"/>
    <w:rsid w:val="006645DB"/>
    <w:rsid w:val="00664F22"/>
    <w:rsid w:val="00667A13"/>
    <w:rsid w:val="00670241"/>
    <w:rsid w:val="00670F81"/>
    <w:rsid w:val="00671B55"/>
    <w:rsid w:val="00671DB5"/>
    <w:rsid w:val="00674872"/>
    <w:rsid w:val="00674DE5"/>
    <w:rsid w:val="0067797A"/>
    <w:rsid w:val="00680D8A"/>
    <w:rsid w:val="00682454"/>
    <w:rsid w:val="006829E6"/>
    <w:rsid w:val="006832CF"/>
    <w:rsid w:val="00686BB2"/>
    <w:rsid w:val="006876AA"/>
    <w:rsid w:val="006878E1"/>
    <w:rsid w:val="0069304A"/>
    <w:rsid w:val="0069590B"/>
    <w:rsid w:val="00695BD5"/>
    <w:rsid w:val="0069684A"/>
    <w:rsid w:val="006969AA"/>
    <w:rsid w:val="00697D6C"/>
    <w:rsid w:val="006A048D"/>
    <w:rsid w:val="006A19F1"/>
    <w:rsid w:val="006A2ADE"/>
    <w:rsid w:val="006A2DBF"/>
    <w:rsid w:val="006A3EBA"/>
    <w:rsid w:val="006A4D45"/>
    <w:rsid w:val="006A77BA"/>
    <w:rsid w:val="006B5CAE"/>
    <w:rsid w:val="006B6EA6"/>
    <w:rsid w:val="006B6FF3"/>
    <w:rsid w:val="006C0343"/>
    <w:rsid w:val="006C1704"/>
    <w:rsid w:val="006C1A65"/>
    <w:rsid w:val="006C29A7"/>
    <w:rsid w:val="006C3DBC"/>
    <w:rsid w:val="006C5090"/>
    <w:rsid w:val="006C6261"/>
    <w:rsid w:val="006C6430"/>
    <w:rsid w:val="006C707E"/>
    <w:rsid w:val="006D1505"/>
    <w:rsid w:val="006D2BA9"/>
    <w:rsid w:val="006D397E"/>
    <w:rsid w:val="006D4E40"/>
    <w:rsid w:val="006E1CCD"/>
    <w:rsid w:val="006E2366"/>
    <w:rsid w:val="006E4352"/>
    <w:rsid w:val="006E4547"/>
    <w:rsid w:val="006E483B"/>
    <w:rsid w:val="006E492B"/>
    <w:rsid w:val="006E5BE6"/>
    <w:rsid w:val="006E68D0"/>
    <w:rsid w:val="006E6E70"/>
    <w:rsid w:val="006F1D13"/>
    <w:rsid w:val="006F2861"/>
    <w:rsid w:val="006F36EF"/>
    <w:rsid w:val="006F40B0"/>
    <w:rsid w:val="006F41C6"/>
    <w:rsid w:val="006F47A8"/>
    <w:rsid w:val="006F4986"/>
    <w:rsid w:val="006F6085"/>
    <w:rsid w:val="006F6CBD"/>
    <w:rsid w:val="0070030F"/>
    <w:rsid w:val="007003E3"/>
    <w:rsid w:val="007009B9"/>
    <w:rsid w:val="00701598"/>
    <w:rsid w:val="007015BB"/>
    <w:rsid w:val="00701639"/>
    <w:rsid w:val="00701893"/>
    <w:rsid w:val="007021E5"/>
    <w:rsid w:val="00703430"/>
    <w:rsid w:val="00703640"/>
    <w:rsid w:val="00704A95"/>
    <w:rsid w:val="00705F2D"/>
    <w:rsid w:val="00706392"/>
    <w:rsid w:val="007065DE"/>
    <w:rsid w:val="00706EB2"/>
    <w:rsid w:val="00707156"/>
    <w:rsid w:val="00707C71"/>
    <w:rsid w:val="00707C99"/>
    <w:rsid w:val="0071145A"/>
    <w:rsid w:val="00711C9A"/>
    <w:rsid w:val="00712A62"/>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378D"/>
    <w:rsid w:val="00733D4C"/>
    <w:rsid w:val="00737844"/>
    <w:rsid w:val="00737EF5"/>
    <w:rsid w:val="007413BB"/>
    <w:rsid w:val="007415C6"/>
    <w:rsid w:val="00744447"/>
    <w:rsid w:val="00751717"/>
    <w:rsid w:val="007542CA"/>
    <w:rsid w:val="00754CE1"/>
    <w:rsid w:val="0075586B"/>
    <w:rsid w:val="007600A3"/>
    <w:rsid w:val="00760BFE"/>
    <w:rsid w:val="0076127D"/>
    <w:rsid w:val="00761481"/>
    <w:rsid w:val="00761F1D"/>
    <w:rsid w:val="007642C1"/>
    <w:rsid w:val="00764BDD"/>
    <w:rsid w:val="00764EF8"/>
    <w:rsid w:val="00766200"/>
    <w:rsid w:val="007703E9"/>
    <w:rsid w:val="007708AB"/>
    <w:rsid w:val="00771625"/>
    <w:rsid w:val="00772376"/>
    <w:rsid w:val="00772FA0"/>
    <w:rsid w:val="00773577"/>
    <w:rsid w:val="00775298"/>
    <w:rsid w:val="00775590"/>
    <w:rsid w:val="0077564F"/>
    <w:rsid w:val="00776706"/>
    <w:rsid w:val="00781235"/>
    <w:rsid w:val="00784355"/>
    <w:rsid w:val="00786117"/>
    <w:rsid w:val="00787327"/>
    <w:rsid w:val="007905FF"/>
    <w:rsid w:val="007906AF"/>
    <w:rsid w:val="007906F7"/>
    <w:rsid w:val="00790B57"/>
    <w:rsid w:val="00792806"/>
    <w:rsid w:val="0079295B"/>
    <w:rsid w:val="00794424"/>
    <w:rsid w:val="00794C89"/>
    <w:rsid w:val="007950DD"/>
    <w:rsid w:val="00796444"/>
    <w:rsid w:val="007965C0"/>
    <w:rsid w:val="007965E2"/>
    <w:rsid w:val="00797191"/>
    <w:rsid w:val="007A09BB"/>
    <w:rsid w:val="007A1D74"/>
    <w:rsid w:val="007A20FA"/>
    <w:rsid w:val="007A3F3F"/>
    <w:rsid w:val="007A4108"/>
    <w:rsid w:val="007A4B5F"/>
    <w:rsid w:val="007A4EA9"/>
    <w:rsid w:val="007A5ADD"/>
    <w:rsid w:val="007A7EDD"/>
    <w:rsid w:val="007A7F95"/>
    <w:rsid w:val="007B087C"/>
    <w:rsid w:val="007B1018"/>
    <w:rsid w:val="007B3958"/>
    <w:rsid w:val="007B3BEB"/>
    <w:rsid w:val="007B403D"/>
    <w:rsid w:val="007C14D0"/>
    <w:rsid w:val="007C1AD6"/>
    <w:rsid w:val="007C1EA1"/>
    <w:rsid w:val="007C213D"/>
    <w:rsid w:val="007C3FF2"/>
    <w:rsid w:val="007C4E10"/>
    <w:rsid w:val="007C50F9"/>
    <w:rsid w:val="007C69FE"/>
    <w:rsid w:val="007D13E3"/>
    <w:rsid w:val="007D13F3"/>
    <w:rsid w:val="007D2A4B"/>
    <w:rsid w:val="007D39D3"/>
    <w:rsid w:val="007D461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279A"/>
    <w:rsid w:val="0082527A"/>
    <w:rsid w:val="00825CD8"/>
    <w:rsid w:val="00826E97"/>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74ED7"/>
    <w:rsid w:val="00881AC0"/>
    <w:rsid w:val="0088213F"/>
    <w:rsid w:val="00883121"/>
    <w:rsid w:val="0088392F"/>
    <w:rsid w:val="0088400A"/>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3BF"/>
    <w:rsid w:val="008A57E8"/>
    <w:rsid w:val="008A690D"/>
    <w:rsid w:val="008A6E28"/>
    <w:rsid w:val="008B4093"/>
    <w:rsid w:val="008B47F3"/>
    <w:rsid w:val="008B5C61"/>
    <w:rsid w:val="008B6C1E"/>
    <w:rsid w:val="008B760D"/>
    <w:rsid w:val="008C3689"/>
    <w:rsid w:val="008C44CB"/>
    <w:rsid w:val="008C50AF"/>
    <w:rsid w:val="008D1D39"/>
    <w:rsid w:val="008D426D"/>
    <w:rsid w:val="008D4E58"/>
    <w:rsid w:val="008D5049"/>
    <w:rsid w:val="008D538C"/>
    <w:rsid w:val="008D6DDF"/>
    <w:rsid w:val="008D6FDB"/>
    <w:rsid w:val="008D721C"/>
    <w:rsid w:val="008E21A0"/>
    <w:rsid w:val="008E33FD"/>
    <w:rsid w:val="008E44D1"/>
    <w:rsid w:val="008E65A0"/>
    <w:rsid w:val="008E661B"/>
    <w:rsid w:val="008E75E7"/>
    <w:rsid w:val="008E7F8A"/>
    <w:rsid w:val="008F1161"/>
    <w:rsid w:val="008F479E"/>
    <w:rsid w:val="009011F1"/>
    <w:rsid w:val="00903260"/>
    <w:rsid w:val="00905BA5"/>
    <w:rsid w:val="00907807"/>
    <w:rsid w:val="00910014"/>
    <w:rsid w:val="009117F7"/>
    <w:rsid w:val="009127A6"/>
    <w:rsid w:val="00914463"/>
    <w:rsid w:val="0091528B"/>
    <w:rsid w:val="009157B1"/>
    <w:rsid w:val="00915DC7"/>
    <w:rsid w:val="0091674F"/>
    <w:rsid w:val="00917CAF"/>
    <w:rsid w:val="00921004"/>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AFE"/>
    <w:rsid w:val="00946ECB"/>
    <w:rsid w:val="00950AD3"/>
    <w:rsid w:val="00951B99"/>
    <w:rsid w:val="00951CDB"/>
    <w:rsid w:val="00951EC0"/>
    <w:rsid w:val="00952A87"/>
    <w:rsid w:val="00952B66"/>
    <w:rsid w:val="00952E95"/>
    <w:rsid w:val="00952F86"/>
    <w:rsid w:val="00955C03"/>
    <w:rsid w:val="00956DE7"/>
    <w:rsid w:val="0095706F"/>
    <w:rsid w:val="00961D32"/>
    <w:rsid w:val="0096387F"/>
    <w:rsid w:val="0096389B"/>
    <w:rsid w:val="00964237"/>
    <w:rsid w:val="009647EC"/>
    <w:rsid w:val="00965812"/>
    <w:rsid w:val="00966813"/>
    <w:rsid w:val="009669F7"/>
    <w:rsid w:val="00966C4D"/>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3C6F"/>
    <w:rsid w:val="00997863"/>
    <w:rsid w:val="009978D1"/>
    <w:rsid w:val="009978E7"/>
    <w:rsid w:val="00997B70"/>
    <w:rsid w:val="009A31D3"/>
    <w:rsid w:val="009A3BD0"/>
    <w:rsid w:val="009A3D48"/>
    <w:rsid w:val="009A40B3"/>
    <w:rsid w:val="009A4C12"/>
    <w:rsid w:val="009A54F3"/>
    <w:rsid w:val="009A5B27"/>
    <w:rsid w:val="009A6404"/>
    <w:rsid w:val="009A701F"/>
    <w:rsid w:val="009A71E4"/>
    <w:rsid w:val="009A7279"/>
    <w:rsid w:val="009A7E68"/>
    <w:rsid w:val="009B046A"/>
    <w:rsid w:val="009B29C9"/>
    <w:rsid w:val="009B4291"/>
    <w:rsid w:val="009B4F3F"/>
    <w:rsid w:val="009B559E"/>
    <w:rsid w:val="009B5B67"/>
    <w:rsid w:val="009B6B40"/>
    <w:rsid w:val="009C05B2"/>
    <w:rsid w:val="009C0809"/>
    <w:rsid w:val="009C1066"/>
    <w:rsid w:val="009C1372"/>
    <w:rsid w:val="009C353B"/>
    <w:rsid w:val="009C5373"/>
    <w:rsid w:val="009C5669"/>
    <w:rsid w:val="009C6404"/>
    <w:rsid w:val="009D0240"/>
    <w:rsid w:val="009D1CF8"/>
    <w:rsid w:val="009D1FC0"/>
    <w:rsid w:val="009D2D03"/>
    <w:rsid w:val="009D3B98"/>
    <w:rsid w:val="009D44A7"/>
    <w:rsid w:val="009D55E8"/>
    <w:rsid w:val="009D56D8"/>
    <w:rsid w:val="009D5ECD"/>
    <w:rsid w:val="009D6055"/>
    <w:rsid w:val="009D6445"/>
    <w:rsid w:val="009D7BF6"/>
    <w:rsid w:val="009E0D31"/>
    <w:rsid w:val="009E10EE"/>
    <w:rsid w:val="009E12A8"/>
    <w:rsid w:val="009E2DB1"/>
    <w:rsid w:val="009E5F11"/>
    <w:rsid w:val="009E6480"/>
    <w:rsid w:val="009E7994"/>
    <w:rsid w:val="009F143B"/>
    <w:rsid w:val="009F2DB4"/>
    <w:rsid w:val="009F2EEB"/>
    <w:rsid w:val="009F2F3F"/>
    <w:rsid w:val="009F56DB"/>
    <w:rsid w:val="009F58BA"/>
    <w:rsid w:val="009F73BD"/>
    <w:rsid w:val="009F75DF"/>
    <w:rsid w:val="00A00055"/>
    <w:rsid w:val="00A00101"/>
    <w:rsid w:val="00A0075C"/>
    <w:rsid w:val="00A02270"/>
    <w:rsid w:val="00A04D03"/>
    <w:rsid w:val="00A077D2"/>
    <w:rsid w:val="00A1000C"/>
    <w:rsid w:val="00A16942"/>
    <w:rsid w:val="00A17A72"/>
    <w:rsid w:val="00A20E69"/>
    <w:rsid w:val="00A23D9B"/>
    <w:rsid w:val="00A23DD8"/>
    <w:rsid w:val="00A2528C"/>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1BD6"/>
    <w:rsid w:val="00A427D6"/>
    <w:rsid w:val="00A4323C"/>
    <w:rsid w:val="00A45A2D"/>
    <w:rsid w:val="00A46E96"/>
    <w:rsid w:val="00A47051"/>
    <w:rsid w:val="00A4759A"/>
    <w:rsid w:val="00A47679"/>
    <w:rsid w:val="00A47AAA"/>
    <w:rsid w:val="00A501AE"/>
    <w:rsid w:val="00A507AC"/>
    <w:rsid w:val="00A51E98"/>
    <w:rsid w:val="00A52030"/>
    <w:rsid w:val="00A5230D"/>
    <w:rsid w:val="00A54E47"/>
    <w:rsid w:val="00A5541B"/>
    <w:rsid w:val="00A5787A"/>
    <w:rsid w:val="00A57DC6"/>
    <w:rsid w:val="00A60E9F"/>
    <w:rsid w:val="00A62A69"/>
    <w:rsid w:val="00A62BEC"/>
    <w:rsid w:val="00A63A63"/>
    <w:rsid w:val="00A658C1"/>
    <w:rsid w:val="00A66684"/>
    <w:rsid w:val="00A734AD"/>
    <w:rsid w:val="00A74C70"/>
    <w:rsid w:val="00A75B36"/>
    <w:rsid w:val="00A76050"/>
    <w:rsid w:val="00A76A29"/>
    <w:rsid w:val="00A77039"/>
    <w:rsid w:val="00A770E4"/>
    <w:rsid w:val="00A804D9"/>
    <w:rsid w:val="00A81C21"/>
    <w:rsid w:val="00A82018"/>
    <w:rsid w:val="00A837A0"/>
    <w:rsid w:val="00A83E6A"/>
    <w:rsid w:val="00A84263"/>
    <w:rsid w:val="00A87813"/>
    <w:rsid w:val="00A90707"/>
    <w:rsid w:val="00A90926"/>
    <w:rsid w:val="00A924D3"/>
    <w:rsid w:val="00A927BE"/>
    <w:rsid w:val="00A928EC"/>
    <w:rsid w:val="00A94273"/>
    <w:rsid w:val="00A96EE6"/>
    <w:rsid w:val="00A97287"/>
    <w:rsid w:val="00A978D8"/>
    <w:rsid w:val="00AA0B0F"/>
    <w:rsid w:val="00AA15E5"/>
    <w:rsid w:val="00AA18F9"/>
    <w:rsid w:val="00AA287A"/>
    <w:rsid w:val="00AA2AA2"/>
    <w:rsid w:val="00AA2DED"/>
    <w:rsid w:val="00AA4E5D"/>
    <w:rsid w:val="00AA79FD"/>
    <w:rsid w:val="00AB1C66"/>
    <w:rsid w:val="00AB4214"/>
    <w:rsid w:val="00AB435C"/>
    <w:rsid w:val="00AB4BA8"/>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6E2"/>
    <w:rsid w:val="00B07EF2"/>
    <w:rsid w:val="00B106B7"/>
    <w:rsid w:val="00B10BD5"/>
    <w:rsid w:val="00B11C1C"/>
    <w:rsid w:val="00B12E7A"/>
    <w:rsid w:val="00B13613"/>
    <w:rsid w:val="00B15624"/>
    <w:rsid w:val="00B17BD8"/>
    <w:rsid w:val="00B17E56"/>
    <w:rsid w:val="00B23F78"/>
    <w:rsid w:val="00B24136"/>
    <w:rsid w:val="00B256E8"/>
    <w:rsid w:val="00B25C34"/>
    <w:rsid w:val="00B26EEA"/>
    <w:rsid w:val="00B30B53"/>
    <w:rsid w:val="00B313E9"/>
    <w:rsid w:val="00B32325"/>
    <w:rsid w:val="00B32AAC"/>
    <w:rsid w:val="00B3379E"/>
    <w:rsid w:val="00B340A4"/>
    <w:rsid w:val="00B340D4"/>
    <w:rsid w:val="00B34434"/>
    <w:rsid w:val="00B35531"/>
    <w:rsid w:val="00B355EC"/>
    <w:rsid w:val="00B411A3"/>
    <w:rsid w:val="00B431AF"/>
    <w:rsid w:val="00B443CF"/>
    <w:rsid w:val="00B45C2D"/>
    <w:rsid w:val="00B46D45"/>
    <w:rsid w:val="00B47985"/>
    <w:rsid w:val="00B50F76"/>
    <w:rsid w:val="00B52A6F"/>
    <w:rsid w:val="00B53696"/>
    <w:rsid w:val="00B541DE"/>
    <w:rsid w:val="00B56649"/>
    <w:rsid w:val="00B567F2"/>
    <w:rsid w:val="00B625F2"/>
    <w:rsid w:val="00B62982"/>
    <w:rsid w:val="00B62B5B"/>
    <w:rsid w:val="00B64FA2"/>
    <w:rsid w:val="00B65520"/>
    <w:rsid w:val="00B663DC"/>
    <w:rsid w:val="00B67430"/>
    <w:rsid w:val="00B70EC3"/>
    <w:rsid w:val="00B710D8"/>
    <w:rsid w:val="00B73629"/>
    <w:rsid w:val="00B7466E"/>
    <w:rsid w:val="00B74AE3"/>
    <w:rsid w:val="00B75E89"/>
    <w:rsid w:val="00B779BD"/>
    <w:rsid w:val="00B8021E"/>
    <w:rsid w:val="00B8028F"/>
    <w:rsid w:val="00B833BE"/>
    <w:rsid w:val="00B85B5D"/>
    <w:rsid w:val="00B87B08"/>
    <w:rsid w:val="00B90F2F"/>
    <w:rsid w:val="00B91E2B"/>
    <w:rsid w:val="00B921E4"/>
    <w:rsid w:val="00B93C7A"/>
    <w:rsid w:val="00B94AD0"/>
    <w:rsid w:val="00B956C4"/>
    <w:rsid w:val="00B96782"/>
    <w:rsid w:val="00BA08F1"/>
    <w:rsid w:val="00BA0DAB"/>
    <w:rsid w:val="00BA303A"/>
    <w:rsid w:val="00BA4C54"/>
    <w:rsid w:val="00BA7FF0"/>
    <w:rsid w:val="00BB02FF"/>
    <w:rsid w:val="00BB1409"/>
    <w:rsid w:val="00BB2152"/>
    <w:rsid w:val="00BB2BE0"/>
    <w:rsid w:val="00BB3529"/>
    <w:rsid w:val="00BB405B"/>
    <w:rsid w:val="00BB4B19"/>
    <w:rsid w:val="00BB68F9"/>
    <w:rsid w:val="00BB7FC6"/>
    <w:rsid w:val="00BC1799"/>
    <w:rsid w:val="00BC2663"/>
    <w:rsid w:val="00BC29D0"/>
    <w:rsid w:val="00BC4043"/>
    <w:rsid w:val="00BC4A27"/>
    <w:rsid w:val="00BC4FD6"/>
    <w:rsid w:val="00BC6AAC"/>
    <w:rsid w:val="00BC6D3A"/>
    <w:rsid w:val="00BC7548"/>
    <w:rsid w:val="00BD10A5"/>
    <w:rsid w:val="00BD128D"/>
    <w:rsid w:val="00BD6F2D"/>
    <w:rsid w:val="00BD797F"/>
    <w:rsid w:val="00BD7F12"/>
    <w:rsid w:val="00BE1470"/>
    <w:rsid w:val="00BE7C72"/>
    <w:rsid w:val="00BF1421"/>
    <w:rsid w:val="00BF2468"/>
    <w:rsid w:val="00BF414E"/>
    <w:rsid w:val="00BF42B2"/>
    <w:rsid w:val="00BF5CEF"/>
    <w:rsid w:val="00BF78BF"/>
    <w:rsid w:val="00C00BBF"/>
    <w:rsid w:val="00C02CC4"/>
    <w:rsid w:val="00C03B68"/>
    <w:rsid w:val="00C04AA4"/>
    <w:rsid w:val="00C04EC8"/>
    <w:rsid w:val="00C05445"/>
    <w:rsid w:val="00C06BE9"/>
    <w:rsid w:val="00C112C9"/>
    <w:rsid w:val="00C12CBD"/>
    <w:rsid w:val="00C13469"/>
    <w:rsid w:val="00C134DB"/>
    <w:rsid w:val="00C13D2F"/>
    <w:rsid w:val="00C16D8A"/>
    <w:rsid w:val="00C20847"/>
    <w:rsid w:val="00C222E3"/>
    <w:rsid w:val="00C25B78"/>
    <w:rsid w:val="00C264DC"/>
    <w:rsid w:val="00C26907"/>
    <w:rsid w:val="00C314B3"/>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55704"/>
    <w:rsid w:val="00C6074A"/>
    <w:rsid w:val="00C61FF5"/>
    <w:rsid w:val="00C63606"/>
    <w:rsid w:val="00C649B2"/>
    <w:rsid w:val="00C6662D"/>
    <w:rsid w:val="00C671F5"/>
    <w:rsid w:val="00C67588"/>
    <w:rsid w:val="00C67ADF"/>
    <w:rsid w:val="00C67E5D"/>
    <w:rsid w:val="00C67F17"/>
    <w:rsid w:val="00C70DB9"/>
    <w:rsid w:val="00C72528"/>
    <w:rsid w:val="00C74013"/>
    <w:rsid w:val="00C74025"/>
    <w:rsid w:val="00C748FF"/>
    <w:rsid w:val="00C74DA7"/>
    <w:rsid w:val="00C767DA"/>
    <w:rsid w:val="00C76D70"/>
    <w:rsid w:val="00C805FB"/>
    <w:rsid w:val="00C80BC3"/>
    <w:rsid w:val="00C80CA7"/>
    <w:rsid w:val="00C8227D"/>
    <w:rsid w:val="00C82585"/>
    <w:rsid w:val="00C8269C"/>
    <w:rsid w:val="00C83750"/>
    <w:rsid w:val="00C8590C"/>
    <w:rsid w:val="00C86509"/>
    <w:rsid w:val="00C8675B"/>
    <w:rsid w:val="00C86CD7"/>
    <w:rsid w:val="00C86F17"/>
    <w:rsid w:val="00C86F88"/>
    <w:rsid w:val="00C87223"/>
    <w:rsid w:val="00C87AD2"/>
    <w:rsid w:val="00C90BBF"/>
    <w:rsid w:val="00C91729"/>
    <w:rsid w:val="00C91865"/>
    <w:rsid w:val="00C9376B"/>
    <w:rsid w:val="00C9581A"/>
    <w:rsid w:val="00C960BE"/>
    <w:rsid w:val="00C9791B"/>
    <w:rsid w:val="00CA27CB"/>
    <w:rsid w:val="00CA3682"/>
    <w:rsid w:val="00CA5B5C"/>
    <w:rsid w:val="00CA71C3"/>
    <w:rsid w:val="00CB0040"/>
    <w:rsid w:val="00CB1689"/>
    <w:rsid w:val="00CB3481"/>
    <w:rsid w:val="00CB4013"/>
    <w:rsid w:val="00CB44BB"/>
    <w:rsid w:val="00CB4580"/>
    <w:rsid w:val="00CB5FE1"/>
    <w:rsid w:val="00CC2A7C"/>
    <w:rsid w:val="00CC4AEF"/>
    <w:rsid w:val="00CC6C0C"/>
    <w:rsid w:val="00CC719D"/>
    <w:rsid w:val="00CC724A"/>
    <w:rsid w:val="00CD38AE"/>
    <w:rsid w:val="00CD44B9"/>
    <w:rsid w:val="00CD482D"/>
    <w:rsid w:val="00CD4BE8"/>
    <w:rsid w:val="00CD5C0E"/>
    <w:rsid w:val="00CD7A5F"/>
    <w:rsid w:val="00CE2834"/>
    <w:rsid w:val="00CE354F"/>
    <w:rsid w:val="00CE7264"/>
    <w:rsid w:val="00CF158B"/>
    <w:rsid w:val="00CF5301"/>
    <w:rsid w:val="00CF534A"/>
    <w:rsid w:val="00CF55D6"/>
    <w:rsid w:val="00CF6484"/>
    <w:rsid w:val="00CF7478"/>
    <w:rsid w:val="00CF78D3"/>
    <w:rsid w:val="00D016C5"/>
    <w:rsid w:val="00D01D1A"/>
    <w:rsid w:val="00D02312"/>
    <w:rsid w:val="00D07B07"/>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27C3C"/>
    <w:rsid w:val="00D322D9"/>
    <w:rsid w:val="00D333A4"/>
    <w:rsid w:val="00D35DD1"/>
    <w:rsid w:val="00D373B3"/>
    <w:rsid w:val="00D40191"/>
    <w:rsid w:val="00D4077C"/>
    <w:rsid w:val="00D41162"/>
    <w:rsid w:val="00D422AF"/>
    <w:rsid w:val="00D4253A"/>
    <w:rsid w:val="00D43EB8"/>
    <w:rsid w:val="00D45148"/>
    <w:rsid w:val="00D46C5C"/>
    <w:rsid w:val="00D50B42"/>
    <w:rsid w:val="00D51285"/>
    <w:rsid w:val="00D513C0"/>
    <w:rsid w:val="00D5307F"/>
    <w:rsid w:val="00D56587"/>
    <w:rsid w:val="00D56939"/>
    <w:rsid w:val="00D57228"/>
    <w:rsid w:val="00D6027C"/>
    <w:rsid w:val="00D618A4"/>
    <w:rsid w:val="00D61C6D"/>
    <w:rsid w:val="00D62940"/>
    <w:rsid w:val="00D64034"/>
    <w:rsid w:val="00D6481C"/>
    <w:rsid w:val="00D65324"/>
    <w:rsid w:val="00D65726"/>
    <w:rsid w:val="00D67EE2"/>
    <w:rsid w:val="00D7246B"/>
    <w:rsid w:val="00D724FF"/>
    <w:rsid w:val="00D726ED"/>
    <w:rsid w:val="00D72832"/>
    <w:rsid w:val="00D73109"/>
    <w:rsid w:val="00D73C0A"/>
    <w:rsid w:val="00D76513"/>
    <w:rsid w:val="00D76C43"/>
    <w:rsid w:val="00D80C4B"/>
    <w:rsid w:val="00D810EC"/>
    <w:rsid w:val="00D8255C"/>
    <w:rsid w:val="00D835B6"/>
    <w:rsid w:val="00D84464"/>
    <w:rsid w:val="00D8548C"/>
    <w:rsid w:val="00D91782"/>
    <w:rsid w:val="00D92107"/>
    <w:rsid w:val="00D925A8"/>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1A4C"/>
    <w:rsid w:val="00DE2966"/>
    <w:rsid w:val="00DE5C24"/>
    <w:rsid w:val="00DE6DA2"/>
    <w:rsid w:val="00DF0424"/>
    <w:rsid w:val="00DF3781"/>
    <w:rsid w:val="00DF6291"/>
    <w:rsid w:val="00DF6E69"/>
    <w:rsid w:val="00DF779F"/>
    <w:rsid w:val="00E0140B"/>
    <w:rsid w:val="00E01785"/>
    <w:rsid w:val="00E01BEC"/>
    <w:rsid w:val="00E0292D"/>
    <w:rsid w:val="00E03F92"/>
    <w:rsid w:val="00E0595F"/>
    <w:rsid w:val="00E06847"/>
    <w:rsid w:val="00E06EE2"/>
    <w:rsid w:val="00E07CB1"/>
    <w:rsid w:val="00E107CA"/>
    <w:rsid w:val="00E1216B"/>
    <w:rsid w:val="00E1477F"/>
    <w:rsid w:val="00E14C65"/>
    <w:rsid w:val="00E16C63"/>
    <w:rsid w:val="00E23093"/>
    <w:rsid w:val="00E25D54"/>
    <w:rsid w:val="00E2709A"/>
    <w:rsid w:val="00E30166"/>
    <w:rsid w:val="00E30E76"/>
    <w:rsid w:val="00E31E0C"/>
    <w:rsid w:val="00E32DAA"/>
    <w:rsid w:val="00E3322A"/>
    <w:rsid w:val="00E341F5"/>
    <w:rsid w:val="00E3654E"/>
    <w:rsid w:val="00E367B7"/>
    <w:rsid w:val="00E36DE4"/>
    <w:rsid w:val="00E37F2E"/>
    <w:rsid w:val="00E37F93"/>
    <w:rsid w:val="00E4176F"/>
    <w:rsid w:val="00E43171"/>
    <w:rsid w:val="00E43B5E"/>
    <w:rsid w:val="00E43D94"/>
    <w:rsid w:val="00E4442B"/>
    <w:rsid w:val="00E45B51"/>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4137"/>
    <w:rsid w:val="00E753EC"/>
    <w:rsid w:val="00E76B37"/>
    <w:rsid w:val="00E772CA"/>
    <w:rsid w:val="00E80D65"/>
    <w:rsid w:val="00E8259B"/>
    <w:rsid w:val="00E8557F"/>
    <w:rsid w:val="00E864E4"/>
    <w:rsid w:val="00E8709F"/>
    <w:rsid w:val="00E900E2"/>
    <w:rsid w:val="00E91723"/>
    <w:rsid w:val="00E93537"/>
    <w:rsid w:val="00E95356"/>
    <w:rsid w:val="00E960DD"/>
    <w:rsid w:val="00E96580"/>
    <w:rsid w:val="00E968FC"/>
    <w:rsid w:val="00EA0220"/>
    <w:rsid w:val="00EA0ADC"/>
    <w:rsid w:val="00EA21E9"/>
    <w:rsid w:val="00EA4C4B"/>
    <w:rsid w:val="00EA4E22"/>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2C95"/>
    <w:rsid w:val="00ED38AF"/>
    <w:rsid w:val="00ED45E8"/>
    <w:rsid w:val="00ED60A1"/>
    <w:rsid w:val="00ED6123"/>
    <w:rsid w:val="00ED6269"/>
    <w:rsid w:val="00ED69A0"/>
    <w:rsid w:val="00EE184B"/>
    <w:rsid w:val="00EE1C4A"/>
    <w:rsid w:val="00EE1EB0"/>
    <w:rsid w:val="00EE453C"/>
    <w:rsid w:val="00EE6052"/>
    <w:rsid w:val="00EE6D21"/>
    <w:rsid w:val="00EE6F4A"/>
    <w:rsid w:val="00EF15EF"/>
    <w:rsid w:val="00EF379C"/>
    <w:rsid w:val="00F0012D"/>
    <w:rsid w:val="00F006E8"/>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0CD8"/>
    <w:rsid w:val="00F21BC5"/>
    <w:rsid w:val="00F221E2"/>
    <w:rsid w:val="00F24EDD"/>
    <w:rsid w:val="00F25216"/>
    <w:rsid w:val="00F25CB6"/>
    <w:rsid w:val="00F26D2D"/>
    <w:rsid w:val="00F3167E"/>
    <w:rsid w:val="00F31AB9"/>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67367"/>
    <w:rsid w:val="00F70C4B"/>
    <w:rsid w:val="00F713A4"/>
    <w:rsid w:val="00F715EA"/>
    <w:rsid w:val="00F72D00"/>
    <w:rsid w:val="00F73696"/>
    <w:rsid w:val="00F73A95"/>
    <w:rsid w:val="00F73C1E"/>
    <w:rsid w:val="00F771DE"/>
    <w:rsid w:val="00F81150"/>
    <w:rsid w:val="00F833B7"/>
    <w:rsid w:val="00F83A22"/>
    <w:rsid w:val="00F843B1"/>
    <w:rsid w:val="00F84CF9"/>
    <w:rsid w:val="00F87C6C"/>
    <w:rsid w:val="00F87E38"/>
    <w:rsid w:val="00F9075C"/>
    <w:rsid w:val="00F91A73"/>
    <w:rsid w:val="00F92849"/>
    <w:rsid w:val="00F92DBC"/>
    <w:rsid w:val="00F94424"/>
    <w:rsid w:val="00F94599"/>
    <w:rsid w:val="00F97EA2"/>
    <w:rsid w:val="00FA155E"/>
    <w:rsid w:val="00FA2322"/>
    <w:rsid w:val="00FA244A"/>
    <w:rsid w:val="00FA31B9"/>
    <w:rsid w:val="00FB297F"/>
    <w:rsid w:val="00FB4B0C"/>
    <w:rsid w:val="00FB57F1"/>
    <w:rsid w:val="00FB638E"/>
    <w:rsid w:val="00FC0980"/>
    <w:rsid w:val="00FC0D10"/>
    <w:rsid w:val="00FC1934"/>
    <w:rsid w:val="00FC3693"/>
    <w:rsid w:val="00FC3CCB"/>
    <w:rsid w:val="00FC5555"/>
    <w:rsid w:val="00FD127E"/>
    <w:rsid w:val="00FD78D4"/>
    <w:rsid w:val="00FE1D8F"/>
    <w:rsid w:val="00FE2169"/>
    <w:rsid w:val="00FE288E"/>
    <w:rsid w:val="00FE38F0"/>
    <w:rsid w:val="00FE400D"/>
    <w:rsid w:val="00FE43A9"/>
    <w:rsid w:val="00FE6588"/>
    <w:rsid w:val="00FE70D2"/>
    <w:rsid w:val="00FE73F3"/>
    <w:rsid w:val="00FE7B84"/>
    <w:rsid w:val="00FF2CF8"/>
    <w:rsid w:val="00FF32B0"/>
    <w:rsid w:val="00FF41F3"/>
    <w:rsid w:val="00FF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A05"/>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customStyle="1" w:styleId="TextonotapieCar">
    <w:name w:val="Texto nota pie Car"/>
    <w:basedOn w:val="Fuentedeprrafopredeter"/>
    <w:link w:val="Textonotapie"/>
    <w:uiPriority w:val="99"/>
    <w:rsid w:val="00F37DF8"/>
    <w:rPr>
      <w:sz w:val="20"/>
      <w:szCs w:val="20"/>
    </w:rPr>
  </w:style>
  <w:style w:type="character" w:styleId="Refdenotaalpie">
    <w:name w:val="footnote reference"/>
    <w:basedOn w:val="Fuentedeprrafopredeter"/>
    <w:uiPriority w:val="99"/>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 w:type="paragraph" w:customStyle="1" w:styleId="Pa4">
    <w:name w:val="Pa4"/>
    <w:basedOn w:val="Default"/>
    <w:next w:val="Default"/>
    <w:uiPriority w:val="99"/>
    <w:rsid w:val="00C8590C"/>
    <w:pPr>
      <w:spacing w:line="241" w:lineRule="atLeast"/>
    </w:pPr>
    <w:rPr>
      <w:rFonts w:ascii="Museo Sans 700" w:eastAsiaTheme="minorHAnsi" w:hAnsi="Museo Sans 700" w:cstheme="minorBid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1398879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2060035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0351016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56203408">
      <w:bodyDiv w:val="1"/>
      <w:marLeft w:val="0"/>
      <w:marRight w:val="0"/>
      <w:marTop w:val="0"/>
      <w:marBottom w:val="0"/>
      <w:divBdr>
        <w:top w:val="none" w:sz="0" w:space="0" w:color="auto"/>
        <w:left w:val="none" w:sz="0" w:space="0" w:color="auto"/>
        <w:bottom w:val="none" w:sz="0" w:space="0" w:color="auto"/>
        <w:right w:val="none" w:sz="0" w:space="0" w:color="auto"/>
      </w:divBdr>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42068686">
      <w:bodyDiv w:val="1"/>
      <w:marLeft w:val="0"/>
      <w:marRight w:val="0"/>
      <w:marTop w:val="0"/>
      <w:marBottom w:val="0"/>
      <w:divBdr>
        <w:top w:val="none" w:sz="0" w:space="0" w:color="auto"/>
        <w:left w:val="none" w:sz="0" w:space="0" w:color="auto"/>
        <w:bottom w:val="none" w:sz="0" w:space="0" w:color="auto"/>
        <w:right w:val="none" w:sz="0" w:space="0" w:color="auto"/>
      </w:divBdr>
    </w:div>
    <w:div w:id="450829794">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4096201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2997695">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08184366">
      <w:bodyDiv w:val="1"/>
      <w:marLeft w:val="0"/>
      <w:marRight w:val="0"/>
      <w:marTop w:val="0"/>
      <w:marBottom w:val="0"/>
      <w:divBdr>
        <w:top w:val="none" w:sz="0" w:space="0" w:color="auto"/>
        <w:left w:val="none" w:sz="0" w:space="0" w:color="auto"/>
        <w:bottom w:val="none" w:sz="0" w:space="0" w:color="auto"/>
        <w:right w:val="none" w:sz="0" w:space="0" w:color="auto"/>
      </w:divBdr>
    </w:div>
    <w:div w:id="711661000">
      <w:bodyDiv w:val="1"/>
      <w:marLeft w:val="0"/>
      <w:marRight w:val="0"/>
      <w:marTop w:val="0"/>
      <w:marBottom w:val="0"/>
      <w:divBdr>
        <w:top w:val="none" w:sz="0" w:space="0" w:color="auto"/>
        <w:left w:val="none" w:sz="0" w:space="0" w:color="auto"/>
        <w:bottom w:val="none" w:sz="0" w:space="0" w:color="auto"/>
        <w:right w:val="none" w:sz="0" w:space="0" w:color="auto"/>
      </w:divBdr>
    </w:div>
    <w:div w:id="711729646">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2394053">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40381702">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84766653">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4609978">
      <w:bodyDiv w:val="1"/>
      <w:marLeft w:val="0"/>
      <w:marRight w:val="0"/>
      <w:marTop w:val="0"/>
      <w:marBottom w:val="0"/>
      <w:divBdr>
        <w:top w:val="none" w:sz="0" w:space="0" w:color="auto"/>
        <w:left w:val="none" w:sz="0" w:space="0" w:color="auto"/>
        <w:bottom w:val="none" w:sz="0" w:space="0" w:color="auto"/>
        <w:right w:val="none" w:sz="0" w:space="0" w:color="auto"/>
      </w:divBdr>
    </w:div>
    <w:div w:id="1193956047">
      <w:bodyDiv w:val="1"/>
      <w:marLeft w:val="0"/>
      <w:marRight w:val="0"/>
      <w:marTop w:val="0"/>
      <w:marBottom w:val="0"/>
      <w:divBdr>
        <w:top w:val="none" w:sz="0" w:space="0" w:color="auto"/>
        <w:left w:val="none" w:sz="0" w:space="0" w:color="auto"/>
        <w:bottom w:val="none" w:sz="0" w:space="0" w:color="auto"/>
        <w:right w:val="none" w:sz="0" w:space="0" w:color="auto"/>
      </w:divBdr>
    </w:div>
    <w:div w:id="1206481376">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042039">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12250839">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731282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5263498">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25500484">
      <w:bodyDiv w:val="1"/>
      <w:marLeft w:val="0"/>
      <w:marRight w:val="0"/>
      <w:marTop w:val="0"/>
      <w:marBottom w:val="0"/>
      <w:divBdr>
        <w:top w:val="none" w:sz="0" w:space="0" w:color="auto"/>
        <w:left w:val="none" w:sz="0" w:space="0" w:color="auto"/>
        <w:bottom w:val="none" w:sz="0" w:space="0" w:color="auto"/>
        <w:right w:val="none" w:sz="0" w:space="0" w:color="auto"/>
      </w:divBdr>
    </w:div>
    <w:div w:id="1632712163">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1179264">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27881977">
      <w:bodyDiv w:val="1"/>
      <w:marLeft w:val="0"/>
      <w:marRight w:val="0"/>
      <w:marTop w:val="0"/>
      <w:marBottom w:val="0"/>
      <w:divBdr>
        <w:top w:val="none" w:sz="0" w:space="0" w:color="auto"/>
        <w:left w:val="none" w:sz="0" w:space="0" w:color="auto"/>
        <w:bottom w:val="none" w:sz="0" w:space="0" w:color="auto"/>
        <w:right w:val="none" w:sz="0" w:space="0" w:color="auto"/>
      </w:divBdr>
    </w:div>
    <w:div w:id="1931311330">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2761148">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6072470">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support.apple.com/es-mx/guide/icloud/mmfc0f0165/icloud" TargetMode="External"/><Relationship Id="rId2" Type="http://schemas.openxmlformats.org/officeDocument/2006/relationships/hyperlink" Target="https://www.yape.com.pe/preguntas-frecuentes/temas-urgentes/46--con-quien-me-contacto-en-caso-de-robo-o-perdida-del-celular" TargetMode="External"/><Relationship Id="rId1" Type="http://schemas.openxmlformats.org/officeDocument/2006/relationships/hyperlink" Target="https://www.viabcp.com/ayuda-bcp/operaciones-digitales/como-desafiliar-dispositivo-app-banca-movil-bcp" TargetMode="External"/><Relationship Id="rId4" Type="http://schemas.openxmlformats.org/officeDocument/2006/relationships/hyperlink" Target="https://www.entel.pe/informacion-a-abonados-y-usuarios/bloque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7FEB5F6-A363-4E5D-AD7D-E08ABE293633}"/>
</file>

<file path=customXml/itemProps3.xml><?xml version="1.0" encoding="utf-8"?>
<ds:datastoreItem xmlns:ds="http://schemas.openxmlformats.org/officeDocument/2006/customXml" ds:itemID="{07369469-CDE4-4855-894D-BB283BDE590D}"/>
</file>

<file path=customXml/itemProps4.xml><?xml version="1.0" encoding="utf-8"?>
<ds:datastoreItem xmlns:ds="http://schemas.openxmlformats.org/officeDocument/2006/customXml" ds:itemID="{A93E74E2-951A-46E5-8BE4-6FD63A8BC6AC}"/>
</file>

<file path=docProps/app.xml><?xml version="1.0" encoding="utf-8"?>
<Properties xmlns="http://schemas.openxmlformats.org/officeDocument/2006/extended-properties" xmlns:vt="http://schemas.openxmlformats.org/officeDocument/2006/docPropsVTypes">
  <Template>Normal</Template>
  <TotalTime>8</TotalTime>
  <Pages>10</Pages>
  <Words>4838</Words>
  <Characters>25545</Characters>
  <Application>Microsoft Office Word</Application>
  <DocSecurity>0</DocSecurity>
  <Lines>399</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10</cp:revision>
  <cp:lastPrinted>2025-10-21T18:02:00Z</cp:lastPrinted>
  <dcterms:created xsi:type="dcterms:W3CDTF">2025-10-21T17:55:00Z</dcterms:created>
  <dcterms:modified xsi:type="dcterms:W3CDTF">2025-10-21T18:03:00Z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