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BB199" w14:textId="77777777" w:rsidR="00D12B6B" w:rsidRPr="00826E97" w:rsidRDefault="00D12B6B" w:rsidP="00272F4F">
      <w:pPr>
        <w:spacing w:after="0" w:line="240" w:lineRule="auto"/>
        <w:jc w:val="center"/>
        <w:rPr>
          <w:rFonts w:ascii="Times New Roman" w:hAnsi="Times New Roman" w:cs="Times New Roman"/>
          <w:b/>
          <w:sz w:val="24"/>
          <w:szCs w:val="24"/>
          <w:lang w:val="es-PE" w:eastAsia="ar-SA"/>
        </w:rPr>
      </w:pPr>
    </w:p>
    <w:p w14:paraId="249E375F" w14:textId="508747CF" w:rsidR="008D087B" w:rsidRDefault="00201C0D" w:rsidP="008D087B">
      <w:pPr>
        <w:spacing w:after="0" w:line="240" w:lineRule="auto"/>
        <w:jc w:val="center"/>
        <w:rPr>
          <w:rFonts w:ascii="Times New Roman" w:hAnsi="Times New Roman" w:cs="Times New Roman"/>
          <w:b/>
          <w:sz w:val="24"/>
          <w:szCs w:val="24"/>
          <w:lang w:val="es-PE" w:eastAsia="ar-SA"/>
        </w:rPr>
      </w:pPr>
      <w:r w:rsidRPr="00826E97">
        <w:rPr>
          <w:rFonts w:ascii="Times New Roman" w:hAnsi="Times New Roman" w:cs="Times New Roman"/>
          <w:b/>
          <w:sz w:val="24"/>
          <w:szCs w:val="24"/>
          <w:lang w:val="es-PE" w:eastAsia="ar-SA"/>
        </w:rPr>
        <w:t>RESOLUCIÓN</w:t>
      </w:r>
      <w:r w:rsidR="009D55E8" w:rsidRPr="00826E97">
        <w:rPr>
          <w:rFonts w:ascii="Times New Roman" w:hAnsi="Times New Roman" w:cs="Times New Roman"/>
          <w:b/>
          <w:sz w:val="24"/>
          <w:szCs w:val="24"/>
          <w:lang w:val="es-PE" w:eastAsia="ar-SA"/>
        </w:rPr>
        <w:t xml:space="preserve"> DE IMPUGNACIÓN</w:t>
      </w:r>
      <w:r w:rsidRPr="00826E97">
        <w:rPr>
          <w:rFonts w:ascii="Times New Roman" w:hAnsi="Times New Roman" w:cs="Times New Roman"/>
          <w:b/>
          <w:sz w:val="24"/>
          <w:szCs w:val="24"/>
          <w:lang w:val="es-PE" w:eastAsia="ar-SA"/>
        </w:rPr>
        <w:t xml:space="preserve"> </w:t>
      </w:r>
      <w:r w:rsidR="00D12B6B" w:rsidRPr="00826E97">
        <w:rPr>
          <w:rFonts w:ascii="Times New Roman" w:hAnsi="Times New Roman" w:cs="Times New Roman"/>
          <w:b/>
          <w:sz w:val="24"/>
          <w:szCs w:val="24"/>
          <w:lang w:val="es-PE" w:eastAsia="ar-SA"/>
        </w:rPr>
        <w:t>N</w:t>
      </w:r>
      <w:r w:rsidR="00D373B3" w:rsidRPr="00826E97">
        <w:rPr>
          <w:rFonts w:ascii="Times New Roman" w:hAnsi="Times New Roman" w:cs="Times New Roman"/>
          <w:b/>
          <w:sz w:val="24"/>
          <w:szCs w:val="24"/>
          <w:lang w:val="es-PE" w:eastAsia="ar-SA"/>
        </w:rPr>
        <w:t>° 06</w:t>
      </w:r>
      <w:r w:rsidR="00C86513">
        <w:rPr>
          <w:rFonts w:ascii="Times New Roman" w:hAnsi="Times New Roman" w:cs="Times New Roman"/>
          <w:b/>
          <w:sz w:val="24"/>
          <w:szCs w:val="24"/>
          <w:lang w:val="es-PE" w:eastAsia="ar-SA"/>
        </w:rPr>
        <w:t>3</w:t>
      </w:r>
      <w:r w:rsidR="00AA2AA2" w:rsidRPr="00826E97">
        <w:rPr>
          <w:rFonts w:ascii="Times New Roman" w:hAnsi="Times New Roman" w:cs="Times New Roman"/>
          <w:b/>
          <w:sz w:val="24"/>
          <w:szCs w:val="24"/>
          <w:lang w:val="es-PE" w:eastAsia="ar-SA"/>
        </w:rPr>
        <w:t>/25</w:t>
      </w:r>
      <w:bookmarkStart w:id="0" w:name="_Hlk198053358"/>
    </w:p>
    <w:p w14:paraId="5618302D" w14:textId="77777777" w:rsidR="008D087B" w:rsidRPr="008D087B" w:rsidRDefault="008D087B" w:rsidP="008D087B">
      <w:pPr>
        <w:spacing w:after="0" w:line="240" w:lineRule="auto"/>
        <w:jc w:val="center"/>
        <w:rPr>
          <w:rFonts w:ascii="Times New Roman" w:hAnsi="Times New Roman" w:cs="Times New Roman"/>
          <w:b/>
          <w:sz w:val="24"/>
          <w:szCs w:val="24"/>
          <w:lang w:val="es-PE" w:eastAsia="ar-SA"/>
        </w:rPr>
      </w:pPr>
    </w:p>
    <w:p w14:paraId="5AFAF6BD" w14:textId="68724B4D" w:rsidR="00D461AA" w:rsidRPr="00D461AA" w:rsidRDefault="00D461AA" w:rsidP="00D461AA">
      <w:pPr>
        <w:spacing w:after="200" w:line="240" w:lineRule="auto"/>
        <w:jc w:val="both"/>
        <w:rPr>
          <w:rFonts w:ascii="Times New Roman" w:hAnsi="Times New Roman" w:cs="Times New Roman"/>
          <w:b/>
          <w:sz w:val="24"/>
          <w:szCs w:val="24"/>
          <w:lang w:val="es-MX"/>
        </w:rPr>
      </w:pPr>
      <w:r w:rsidRPr="00D461AA">
        <w:rPr>
          <w:rFonts w:ascii="Times New Roman" w:hAnsi="Times New Roman" w:cs="Times New Roman"/>
          <w:b/>
          <w:sz w:val="24"/>
          <w:szCs w:val="24"/>
          <w:lang w:val="es-MX"/>
        </w:rPr>
        <w:t>VISTOS:</w:t>
      </w:r>
    </w:p>
    <w:p w14:paraId="55A5296A" w14:textId="5D496B30" w:rsidR="00D461AA" w:rsidRPr="00D461AA" w:rsidRDefault="00D461AA" w:rsidP="00D461AA">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El Recurso de Impugnación presentado el 14 de octubre de 2025 por doña …………………, respecto de la Resolución Nro. 153/25 de fecha 29 de setiembre de 2025, expedida por esta Defensoría del Asegurado (DEFASEG), conforme a la cual se declaró INFUNDADA la reclamación interpuesta contra ………………… respecto de la póliza Protección Familiar N° …………………. </w:t>
      </w:r>
    </w:p>
    <w:p w14:paraId="7D6A64BE" w14:textId="24472995" w:rsidR="00D461AA" w:rsidRPr="00D461AA" w:rsidRDefault="00D461AA" w:rsidP="00D461AA">
      <w:pPr>
        <w:spacing w:after="200" w:line="240" w:lineRule="auto"/>
        <w:jc w:val="both"/>
        <w:rPr>
          <w:rFonts w:ascii="Times New Roman" w:hAnsi="Times New Roman" w:cs="Times New Roman"/>
          <w:bCs/>
          <w:sz w:val="24"/>
          <w:szCs w:val="24"/>
          <w:lang w:val="es-MX"/>
        </w:rPr>
      </w:pPr>
      <w:r>
        <w:rPr>
          <w:rFonts w:ascii="Times New Roman" w:hAnsi="Times New Roman"/>
          <w:sz w:val="24"/>
        </w:rPr>
        <w:t xml:space="preserve">Que, el indicado recurso se sustenta resumidamente en lo siguiente: a) inobservancia del artículo 9 de la ley 29946 y falta de motivación respecto al plazo de 30 días para invocar la nulidad por reticencia o declaración inexacta, toda vez que la Historia Clínica completa fue presentada el 10 de setiembre de 2024 y el rechazo de cobertura fue comunicado el 19 de noviembre de 2024; por lo que la nulidad no fue invocada dentro del plazo legal; b) contradicción interna entre la cláusula de indisputabilidad y la aplicación de la exclusión por preexistencia, lo que constituye una contradicción lógica y jurídica pues si la DEFASEG admite la indisputabilidad por ausencia de dolo no puede sin motivación razonado aceptar la exclusión por enfermedad preexistente; c) aplicación desigual e insuficiente del estándar probatorio (vicio de la valoración de la prueba y de la carga de la prueba) las simples anotaciones sin respaldo diagnóstico ni continuidad de tratamiento no constituyen prueba plena de una enfermedad que justifique la exclusión, la DEFASEG no exigió ni ordenó la práctica de una pericia médica que confrontara los registros, aplicó un estándar probatorio más favorable a la aseguradora, la omisión de pericia médica en la valoración probatoria es en opinión de la reclamante vicio grave; d) vicio de motivación en la calificación de la conducta de imputación de culpa inexcusable lo cual requiere motivación específica; e) vicio en la apreciación del nexo causal, falta de contraste técnico entre el certificado de defunción y la Historia Clínica, toda vez que se toma como determinante la mención de la diabetes en el certificado de defunción para establecer la relación causal entre la diabetes y el infarto cerebral, cuando el certificado de defunción constituye indicio pero no reemplaza una valoración técnica pericial que contraste la relación causal entre una condición de salud y la causa última de fallecimiento, DEFASEG no ordenó pericia ni confrontó estudios, la conclusión es prematura y carente de soporte pericial, lo que vulnera la sana crítica y debida diligencia probatoria; f) omisión de valoración de pruebas aportadas por la reclamante y ausencia de motivación suficiente que es causal de revocatoria. Finalmente la reclamante señala que se reserva el derecho de accionar judicialmente en caso no se repare el agravio.</w:t>
      </w:r>
    </w:p>
    <w:p w14:paraId="402B8AD2" w14:textId="5C791C4C" w:rsidR="00D461AA" w:rsidRPr="00D461AA" w:rsidRDefault="00D461AA" w:rsidP="00D461AA">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Que, absolviendo lo requerido por la DEFASEG, la reclamante señaló que con fecha 25 de setiembre de 2025, ………………… solicitó la Historia Clínica de los centros de salud donde el asegurado tuvo atenciones de preferencia de fecha anterior al inicio de vigencia de la póliza, a fin de deslindar la exclusión de enfermedades preexistentes. Asimismo manifestó que mediante correo electrónico de fecha 30 de octubre de 2024 presentó la Historia Clínica emitida por la Dirección de Redes Integrales de Salud de Lima ………………….</w:t>
      </w:r>
    </w:p>
    <w:p w14:paraId="6179660A" w14:textId="77777777" w:rsidR="00D461AA" w:rsidRPr="00D461AA" w:rsidRDefault="00D461AA" w:rsidP="00D461AA">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Que, habiéndose corrido traslado de la respectiva impugnación a la compañía de seguros, y luego del requerimiento realizado por la DEFASEG, la aseguradora señala que con fecha 30 de octubre de 2024, la Sra.………………… completó la documentación presentado la Historia Clínica nacional. Asimismo añade que la Carta de Rechazo fue notificada el 19 de noviembre de 2024.  </w:t>
      </w:r>
    </w:p>
    <w:p w14:paraId="094C7FFA" w14:textId="77777777" w:rsidR="00D461AA" w:rsidRPr="00D461AA" w:rsidRDefault="00D461AA" w:rsidP="00D461AA">
      <w:pPr>
        <w:spacing w:after="200" w:line="240" w:lineRule="auto"/>
        <w:jc w:val="both"/>
        <w:rPr>
          <w:rFonts w:ascii="Times New Roman" w:hAnsi="Times New Roman" w:cs="Times New Roman"/>
          <w:bCs/>
          <w:sz w:val="24"/>
          <w:szCs w:val="24"/>
          <w:lang w:val="es-PE"/>
        </w:rPr>
      </w:pPr>
    </w:p>
    <w:p w14:paraId="776E621F" w14:textId="67A2ACB7" w:rsidR="00D461AA" w:rsidRPr="00D461AA" w:rsidRDefault="00D461AA" w:rsidP="00D461AA">
      <w:pPr>
        <w:spacing w:after="200" w:line="240" w:lineRule="auto"/>
        <w:jc w:val="both"/>
        <w:rPr>
          <w:rFonts w:ascii="Times New Roman" w:hAnsi="Times New Roman" w:cs="Times New Roman"/>
          <w:bCs/>
          <w:sz w:val="24"/>
          <w:szCs w:val="24"/>
          <w:lang w:val="es-MX"/>
        </w:rPr>
      </w:pPr>
      <w:r w:rsidRPr="00D461AA">
        <w:rPr>
          <w:rFonts w:ascii="Times New Roman" w:hAnsi="Times New Roman" w:cs="Times New Roman"/>
          <w:bCs/>
          <w:sz w:val="24"/>
          <w:szCs w:val="24"/>
          <w:lang w:val="es-MX"/>
        </w:rPr>
        <w:t>Atendiendo a lo expuesto, esta Defensoría resuelve finalmente lo siguiente:</w:t>
      </w:r>
    </w:p>
    <w:p w14:paraId="70699138" w14:textId="6B249310" w:rsidR="00D461AA" w:rsidRPr="00D461AA" w:rsidRDefault="00D461AA" w:rsidP="00D461AA">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de Impugnación.  </w:t>
      </w:r>
    </w:p>
    <w:p w14:paraId="7C004F9B" w14:textId="75E374E5" w:rsidR="00D461AA" w:rsidRPr="00D461AA" w:rsidRDefault="00D461AA" w:rsidP="00D461AA">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Conforme a ello, en el caso concreto, al interponer el Recurso de Impugnación el reclamante ha ejercido formalmente su derecho a contradecir lo resuelto por la Defensoría.</w:t>
      </w:r>
    </w:p>
    <w:p w14:paraId="604E22B6" w14:textId="7CD43063" w:rsidR="00D461AA" w:rsidRPr="00D461AA" w:rsidRDefault="00D461AA" w:rsidP="00D461AA">
      <w:pPr>
        <w:spacing w:after="200" w:line="240" w:lineRule="auto"/>
        <w:jc w:val="both"/>
        <w:rPr>
          <w:rFonts w:ascii="Times New Roman" w:hAnsi="Times New Roman" w:cs="Times New Roman"/>
          <w:sz w:val="24"/>
          <w:szCs w:val="24"/>
          <w:lang w:val="es-ES"/>
        </w:rPr>
      </w:pPr>
      <w:r w:rsidRPr="00D461AA">
        <w:rPr>
          <w:rFonts w:ascii="Times New Roman" w:hAnsi="Times New Roman" w:cs="Times New Roman"/>
          <w:b/>
          <w:sz w:val="24"/>
          <w:szCs w:val="24"/>
          <w:u w:val="single"/>
          <w:lang w:val="es-PE"/>
        </w:rPr>
        <w:t>SEGUNDO:</w:t>
      </w:r>
      <w:r w:rsidRPr="00D461AA">
        <w:rPr>
          <w:rFonts w:ascii="Times New Roman" w:hAnsi="Times New Roman" w:cs="Times New Roman"/>
          <w:bCs/>
          <w:sz w:val="24"/>
          <w:szCs w:val="24"/>
          <w:lang w:val="es-PE"/>
        </w:rPr>
        <w:t xml:space="preserve">  </w:t>
      </w:r>
      <w:r w:rsidRPr="00D461AA">
        <w:rPr>
          <w:rFonts w:ascii="Times New Roman" w:hAnsi="Times New Roman" w:cs="Times New Roman"/>
          <w:sz w:val="24"/>
          <w:szCs w:val="24"/>
          <w:lang w:val="es-ES"/>
        </w:rPr>
        <w:t>Que el reclamante expresa su posición y manifiesta las razones por las cuales discrepa de lo resuelto por esta Defensoría, las cuales han sido resumidas en la introducción de la presente resolución.</w:t>
      </w:r>
    </w:p>
    <w:p w14:paraId="19838A26" w14:textId="63ADBEFA" w:rsidR="00D461AA" w:rsidRPr="00D461AA" w:rsidRDefault="00D461AA" w:rsidP="00D461AA">
      <w:pPr>
        <w:spacing w:after="200" w:line="240" w:lineRule="auto"/>
        <w:jc w:val="both"/>
        <w:rPr>
          <w:rFonts w:ascii="Times New Roman" w:hAnsi="Times New Roman" w:cs="Times New Roman"/>
          <w:sz w:val="24"/>
          <w:szCs w:val="24"/>
          <w:lang w:val="es-ES"/>
        </w:rPr>
      </w:pPr>
      <w:r>
        <w:rPr>
          <w:rFonts w:ascii="Times New Roman" w:hAnsi="Times New Roman"/>
          <w:sz w:val="24"/>
        </w:rPr>
        <w:t xml:space="preserve">La reclamante considera que no se ha observado el artículo 9 de la Ley del Contrato de Seguro, el cual se refiere al plazo que tiene la compañía de seguros para pronunciarse sobre la nulidad del contrato. Llama la atención que la parte reclamante se refiera a la nulidad del contrato, cuando la Resolución Impugnada le da la razón en ese extremo y considera que el rechazo de cobertura basado en la nulidad de contrato no resulta legítimo, es decir, coincide con el asegurado en que el contrato es válido, </w:t>
      </w:r>
    </w:p>
    <w:p w14:paraId="4B575401" w14:textId="6FCCB867" w:rsidR="00D461AA" w:rsidRPr="00D461AA" w:rsidRDefault="00D461AA" w:rsidP="00D461AA">
      <w:pPr>
        <w:spacing w:after="200" w:line="240" w:lineRule="auto"/>
        <w:jc w:val="both"/>
        <w:rPr>
          <w:rFonts w:ascii="Times New Roman" w:hAnsi="Times New Roman" w:cs="Times New Roman"/>
          <w:sz w:val="24"/>
          <w:szCs w:val="24"/>
          <w:lang w:val="es-ES"/>
        </w:rPr>
      </w:pPr>
      <w:r w:rsidRPr="00D461AA">
        <w:rPr>
          <w:rFonts w:ascii="Times New Roman" w:hAnsi="Times New Roman" w:cs="Times New Roman"/>
          <w:sz w:val="24"/>
          <w:szCs w:val="24"/>
          <w:lang w:val="es-ES"/>
        </w:rPr>
        <w:t xml:space="preserve">La reclamante confunde el análisis sobre la nulidad o validez del contrato, con un rechazo basado en una causal de exclusión. Si se hubiera determinado la nulidad del contrato por reticencia o declaración inexacta, no se hubiera requerido analizar si estábamos ante una enfermedad preexistente como causa del fallecimiento, pues habiendo determinado la nulidad del mismo, carecería de sentido pronunciarse sobre cualquier cláusula establecida en el contrato de seguro, por ser este nulo. </w:t>
      </w:r>
    </w:p>
    <w:p w14:paraId="28123FB2" w14:textId="09CE61AF" w:rsidR="00D461AA" w:rsidRPr="00D461AA" w:rsidRDefault="00D461AA" w:rsidP="00D461AA">
      <w:pPr>
        <w:spacing w:after="200" w:line="240" w:lineRule="auto"/>
        <w:jc w:val="both"/>
        <w:rPr>
          <w:rFonts w:ascii="Times New Roman" w:hAnsi="Times New Roman" w:cs="Times New Roman"/>
          <w:sz w:val="24"/>
          <w:szCs w:val="24"/>
          <w:lang w:val="es-ES"/>
        </w:rPr>
      </w:pPr>
      <w:r w:rsidRPr="00D461AA">
        <w:rPr>
          <w:rFonts w:ascii="Times New Roman" w:hAnsi="Times New Roman" w:cs="Times New Roman"/>
          <w:sz w:val="24"/>
          <w:szCs w:val="24"/>
          <w:lang w:val="es-ES"/>
        </w:rPr>
        <w:t>Habiendo determinado la validez del contrato, carecía y carece de sentido analizar si se cumplió o no el plazo para pronunciarse sobre la nulidad del contrato, como lo requiere la reclamante. Sin perjuicio de lo cual, este colegiado toma nota de la invocación de la falta de cumplimiento del plazo -hecho no señalado en el reclamo- para efectos de determinar si el pronunciamiento de la aseguradora respecto de la cobertura solicitada se dio dentro del plazo de ley, aspecto que analizaremos en el cuarto considerando de esta resolución.</w:t>
      </w:r>
    </w:p>
    <w:p w14:paraId="5F225891" w14:textId="77777777" w:rsidR="00D461AA" w:rsidRPr="00D461AA" w:rsidRDefault="00D461AA" w:rsidP="00D461AA">
      <w:pPr>
        <w:spacing w:after="200" w:line="240" w:lineRule="auto"/>
        <w:jc w:val="both"/>
        <w:rPr>
          <w:rFonts w:ascii="Times New Roman" w:hAnsi="Times New Roman" w:cs="Times New Roman"/>
          <w:sz w:val="24"/>
          <w:szCs w:val="24"/>
          <w:lang w:val="es-ES"/>
        </w:rPr>
      </w:pPr>
      <w:r>
        <w:rPr>
          <w:rFonts w:ascii="Times New Roman" w:hAnsi="Times New Roman"/>
          <w:sz w:val="24"/>
        </w:rPr>
        <w:t xml:space="preserve">Otro argumento señalado por la reclamante es la falta de motivación en imputación de “culpa inexcusable” en el llenado de la declaración de salud, aspecto que fue analizado para determinar si existía dolo o no en la declaración inexacta. Este colegiado no comparte la posición de la reclamante cuando indica que no se señaló qué conducta concreta y probada de la contratante configura dicha culpa inexcusable, pues ello sí fue referido en la Resolución Impugnada. Sin perjuicio de ello, lo relevante en dicho análisis era determinar si existió dolo, pues de haberse concluido que existía dolo hubiéramos estado ante un contrato nulo. En este caso ya sea que la reclamante hubiera actuado con culpa inexcusable o culpa leve, o sin culpa, en aplicación de la cláusula de indisputabilidad que exigía “dolo”, se concluyó que el contrato era válido, es decir se le dio la razón a la reclamante en dicho extremo.</w:t>
      </w:r>
    </w:p>
    <w:p w14:paraId="43ACA8C3" w14:textId="77777777" w:rsidR="00D461AA" w:rsidRPr="00D461AA" w:rsidRDefault="00D461AA" w:rsidP="00D461AA">
      <w:pPr>
        <w:spacing w:after="200" w:line="240" w:lineRule="auto"/>
        <w:jc w:val="both"/>
        <w:rPr>
          <w:rFonts w:ascii="Times New Roman" w:hAnsi="Times New Roman" w:cs="Times New Roman"/>
          <w:sz w:val="24"/>
          <w:szCs w:val="24"/>
          <w:lang w:val="es-ES"/>
        </w:rPr>
      </w:pPr>
    </w:p>
    <w:p w14:paraId="2C3A454C" w14:textId="3A6AFB85" w:rsidR="00D461AA" w:rsidRPr="00D461AA" w:rsidRDefault="00D461AA" w:rsidP="00D461AA">
      <w:pPr>
        <w:spacing w:after="200" w:line="240" w:lineRule="auto"/>
        <w:jc w:val="both"/>
        <w:rPr>
          <w:rFonts w:ascii="Times New Roman" w:hAnsi="Times New Roman" w:cs="Times New Roman"/>
          <w:sz w:val="24"/>
          <w:szCs w:val="24"/>
          <w:lang w:val="es-ES"/>
        </w:rPr>
      </w:pPr>
      <w:r>
        <w:rPr>
          <w:rFonts w:ascii="Times New Roman" w:hAnsi="Times New Roman"/>
          <w:sz w:val="24"/>
        </w:rPr>
        <w:t xml:space="preserve">En lo que respecta a la supuesta contradicción entre la cláusula de indisputabilidad (referida a la nulidad) y la aplicación de la exclusión por preexistencia. La aseguradora rechazó la cobertura por dos causales: (i) nulidad de contrato; y (ii) exclusión por preexistencia. Reiteramos que se trata de supuestos distintos; y, conforme fue referido en la Resolución Impugnada, correspondía analizar primero si estábamos ante un contrato nulo o válido. Si era nulo, no procedía otorgar cobertura de seguro, independientemente de cuál hubiera sido la causa del siniestro. Estando ante un contrato válido, correspondía analizar el contenido del contrato, particularmente las exclusiones o supuestos en los que no procedía la cobertura de seguro (delimitación negativa del riesgo), entre ellos la invocada preexistencia.</w:t>
      </w:r>
    </w:p>
    <w:p w14:paraId="42194C93" w14:textId="03401D6E" w:rsidR="00D461AA" w:rsidRPr="00D461AA" w:rsidRDefault="00D461AA" w:rsidP="00D461AA">
      <w:pPr>
        <w:spacing w:after="200" w:line="240" w:lineRule="auto"/>
        <w:jc w:val="both"/>
        <w:rPr>
          <w:rFonts w:ascii="Times New Roman" w:hAnsi="Times New Roman" w:cs="Times New Roman"/>
          <w:sz w:val="24"/>
          <w:szCs w:val="24"/>
          <w:lang w:val="es-ES"/>
        </w:rPr>
      </w:pPr>
      <w:r>
        <w:rPr>
          <w:rFonts w:ascii="Times New Roman" w:hAnsi="Times New Roman"/>
          <w:sz w:val="24"/>
        </w:rPr>
        <w:t xml:space="preserve">A continuación, se copia parte pertinente de la Resolución Impugnada, donde se establece claramente la distinción entre nulidad y preexistencia, por lo cual no existe contradicción entre ambos, ya que son supuestos distintos.</w:t>
      </w:r>
    </w:p>
    <w:p w14:paraId="6BFAFB5D" w14:textId="26BDF542" w:rsidR="00D461AA" w:rsidRPr="00D461AA" w:rsidRDefault="00D461AA" w:rsidP="00D461AA">
      <w:pPr>
        <w:spacing w:after="200" w:line="240" w:lineRule="auto"/>
        <w:jc w:val="both"/>
        <w:rPr>
          <w:rFonts w:ascii="Times New Roman" w:hAnsi="Times New Roman" w:cs="Times New Roman"/>
          <w:i/>
          <w:iCs/>
          <w:sz w:val="24"/>
          <w:szCs w:val="24"/>
          <w:lang w:val="es-PE"/>
        </w:rPr>
      </w:pPr>
      <w:r w:rsidRPr="00D461AA">
        <w:rPr>
          <w:rFonts w:ascii="Times New Roman" w:hAnsi="Times New Roman" w:cs="Times New Roman"/>
          <w:b/>
          <w:bCs/>
          <w:i/>
          <w:iCs/>
          <w:sz w:val="24"/>
          <w:szCs w:val="24"/>
          <w:u w:val="single"/>
          <w:lang w:val="es-PE"/>
        </w:rPr>
        <w:t>“Sexto</w:t>
      </w:r>
      <w:r w:rsidRPr="00D461AA">
        <w:rPr>
          <w:rFonts w:ascii="Times New Roman" w:hAnsi="Times New Roman" w:cs="Times New Roman"/>
          <w:b/>
          <w:bCs/>
          <w:i/>
          <w:iCs/>
          <w:sz w:val="24"/>
          <w:szCs w:val="24"/>
          <w:lang w:val="es-PE"/>
        </w:rPr>
        <w:t xml:space="preserve">: </w:t>
      </w:r>
      <w:r w:rsidRPr="00D461AA">
        <w:rPr>
          <w:rFonts w:ascii="Times New Roman" w:hAnsi="Times New Roman" w:cs="Times New Roman"/>
          <w:i/>
          <w:iCs/>
          <w:sz w:val="24"/>
          <w:szCs w:val="24"/>
          <w:lang w:val="es-PE"/>
        </w:rPr>
        <w:t>Sobre la base de los términos contenidos en la reclamación y en su absolución, así como</w:t>
      </w:r>
      <w:r w:rsidRPr="00D461AA">
        <w:rPr>
          <w:rFonts w:ascii="Times New Roman" w:hAnsi="Times New Roman" w:cs="Times New Roman"/>
          <w:i/>
          <w:iCs/>
          <w:sz w:val="24"/>
          <w:szCs w:val="24"/>
          <w:lang w:val="es-419"/>
        </w:rPr>
        <w:t xml:space="preserve"> </w:t>
      </w:r>
      <w:r w:rsidRPr="00D461AA">
        <w:rPr>
          <w:rFonts w:ascii="Times New Roman" w:hAnsi="Times New Roman" w:cs="Times New Roman"/>
          <w:i/>
          <w:iCs/>
          <w:sz w:val="24"/>
          <w:szCs w:val="24"/>
          <w:lang w:val="es-PE"/>
        </w:rPr>
        <w:t xml:space="preserve">a lo tratado en la audiencia de vista, la cuestión controvertida radica en determinar si se incurrió, o no, en reticencia al momento de contratar la póliza y, como consecuencia de ello, determinar si el respectivo contrato es nulo o no. De concluirse en la nulidad del contrato, el rechazo de cobertura estaría plenamente justificado. </w:t>
      </w:r>
    </w:p>
    <w:p w14:paraId="4AD0ED4C" w14:textId="7AA5D153" w:rsidR="00D461AA" w:rsidRPr="00D461AA" w:rsidRDefault="00D461AA" w:rsidP="00D461AA">
      <w:pPr>
        <w:spacing w:after="200" w:line="240" w:lineRule="auto"/>
        <w:jc w:val="both"/>
        <w:rPr>
          <w:rFonts w:ascii="Times New Roman" w:hAnsi="Times New Roman" w:cs="Times New Roman"/>
          <w:i/>
          <w:iCs/>
          <w:sz w:val="24"/>
          <w:szCs w:val="24"/>
          <w:lang w:val="es-PE"/>
        </w:rPr>
      </w:pPr>
      <w:r w:rsidRPr="00D461AA">
        <w:rPr>
          <w:rFonts w:ascii="Times New Roman" w:hAnsi="Times New Roman" w:cs="Times New Roman"/>
          <w:i/>
          <w:iCs/>
          <w:sz w:val="24"/>
          <w:szCs w:val="24"/>
          <w:lang w:val="es-PE"/>
        </w:rPr>
        <w:t>De determinarse que no existió reticencia y el contrato de seguro es válido, corresponderá analizar si se ha configurado la exclusión prevista en la póliza consistente en enfermedad preexistente.</w:t>
      </w:r>
    </w:p>
    <w:p w14:paraId="5B0EB62F" w14:textId="1F8A8E27" w:rsidR="00D461AA" w:rsidRPr="00D461AA" w:rsidRDefault="00D461AA" w:rsidP="00D461AA">
      <w:pPr>
        <w:spacing w:after="200" w:line="240" w:lineRule="auto"/>
        <w:jc w:val="both"/>
        <w:rPr>
          <w:rFonts w:ascii="Times New Roman" w:hAnsi="Times New Roman" w:cs="Times New Roman"/>
          <w:i/>
          <w:iCs/>
          <w:sz w:val="24"/>
          <w:szCs w:val="24"/>
          <w:lang w:val="es-PE"/>
        </w:rPr>
      </w:pPr>
      <w:r w:rsidRPr="00D461AA">
        <w:rPr>
          <w:rFonts w:ascii="Times New Roman" w:hAnsi="Times New Roman" w:cs="Times New Roman"/>
          <w:i/>
          <w:iCs/>
          <w:sz w:val="24"/>
          <w:szCs w:val="24"/>
          <w:lang w:val="es-PE"/>
        </w:rPr>
        <w:t>Al respecto, es preciso distinguir entre el rechazo de cobertura por reticencia que se produce cuando se invoca la nulidad del contrato de seguro por declaraciones inexactas relevantes para la estimación del riesgo; y, el rechazo de cobertura por aplicación de la exclusión por preexistencia.</w:t>
      </w:r>
    </w:p>
    <w:p w14:paraId="099FC305" w14:textId="7E4C1086" w:rsidR="00D461AA" w:rsidRPr="00D461AA" w:rsidRDefault="00D461AA" w:rsidP="00D461AA">
      <w:pPr>
        <w:spacing w:after="200" w:line="240" w:lineRule="auto"/>
        <w:jc w:val="both"/>
        <w:rPr>
          <w:rFonts w:ascii="Times New Roman" w:hAnsi="Times New Roman" w:cs="Times New Roman"/>
          <w:i/>
          <w:iCs/>
          <w:sz w:val="24"/>
          <w:szCs w:val="24"/>
          <w:lang w:val="es-PE"/>
        </w:rPr>
      </w:pPr>
      <w:bookmarkStart w:id="1" w:name="_Hlk209222824"/>
      <w:r w:rsidRPr="00D461AA">
        <w:rPr>
          <w:rFonts w:ascii="Times New Roman" w:hAnsi="Times New Roman" w:cs="Times New Roman"/>
          <w:i/>
          <w:iCs/>
          <w:sz w:val="24"/>
          <w:szCs w:val="24"/>
          <w:lang w:val="es-PE"/>
        </w:rPr>
        <w:t>En el caso de la reticencia estamos ante un contrato de seguro que es nulo, debido a que fue contratado sobre la base de información inexacta que vicia la voluntad de la aseguradora, en tanto de haberse conocido la información correcta no se hubiera celebrado el contrato o se hubiera modificado sus condiciones.</w:t>
      </w:r>
    </w:p>
    <w:p w14:paraId="48699CA8" w14:textId="0ABE6B5B" w:rsidR="00D461AA" w:rsidRPr="00D461AA" w:rsidRDefault="00D461AA" w:rsidP="00D461AA">
      <w:pPr>
        <w:spacing w:after="200" w:line="240" w:lineRule="auto"/>
        <w:jc w:val="both"/>
        <w:rPr>
          <w:rFonts w:ascii="Times New Roman" w:hAnsi="Times New Roman" w:cs="Times New Roman"/>
          <w:i/>
          <w:iCs/>
          <w:sz w:val="24"/>
          <w:szCs w:val="24"/>
          <w:lang w:val="es-PE"/>
        </w:rPr>
      </w:pPr>
      <w:r w:rsidRPr="00D461AA">
        <w:rPr>
          <w:rFonts w:ascii="Times New Roman" w:hAnsi="Times New Roman" w:cs="Times New Roman"/>
          <w:i/>
          <w:iCs/>
          <w:sz w:val="24"/>
          <w:szCs w:val="24"/>
          <w:lang w:val="es-PE"/>
        </w:rPr>
        <w:t xml:space="preserve">En el caso de la exclusión de preexistencia, estamos ante un contrato de seguro válido, pero en el que la aseguradora se libera de su obligación de pago de la indemnización prevista en la póliza porque se ha configurado un supuesto expresamente excluido de la cobertura de seguro. </w:t>
      </w:r>
      <w:bookmarkEnd w:id="1"/>
    </w:p>
    <w:p w14:paraId="53C06945" w14:textId="2E1F7DF1" w:rsidR="00D461AA" w:rsidRPr="00D461AA" w:rsidRDefault="00D461AA" w:rsidP="00D461AA">
      <w:pPr>
        <w:spacing w:after="200" w:line="240" w:lineRule="auto"/>
        <w:jc w:val="both"/>
        <w:rPr>
          <w:rFonts w:ascii="Times New Roman" w:hAnsi="Times New Roman" w:cs="Times New Roman"/>
          <w:i/>
          <w:iCs/>
          <w:sz w:val="24"/>
          <w:szCs w:val="24"/>
          <w:lang w:val="es-PE"/>
        </w:rPr>
      </w:pPr>
      <w:r>
        <w:rPr>
          <w:rFonts w:ascii="Times New Roman" w:hAnsi="Times New Roman"/>
          <w:sz w:val="24"/>
        </w:rPr>
        <w:t xml:space="preserve">En este caso, al rechazar la cobertura de seguro, en la Carta de Rechazo …………………/43095 de fecha 19 de noviembre del 2024, la aseguradora ha invocado ambas situaciones: ha señalado que la cobertura no procede por preexistencia relacionado con la causa del fallecimiento; y, adicionalmente ha invocado la nulidad del contrato de seguro.”</w:t>
      </w:r>
    </w:p>
    <w:p w14:paraId="17935B27" w14:textId="77777777" w:rsidR="00D461AA" w:rsidRPr="00D461AA" w:rsidRDefault="00D461AA" w:rsidP="00D461AA">
      <w:pPr>
        <w:spacing w:after="200" w:line="240" w:lineRule="auto"/>
        <w:jc w:val="both"/>
        <w:rPr>
          <w:rFonts w:ascii="Times New Roman" w:hAnsi="Times New Roman" w:cs="Times New Roman"/>
          <w:sz w:val="24"/>
          <w:szCs w:val="24"/>
          <w:lang w:val="es-ES"/>
        </w:rPr>
      </w:pPr>
      <w:r>
        <w:rPr>
          <w:rFonts w:ascii="Times New Roman" w:hAnsi="Times New Roman"/>
          <w:sz w:val="24"/>
        </w:rPr>
        <w:t xml:space="preserve">TERCERO: En lo que respecta a la prexistencia, al nexo causal, a la falta de realización de una pericia y la invocada falta de motivación alegada por la recurrente; este colegiado respeta, pero no comparte la posición de la misma, toda vez que en la Historia Clínica del año 2013, previo a la contratación del seguro, se da cuenta del diagnóstico de diabetes, tal y como fue referido en la Resolución Impugnada, siendo que dichas anotaciones figuran suscritas por un médico colegiado, y esta enfermedad figura como causa del fallecimiento en el certificado de defunción.</w:t>
      </w:r>
    </w:p>
    <w:p w14:paraId="0B1CADE7" w14:textId="77777777" w:rsidR="00D461AA" w:rsidRPr="00D461AA" w:rsidRDefault="00D461AA" w:rsidP="00D461AA">
      <w:pPr>
        <w:spacing w:after="200" w:line="240" w:lineRule="auto"/>
        <w:jc w:val="both"/>
        <w:rPr>
          <w:rFonts w:ascii="Times New Roman" w:hAnsi="Times New Roman" w:cs="Times New Roman"/>
          <w:sz w:val="24"/>
          <w:szCs w:val="24"/>
          <w:lang w:val="es-ES"/>
        </w:rPr>
      </w:pPr>
    </w:p>
    <w:p w14:paraId="7C411752" w14:textId="3428C3D5" w:rsidR="00D461AA" w:rsidRPr="00D461AA" w:rsidRDefault="00D461AA" w:rsidP="00D461AA">
      <w:pPr>
        <w:spacing w:after="200" w:line="240" w:lineRule="auto"/>
        <w:jc w:val="both"/>
        <w:rPr>
          <w:rFonts w:ascii="Times New Roman" w:hAnsi="Times New Roman" w:cs="Times New Roman"/>
          <w:sz w:val="24"/>
          <w:szCs w:val="24"/>
          <w:lang w:val="es-ES"/>
        </w:rPr>
      </w:pPr>
      <w:r>
        <w:rPr>
          <w:rFonts w:ascii="Times New Roman" w:hAnsi="Times New Roman"/>
          <w:sz w:val="24"/>
        </w:rPr>
        <w:t xml:space="preserve">Cabe señalar que la DEFASEG no está obligada a realizar pericias, si no lo considera pertinente, lo que no impide que la parte afectada presente las pericias de parte que pudiera considerar pertinente para exponer su posición. En este caso, la Resolución Impugnada se ha basado en las pruebas que obran en el expediente: en el certificado de defunción que no es solo un indicio, sino que es el documento oficial que certificada el fallecimiento del asegurado y da cuenta de las causas que lo originaron, y en parte pertinente de la Historia Clínica de fecha 03.09.2013 y 17.11.2015, la cual incluso ha sido copiada -en parte pertinente- en la Resolución Impugnada.</w:t>
      </w:r>
    </w:p>
    <w:p w14:paraId="7B7F284F" w14:textId="57B221D6" w:rsidR="00D461AA" w:rsidRPr="00D461AA" w:rsidRDefault="00D461AA" w:rsidP="00D461AA">
      <w:pPr>
        <w:spacing w:after="200" w:line="240" w:lineRule="auto"/>
        <w:jc w:val="both"/>
        <w:rPr>
          <w:rFonts w:ascii="Times New Roman" w:hAnsi="Times New Roman" w:cs="Times New Roman"/>
          <w:sz w:val="24"/>
          <w:szCs w:val="24"/>
          <w:lang w:val="es-ES"/>
        </w:rPr>
      </w:pPr>
      <w:r w:rsidRPr="00D461AA">
        <w:rPr>
          <w:rFonts w:ascii="Times New Roman" w:hAnsi="Times New Roman" w:cs="Times New Roman"/>
          <w:b/>
          <w:bCs/>
          <w:sz w:val="24"/>
          <w:szCs w:val="24"/>
          <w:u w:val="single"/>
          <w:lang w:val="es-ES"/>
        </w:rPr>
        <w:t>CUARTO:</w:t>
      </w:r>
      <w:r w:rsidRPr="00D461AA">
        <w:rPr>
          <w:rFonts w:ascii="Times New Roman" w:hAnsi="Times New Roman" w:cs="Times New Roman"/>
          <w:sz w:val="24"/>
          <w:szCs w:val="24"/>
          <w:lang w:val="es-ES"/>
        </w:rPr>
        <w:t xml:space="preserve"> Este colegiado considera necesario pronunciarse, además, sobre la fecha en que la aseguradora se pronunció sobre el rechazo de siniestro, teniendo en cuenta que en su recurso impugnatorio la reclamante señaló que había presentado la solicitud el 10 de setiembre de 2024 y que la aseguradora recién se pronunció el 19 de noviembre de 2024.</w:t>
      </w:r>
    </w:p>
    <w:p w14:paraId="511883F2" w14:textId="631E662D" w:rsidR="00D461AA" w:rsidRPr="00D461AA" w:rsidRDefault="00D461AA" w:rsidP="00D461AA">
      <w:pPr>
        <w:spacing w:after="200" w:line="240" w:lineRule="auto"/>
        <w:jc w:val="both"/>
        <w:rPr>
          <w:rFonts w:ascii="Times New Roman" w:hAnsi="Times New Roman" w:cs="Times New Roman"/>
          <w:sz w:val="24"/>
          <w:szCs w:val="24"/>
          <w:lang w:val="es-ES"/>
        </w:rPr>
      </w:pPr>
      <w:r>
        <w:rPr>
          <w:rFonts w:ascii="Times New Roman" w:hAnsi="Times New Roman"/>
          <w:sz w:val="24"/>
        </w:rPr>
        <w:t xml:space="preserve">De acuerdo a lo establecido en el artículo 74 de la Ley del Contrato de Seguro, la aseguradora tiene un plazo de treinta (30) días para pronunciarse sobre la cobertura de seguro, salvo que requiera un plazo mayor y se hubiera solicitado una prórroga ante la Superintendencia de Banca y Seguros. Dicho plazo se cuenta, no desde que se presenta la solicitud de cobertura, sino desde que se completa la documentación exigida en la póliza para el pago del siniestro. </w:t>
      </w:r>
    </w:p>
    <w:p w14:paraId="47C3C79B" w14:textId="4A663D2D" w:rsidR="00D461AA" w:rsidRPr="00D461AA" w:rsidRDefault="00D461AA" w:rsidP="00D461AA">
      <w:pPr>
        <w:spacing w:after="200" w:line="240" w:lineRule="auto"/>
        <w:jc w:val="both"/>
        <w:rPr>
          <w:rFonts w:ascii="Times New Roman" w:hAnsi="Times New Roman" w:cs="Times New Roman"/>
          <w:sz w:val="24"/>
          <w:szCs w:val="24"/>
          <w:lang w:val="es-ES"/>
        </w:rPr>
      </w:pPr>
      <w:r>
        <w:rPr>
          <w:rFonts w:ascii="Times New Roman" w:hAnsi="Times New Roman"/>
          <w:sz w:val="24"/>
        </w:rPr>
        <w:t xml:space="preserve">Teniendo en cuenta que en su reclamación la parte reclamante señalo que con fecha 25 de setiembre (esto es, a los 15 días de recibida la solicitud de cobertura) se les requirió la Historia Clínica local y que cumplió con presentarla en el mes de octubre, se le requirió precisar la fecha en que fue presentada dicha Historia Clínica, así como presentar el requerimiento de la aseguradora. La respuesta de la reclamante fue la siguiente:</w:t>
      </w:r>
    </w:p>
    <w:p w14:paraId="2CC2723F" w14:textId="493E9D91" w:rsidR="00D461AA" w:rsidRPr="00D461AA" w:rsidRDefault="00D461AA" w:rsidP="00D461AA">
      <w:pPr>
        <w:spacing w:after="200" w:line="240" w:lineRule="auto"/>
        <w:jc w:val="both"/>
        <w:rPr>
          <w:rFonts w:ascii="Times New Roman" w:hAnsi="Times New Roman" w:cs="Times New Roman"/>
          <w:i/>
          <w:iCs/>
          <w:sz w:val="24"/>
          <w:szCs w:val="24"/>
          <w:lang w:val="es-PE"/>
        </w:rPr>
      </w:pPr>
      <w:r>
        <w:rPr>
          <w:rFonts w:ascii="Times New Roman" w:hAnsi="Times New Roman"/>
          <w:sz w:val="24"/>
        </w:rPr>
        <w:t xml:space="preserve">“En cumplimiento de lo requerido, preciso que la Historia Clínica emitida por la Dirección de Redes Integrales de Salud de Lima ………………… fue presentada ante ………………… S.A. el día 30 de octubre de 2024, conforme se acredita con el correo electrónico de remisión cursado a la aseguradora en dicha fecha, en el cual se adjuntó el documento íntegro y debidamente sellado por la citada institución de salud. </w:t>
      </w:r>
    </w:p>
    <w:p w14:paraId="00B744E5" w14:textId="2C908278" w:rsidR="00D461AA" w:rsidRPr="00D461AA" w:rsidRDefault="00D461AA" w:rsidP="00D461AA">
      <w:pPr>
        <w:spacing w:after="200" w:line="240" w:lineRule="auto"/>
        <w:jc w:val="both"/>
        <w:rPr>
          <w:rFonts w:ascii="Times New Roman" w:hAnsi="Times New Roman" w:cs="Times New Roman"/>
          <w:i/>
          <w:iCs/>
          <w:sz w:val="24"/>
          <w:szCs w:val="24"/>
          <w:lang w:val="es-ES"/>
        </w:rPr>
      </w:pPr>
      <w:r>
        <w:rPr>
          <w:rFonts w:ascii="Times New Roman" w:hAnsi="Times New Roman"/>
          <w:sz w:val="24"/>
        </w:rPr>
        <w:t xml:space="preserve">La entrega se efectuó en respuesta al requerimiento contenido en la carta de ………………… S.A. de fecha 25 de septiembre de 2024 (Código …………………/36876), mediante la cual se solicitó expresamente la presentación de las historias clínicas previas al inicio de vigencia de la póliza.”</w:t>
      </w:r>
    </w:p>
    <w:p w14:paraId="11DAB825" w14:textId="77777777" w:rsidR="00D461AA" w:rsidRPr="00D461AA" w:rsidRDefault="00D461AA" w:rsidP="00D461AA">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La Historia Clínica completa de una persona no está únicamente compuesta por la Historia Clínica de la atención en el extranjero, sino de todas las atenciones que una persona hubiera tenido, por lo que resultaba pertinente y válido que la aseguradora requiriera la Historia Clínica nacional, para tener toda la documentación médica completa del asegurado necesaria para evaluar el siniestro, requerimiento que debía ser formulado dentro de los 30 días que la ley le otorga para pronunciarse, lo que en este caso se cumplió en tanto fue requerida a los 15 días de recibida la solicitud. En ese sentido, siendo que la Historia Clínica peruana se presentó el 30 de octubre de 2024, y que la aseguradora cursó la Carta de Rechazo el 19 de noviembre de 2024, se aprecia que ………………… sí cumplió con remitir la respuesta dentro de los 30 días siguientes a la fecha en que se completó la documentación (Historia Clínica requerida) necesaria para evaluar el siniestro, con lo cual se verifica el cumplimiento del plazo previsto en el artículo 74 de la Ley del Contrato de Seguro.</w:t>
      </w:r>
    </w:p>
    <w:p w14:paraId="0ED72AB4" w14:textId="77777777" w:rsidR="00D461AA" w:rsidRPr="00D461AA" w:rsidRDefault="00D461AA" w:rsidP="00D461AA">
      <w:pPr>
        <w:spacing w:after="200" w:line="240" w:lineRule="auto"/>
        <w:jc w:val="both"/>
        <w:rPr>
          <w:rFonts w:ascii="Times New Roman" w:hAnsi="Times New Roman" w:cs="Times New Roman"/>
          <w:sz w:val="24"/>
          <w:szCs w:val="24"/>
          <w:lang w:val="es-PE"/>
        </w:rPr>
      </w:pPr>
    </w:p>
    <w:p w14:paraId="334C79AC" w14:textId="78C4100E" w:rsidR="00D461AA" w:rsidRPr="00D461AA" w:rsidRDefault="00D461AA" w:rsidP="00D461AA">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QUINTO:  En virtud con lo expuesto en los considerandos precedentes, este colegiado considera que el recurso impugnativo interpuesto puede ser categorizado, por su contenido mismo, como una solicitud de revisión general, sustentado en el muy respetable criterio de la reclamante que este colegiado no comparte, pero sin haberse evidenciado hechos, argumentos o pruebas que permitan evidenciar que se ha cometido un error en la Resolución Impugnada.</w:t>
      </w:r>
    </w:p>
    <w:p w14:paraId="332B11E6" w14:textId="430A36D3" w:rsidR="00D461AA" w:rsidRPr="00D461AA" w:rsidRDefault="00D461AA" w:rsidP="00D461AA">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Finalmente, esta Defensoría tiene a bien señalar, tal como fue expuesto en la Resolución Impugnada, que es una entidad privada y por ende no constituye una instancia administrativa regida por la ley del procedimiento administrativo general. La Defensoría se rige por su propio Reglamento, conforme al cual, el sometimiento ante la DEFASEG es voluntario, y no afecta el derecho a la tutela jurisdiccional del reclamante, quien puede iniciar procesos ante las instancias administrativas o judiciales que considere pertinentes, sin que sea necesario se revoque previamente la resolución emitida por la DEFASEG, la cual no resulta vinculante. Ello debido a que las resoluciones que expide esta Defensoría no son vinculantes para el asegurado o reclamante cuando le son desfavorables. </w:t>
      </w:r>
    </w:p>
    <w:p w14:paraId="2933F46A" w14:textId="0EA4F856" w:rsidR="00D461AA" w:rsidRPr="00D461AA" w:rsidRDefault="00D461AA" w:rsidP="00D461AA">
      <w:pPr>
        <w:spacing w:after="200" w:line="240" w:lineRule="auto"/>
        <w:jc w:val="both"/>
        <w:rPr>
          <w:rFonts w:ascii="Times New Roman" w:hAnsi="Times New Roman" w:cs="Times New Roman"/>
          <w:b/>
          <w:sz w:val="24"/>
          <w:szCs w:val="24"/>
          <w:lang w:val="es-PE"/>
        </w:rPr>
      </w:pPr>
      <w:r w:rsidRPr="00D461AA">
        <w:rPr>
          <w:rFonts w:ascii="Times New Roman" w:hAnsi="Times New Roman" w:cs="Times New Roman"/>
          <w:b/>
          <w:sz w:val="24"/>
          <w:szCs w:val="24"/>
          <w:lang w:val="es-PE"/>
        </w:rPr>
        <w:t xml:space="preserve">Atendiendo a lo expresado, conforme a su Reglamento, este colegiado </w:t>
      </w:r>
    </w:p>
    <w:p w14:paraId="79A604E6" w14:textId="685EECF3" w:rsidR="00D461AA" w:rsidRPr="00D461AA" w:rsidRDefault="00D461AA" w:rsidP="00D461AA">
      <w:pPr>
        <w:spacing w:after="200" w:line="240" w:lineRule="auto"/>
        <w:jc w:val="both"/>
        <w:rPr>
          <w:rFonts w:ascii="Times New Roman" w:hAnsi="Times New Roman" w:cs="Times New Roman"/>
          <w:b/>
          <w:sz w:val="24"/>
          <w:szCs w:val="24"/>
          <w:lang w:val="es-PE"/>
        </w:rPr>
      </w:pPr>
      <w:r w:rsidRPr="00D461AA">
        <w:rPr>
          <w:rFonts w:ascii="Times New Roman" w:hAnsi="Times New Roman" w:cs="Times New Roman"/>
          <w:b/>
          <w:sz w:val="24"/>
          <w:szCs w:val="24"/>
          <w:lang w:val="es-PE"/>
        </w:rPr>
        <w:t>Resuelve:</w:t>
      </w:r>
    </w:p>
    <w:p w14:paraId="7116D520" w14:textId="77777777" w:rsidR="00D461AA" w:rsidRPr="00D461AA" w:rsidRDefault="00D461AA" w:rsidP="00D461AA">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Declarar INFUNDADO el Recurso de Impugnación interpuesto y confirmar la Resolución No 153/25 que declaró infundado el reclamo interpuesto por doña ………………… contra …………………, SEGUROS respecto de la póliza Protección Familiar N° …………………, dejando a salvo el derecho de la reclamante de recurrir a las instancias que considere pertinentes</w:t>
      </w:r>
    </w:p>
    <w:p w14:paraId="10ECF88E" w14:textId="482DFD34" w:rsidR="00033B9E" w:rsidRPr="00AA287A" w:rsidRDefault="00033B9E" w:rsidP="00AA287A">
      <w:pPr>
        <w:spacing w:after="200" w:line="240" w:lineRule="auto"/>
        <w:jc w:val="right"/>
        <w:rPr>
          <w:rFonts w:ascii="Times New Roman" w:hAnsi="Times New Roman" w:cs="Times New Roman"/>
          <w:sz w:val="24"/>
          <w:szCs w:val="24"/>
          <w:lang w:val="es-PE"/>
        </w:rPr>
      </w:pPr>
      <w:r w:rsidRPr="00826E97">
        <w:rPr>
          <w:rFonts w:ascii="Times New Roman" w:hAnsi="Times New Roman" w:cs="Times New Roman"/>
          <w:sz w:val="24"/>
          <w:szCs w:val="24"/>
          <w:lang w:val="es-PE"/>
        </w:rPr>
        <w:t xml:space="preserve">Lima, </w:t>
      </w:r>
      <w:r w:rsidR="00D461AA">
        <w:rPr>
          <w:rFonts w:ascii="Times New Roman" w:hAnsi="Times New Roman" w:cs="Times New Roman"/>
          <w:sz w:val="24"/>
          <w:szCs w:val="24"/>
          <w:lang w:val="es-PE"/>
        </w:rPr>
        <w:t>05</w:t>
      </w:r>
      <w:r w:rsidR="00D373B3" w:rsidRPr="00826E97">
        <w:rPr>
          <w:rFonts w:ascii="Times New Roman" w:hAnsi="Times New Roman" w:cs="Times New Roman"/>
          <w:sz w:val="24"/>
          <w:szCs w:val="24"/>
          <w:lang w:val="es-PE"/>
        </w:rPr>
        <w:t xml:space="preserve"> </w:t>
      </w:r>
      <w:r w:rsidRPr="00826E97">
        <w:rPr>
          <w:rFonts w:ascii="Times New Roman" w:hAnsi="Times New Roman" w:cs="Times New Roman"/>
          <w:sz w:val="24"/>
          <w:szCs w:val="24"/>
          <w:lang w:val="es-PE"/>
        </w:rPr>
        <w:t xml:space="preserve">de </w:t>
      </w:r>
      <w:r w:rsidR="00D461AA">
        <w:rPr>
          <w:rFonts w:ascii="Times New Roman" w:hAnsi="Times New Roman" w:cs="Times New Roman"/>
          <w:sz w:val="24"/>
          <w:szCs w:val="24"/>
          <w:lang w:val="es-PE"/>
        </w:rPr>
        <w:t>noviembre</w:t>
      </w:r>
      <w:r w:rsidR="00304C79" w:rsidRPr="00826E97">
        <w:rPr>
          <w:rFonts w:ascii="Times New Roman" w:hAnsi="Times New Roman" w:cs="Times New Roman"/>
          <w:sz w:val="24"/>
          <w:szCs w:val="24"/>
          <w:lang w:val="es-PE"/>
        </w:rPr>
        <w:t xml:space="preserve"> </w:t>
      </w:r>
      <w:r w:rsidRPr="00826E97">
        <w:rPr>
          <w:rFonts w:ascii="Times New Roman" w:hAnsi="Times New Roman" w:cs="Times New Roman"/>
          <w:sz w:val="24"/>
          <w:szCs w:val="24"/>
          <w:lang w:val="es-PE"/>
        </w:rPr>
        <w:t xml:space="preserve">de 2025 </w:t>
      </w:r>
    </w:p>
    <w:p w14:paraId="6E081B4D" w14:textId="77777777" w:rsidR="00033B9E" w:rsidRPr="00826E97" w:rsidRDefault="00033B9E" w:rsidP="002A6A6E">
      <w:pPr>
        <w:spacing w:after="200" w:line="240" w:lineRule="auto"/>
        <w:jc w:val="both"/>
        <w:rPr>
          <w:rFonts w:ascii="Times New Roman" w:hAnsi="Times New Roman" w:cs="Times New Roman"/>
          <w:b/>
          <w:bCs/>
          <w:i/>
          <w:iCs/>
          <w:sz w:val="24"/>
          <w:szCs w:val="24"/>
          <w:lang w:val="es-PE"/>
        </w:rPr>
      </w:pPr>
      <w:r w:rsidRPr="00826E97">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14:paraId="6C2B4D52" w14:textId="60DEAFF4" w:rsidR="00D373B3" w:rsidRPr="00826E97" w:rsidRDefault="00D373B3" w:rsidP="002A6A6E">
      <w:pPr>
        <w:spacing w:after="0" w:line="360" w:lineRule="auto"/>
        <w:jc w:val="center"/>
        <w:rPr>
          <w:rFonts w:ascii="Times New Roman" w:hAnsi="Times New Roman" w:cs="Times New Roman"/>
          <w:b/>
          <w:bCs/>
          <w:sz w:val="24"/>
          <w:szCs w:val="24"/>
          <w:lang w:val="es-PE"/>
        </w:rPr>
      </w:pPr>
      <w:r w:rsidRPr="00826E97">
        <w:rPr>
          <w:rFonts w:ascii="Times New Roman" w:hAnsi="Times New Roman" w:cs="Times New Roman"/>
          <w:b/>
          <w:bCs/>
          <w:sz w:val="24"/>
          <w:szCs w:val="24"/>
          <w:lang w:val="es-PE"/>
        </w:rPr>
        <w:t>Antonio Rodriguez Lobatón – Presidente</w:t>
      </w:r>
    </w:p>
    <w:p w14:paraId="1B6FD469" w14:textId="7B93B247" w:rsidR="00033B9E" w:rsidRPr="00826E97" w:rsidRDefault="00033B9E" w:rsidP="002A6A6E">
      <w:pPr>
        <w:spacing w:after="0" w:line="360" w:lineRule="auto"/>
        <w:jc w:val="center"/>
        <w:rPr>
          <w:rFonts w:ascii="Times New Roman" w:hAnsi="Times New Roman" w:cs="Times New Roman"/>
          <w:b/>
          <w:bCs/>
          <w:sz w:val="24"/>
          <w:szCs w:val="24"/>
          <w:lang w:val="es-PE"/>
        </w:rPr>
      </w:pPr>
      <w:r w:rsidRPr="00826E97">
        <w:rPr>
          <w:rFonts w:ascii="Times New Roman" w:hAnsi="Times New Roman" w:cs="Times New Roman"/>
          <w:b/>
          <w:bCs/>
          <w:sz w:val="24"/>
          <w:szCs w:val="24"/>
          <w:lang w:val="es-PE"/>
        </w:rPr>
        <w:t>María Eugenia Valdez Fernández Baca - Vocal</w:t>
      </w:r>
    </w:p>
    <w:bookmarkEnd w:id="0"/>
    <w:p w14:paraId="2057B52D" w14:textId="3175E6C2" w:rsidR="00D373B3" w:rsidRDefault="00D373B3" w:rsidP="002A6A6E">
      <w:pPr>
        <w:spacing w:after="0" w:line="360" w:lineRule="auto"/>
        <w:jc w:val="center"/>
        <w:rPr>
          <w:rFonts w:ascii="Times New Roman" w:hAnsi="Times New Roman" w:cs="Times New Roman"/>
          <w:b/>
          <w:bCs/>
          <w:sz w:val="24"/>
          <w:szCs w:val="24"/>
          <w:lang w:val="es-PE"/>
        </w:rPr>
      </w:pPr>
      <w:r w:rsidRPr="00826E97">
        <w:rPr>
          <w:rFonts w:ascii="Times New Roman" w:hAnsi="Times New Roman" w:cs="Times New Roman"/>
          <w:b/>
          <w:bCs/>
          <w:sz w:val="24"/>
          <w:szCs w:val="24"/>
          <w:lang w:val="es-PE"/>
        </w:rPr>
        <w:t xml:space="preserve">Rolando Eyzaguirre Maccan </w:t>
      </w:r>
      <w:r w:rsidR="00BD69AE">
        <w:rPr>
          <w:rFonts w:ascii="Times New Roman" w:hAnsi="Times New Roman" w:cs="Times New Roman"/>
          <w:b/>
          <w:bCs/>
          <w:sz w:val="24"/>
          <w:szCs w:val="24"/>
          <w:lang w:val="es-PE"/>
        </w:rPr>
        <w:t>–</w:t>
      </w:r>
      <w:r w:rsidRPr="00826E97">
        <w:rPr>
          <w:rFonts w:ascii="Times New Roman" w:hAnsi="Times New Roman" w:cs="Times New Roman"/>
          <w:b/>
          <w:bCs/>
          <w:sz w:val="24"/>
          <w:szCs w:val="24"/>
          <w:lang w:val="es-PE"/>
        </w:rPr>
        <w:t xml:space="preserve"> Vocal</w:t>
      </w:r>
    </w:p>
    <w:p w14:paraId="5D13D3D1" w14:textId="17018729" w:rsidR="00BD69AE" w:rsidRPr="00826E97" w:rsidRDefault="00BD69AE" w:rsidP="002A6A6E">
      <w:pPr>
        <w:spacing w:after="0" w:line="360" w:lineRule="auto"/>
        <w:jc w:val="center"/>
        <w:rPr>
          <w:rFonts w:ascii="Times New Roman" w:hAnsi="Times New Roman" w:cs="Times New Roman"/>
          <w:b/>
          <w:bCs/>
          <w:sz w:val="24"/>
          <w:szCs w:val="24"/>
          <w:lang w:val="es-PE"/>
        </w:rPr>
      </w:pPr>
      <w:r>
        <w:rPr>
          <w:rFonts w:ascii="Times New Roman" w:hAnsi="Times New Roman" w:cs="Times New Roman"/>
          <w:b/>
          <w:bCs/>
          <w:sz w:val="24"/>
          <w:szCs w:val="24"/>
          <w:lang w:val="es-PE"/>
        </w:rPr>
        <w:t>Juan fry Cipriani - Vocal</w:t>
      </w:r>
    </w:p>
    <w:p w14:paraId="24DF29EA" w14:textId="77777777" w:rsidR="00D373B3" w:rsidRPr="00826E97" w:rsidRDefault="00D373B3" w:rsidP="00F92849">
      <w:pPr>
        <w:spacing w:after="200" w:line="240" w:lineRule="auto"/>
        <w:jc w:val="center"/>
        <w:rPr>
          <w:rFonts w:ascii="Georgia" w:hAnsi="Georgia" w:cs="Times New Roman"/>
          <w:b/>
          <w:bCs/>
          <w:sz w:val="24"/>
          <w:szCs w:val="24"/>
          <w:lang w:val="es-PE"/>
        </w:rPr>
      </w:pPr>
    </w:p>
    <w:sectPr w:rsidR="00D373B3" w:rsidRPr="00826E97" w:rsidSect="002019FA">
      <w:headerReference w:type="default" r:id="rId8"/>
      <w:footerReference w:type="default" r:id="rId9"/>
      <w:headerReference w:type="first" r:id="rId12"/>
      <w:footerReference w:type="first" r:id="rId13"/>
      <w:pgSz w:w="11906" w:h="16838"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AD0B2" w14:textId="77777777" w:rsidR="00E50393" w:rsidRDefault="00E50393" w:rsidP="00784355">
      <w:pPr>
        <w:spacing w:after="0" w:line="240" w:lineRule="auto"/>
      </w:pPr>
      <w:r>
        <w:separator/>
      </w:r>
    </w:p>
  </w:endnote>
  <w:endnote w:type="continuationSeparator" w:id="0">
    <w:p w14:paraId="366FD4A5" w14:textId="77777777" w:rsidR="00E50393" w:rsidRDefault="00E50393"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useo Sans 700">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p w14:paraId="1A7D4DE2" w14:textId="13C38AB9" w:rsidR="00C671F5" w:rsidRPr="00F94599" w:rsidRDefault="00C671F5">
            <w:pPr>
              <w:pStyle w:val="Piedepgina"/>
              <w:jc w:val="right"/>
              <w:rPr>
                <w:rFonts w:ascii="Times New Roman" w:hAnsi="Times New Roman" w:cs="Times New Roman"/>
                <w:sz w:val="18"/>
                <w:szCs w:val="18"/>
              </w:rPr>
            </w:pPr>
            <w:r w:rsidRPr="00F94599">
              <w:rPr>
                <w:rFonts w:ascii="Times New Roman" w:hAnsi="Times New Roman" w:cs="Times New Roman"/>
                <w:sz w:val="18"/>
                <w:szCs w:val="18"/>
                <w:lang w:val="es-ES"/>
              </w:rPr>
              <w:t xml:space="preserve">Página </w:t>
            </w:r>
            <w:r w:rsidRPr="00F94599">
              <w:rPr>
                <w:rFonts w:ascii="Times New Roman" w:hAnsi="Times New Roman" w:cs="Times New Roman"/>
                <w:b/>
                <w:bCs/>
                <w:sz w:val="18"/>
                <w:szCs w:val="18"/>
              </w:rPr>
              <w:fldChar w:fldCharType="begin"/>
            </w:r>
            <w:r w:rsidRPr="00F94599">
              <w:rPr>
                <w:rFonts w:ascii="Times New Roman" w:hAnsi="Times New Roman" w:cs="Times New Roman"/>
                <w:b/>
                <w:bCs/>
                <w:sz w:val="18"/>
                <w:szCs w:val="18"/>
              </w:rPr>
              <w:instrText>PAGE</w:instrText>
            </w:r>
            <w:r w:rsidRPr="00F94599">
              <w:rPr>
                <w:rFonts w:ascii="Times New Roman" w:hAnsi="Times New Roman" w:cs="Times New Roman"/>
                <w:b/>
                <w:bCs/>
                <w:sz w:val="18"/>
                <w:szCs w:val="18"/>
              </w:rPr>
              <w:fldChar w:fldCharType="separate"/>
            </w:r>
            <w:r w:rsidRPr="00F94599">
              <w:rPr>
                <w:rFonts w:ascii="Times New Roman" w:hAnsi="Times New Roman" w:cs="Times New Roman"/>
                <w:b/>
                <w:bCs/>
                <w:sz w:val="18"/>
                <w:szCs w:val="18"/>
                <w:lang w:val="es-ES"/>
              </w:rPr>
              <w:t>2</w:t>
            </w:r>
            <w:r w:rsidRPr="00F94599">
              <w:rPr>
                <w:rFonts w:ascii="Times New Roman" w:hAnsi="Times New Roman" w:cs="Times New Roman"/>
                <w:b/>
                <w:bCs/>
                <w:sz w:val="18"/>
                <w:szCs w:val="18"/>
              </w:rPr>
              <w:fldChar w:fldCharType="end"/>
            </w:r>
            <w:r w:rsidRPr="00F94599">
              <w:rPr>
                <w:rFonts w:ascii="Times New Roman" w:hAnsi="Times New Roman" w:cs="Times New Roman"/>
                <w:sz w:val="18"/>
                <w:szCs w:val="18"/>
                <w:lang w:val="es-ES"/>
              </w:rPr>
              <w:t xml:space="preserve"> de </w:t>
            </w:r>
            <w:r w:rsidRPr="00F94599">
              <w:rPr>
                <w:rFonts w:ascii="Times New Roman" w:hAnsi="Times New Roman" w:cs="Times New Roman"/>
                <w:b/>
                <w:bCs/>
                <w:sz w:val="18"/>
                <w:szCs w:val="18"/>
              </w:rPr>
              <w:fldChar w:fldCharType="begin"/>
            </w:r>
            <w:r w:rsidRPr="00F94599">
              <w:rPr>
                <w:rFonts w:ascii="Times New Roman" w:hAnsi="Times New Roman" w:cs="Times New Roman"/>
                <w:b/>
                <w:bCs/>
                <w:sz w:val="18"/>
                <w:szCs w:val="18"/>
              </w:rPr>
              <w:instrText>NUMPAGES</w:instrText>
            </w:r>
            <w:r w:rsidRPr="00F94599">
              <w:rPr>
                <w:rFonts w:ascii="Times New Roman" w:hAnsi="Times New Roman" w:cs="Times New Roman"/>
                <w:b/>
                <w:bCs/>
                <w:sz w:val="18"/>
                <w:szCs w:val="18"/>
              </w:rPr>
              <w:fldChar w:fldCharType="separate"/>
            </w:r>
            <w:r w:rsidRPr="00F94599">
              <w:rPr>
                <w:rFonts w:ascii="Times New Roman" w:hAnsi="Times New Roman" w:cs="Times New Roman"/>
                <w:b/>
                <w:bCs/>
                <w:sz w:val="18"/>
                <w:szCs w:val="18"/>
                <w:lang w:val="es-ES"/>
              </w:rPr>
              <w:t>2</w:t>
            </w:r>
            <w:r w:rsidRPr="00F94599">
              <w:rPr>
                <w:rFonts w:ascii="Times New Roman" w:hAnsi="Times New Roman" w:cs="Times New Roman"/>
                <w:b/>
                <w:bCs/>
                <w:sz w:val="18"/>
                <w:szCs w:val="18"/>
              </w:rPr>
              <w:fldChar w:fldCharType="end"/>
            </w:r>
          </w:p>
        </w:sdtContent>
      </w:sdt>
    </w:sdtContent>
  </w:sdt>
  <w:p w14:paraId="3BA05C52" w14:textId="77777777" w:rsidR="00784355" w:rsidRPr="00F94599" w:rsidRDefault="00784355">
    <w:pPr>
      <w:pStyle w:val="Piedepgina"/>
      <w:spacing w:line="240" w:lineRule="auto"/>
      <w:rPr>
        <w:rFonts w:ascii="Times New Roman" w:hAnsi="Times New Roman" w:cs="Times New Roman"/>
        <w:sz w:val="18"/>
        <w:szCs w:val="18"/>
      </w:rP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E58FE" w14:textId="77777777" w:rsidR="00E50393" w:rsidRDefault="00E50393" w:rsidP="00784355">
      <w:pPr>
        <w:spacing w:after="0" w:line="240" w:lineRule="auto"/>
      </w:pPr>
      <w:r>
        <w:separator/>
      </w:r>
    </w:p>
  </w:footnote>
  <w:footnote w:type="continuationSeparator" w:id="0">
    <w:p w14:paraId="3FE92F92" w14:textId="77777777" w:rsidR="00E50393" w:rsidRDefault="00E50393"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855BF0"/>
    <w:multiLevelType w:val="hybridMultilevel"/>
    <w:tmpl w:val="DE0F875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2924E02"/>
    <w:multiLevelType w:val="hybridMultilevel"/>
    <w:tmpl w:val="4A8BA1B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959E7F0"/>
    <w:multiLevelType w:val="hybridMultilevel"/>
    <w:tmpl w:val="D7F056D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F7979CB"/>
    <w:multiLevelType w:val="hybridMultilevel"/>
    <w:tmpl w:val="5C361A8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289D757"/>
    <w:multiLevelType w:val="hybridMultilevel"/>
    <w:tmpl w:val="4E2BF3F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A5E7AD5"/>
    <w:multiLevelType w:val="hybridMultilevel"/>
    <w:tmpl w:val="9AC53AF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03CB607"/>
    <w:multiLevelType w:val="hybridMultilevel"/>
    <w:tmpl w:val="EB248C5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E6A4CCAC"/>
    <w:multiLevelType w:val="hybridMultilevel"/>
    <w:tmpl w:val="A43FDE8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A692C79"/>
    <w:multiLevelType w:val="hybridMultilevel"/>
    <w:tmpl w:val="543EBCC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B0A310D"/>
    <w:multiLevelType w:val="hybridMultilevel"/>
    <w:tmpl w:val="2B06F78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4FA3401"/>
    <w:multiLevelType w:val="hybridMultilevel"/>
    <w:tmpl w:val="18C3BA0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C8A12E0"/>
    <w:multiLevelType w:val="hybridMultilevel"/>
    <w:tmpl w:val="DA9E45F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464461B3"/>
    <w:multiLevelType w:val="hybridMultilevel"/>
    <w:tmpl w:val="37B8E696"/>
    <w:lvl w:ilvl="0" w:tplc="A1584632">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48ED3CCB"/>
    <w:multiLevelType w:val="hybridMultilevel"/>
    <w:tmpl w:val="3890D95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FB9D141"/>
    <w:multiLevelType w:val="hybridMultilevel"/>
    <w:tmpl w:val="0BBBFDF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542257F0"/>
    <w:multiLevelType w:val="hybridMultilevel"/>
    <w:tmpl w:val="9A24EC5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5CFB186A"/>
    <w:multiLevelType w:val="hybridMultilevel"/>
    <w:tmpl w:val="7AB7701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615D779E"/>
    <w:multiLevelType w:val="multilevel"/>
    <w:tmpl w:val="57188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6C8C6B"/>
    <w:multiLevelType w:val="hybridMultilevel"/>
    <w:tmpl w:val="E5D47CC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7A0879DC"/>
    <w:multiLevelType w:val="hybridMultilevel"/>
    <w:tmpl w:val="EECDC84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7E037E97"/>
    <w:multiLevelType w:val="hybridMultilevel"/>
    <w:tmpl w:val="C84A60B8"/>
    <w:lvl w:ilvl="0" w:tplc="2670FF54">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83247600">
    <w:abstractNumId w:val="6"/>
  </w:num>
  <w:num w:numId="2" w16cid:durableId="1038705577">
    <w:abstractNumId w:val="20"/>
  </w:num>
  <w:num w:numId="3" w16cid:durableId="1173106358">
    <w:abstractNumId w:val="12"/>
  </w:num>
  <w:num w:numId="4" w16cid:durableId="52197751">
    <w:abstractNumId w:val="3"/>
  </w:num>
  <w:num w:numId="5" w16cid:durableId="1691910055">
    <w:abstractNumId w:val="8"/>
  </w:num>
  <w:num w:numId="6" w16cid:durableId="1265502928">
    <w:abstractNumId w:val="16"/>
  </w:num>
  <w:num w:numId="7" w16cid:durableId="222178606">
    <w:abstractNumId w:val="1"/>
  </w:num>
  <w:num w:numId="8" w16cid:durableId="1284995735">
    <w:abstractNumId w:val="13"/>
  </w:num>
  <w:num w:numId="9" w16cid:durableId="339426527">
    <w:abstractNumId w:val="10"/>
  </w:num>
  <w:num w:numId="10" w16cid:durableId="896671447">
    <w:abstractNumId w:val="2"/>
  </w:num>
  <w:num w:numId="11" w16cid:durableId="383482535">
    <w:abstractNumId w:val="0"/>
  </w:num>
  <w:num w:numId="12" w16cid:durableId="1324818834">
    <w:abstractNumId w:val="14"/>
  </w:num>
  <w:num w:numId="13" w16cid:durableId="755975115">
    <w:abstractNumId w:val="19"/>
  </w:num>
  <w:num w:numId="14" w16cid:durableId="960645879">
    <w:abstractNumId w:val="18"/>
  </w:num>
  <w:num w:numId="15" w16cid:durableId="1459296585">
    <w:abstractNumId w:val="11"/>
  </w:num>
  <w:num w:numId="16" w16cid:durableId="1967077504">
    <w:abstractNumId w:val="4"/>
  </w:num>
  <w:num w:numId="17" w16cid:durableId="151021307">
    <w:abstractNumId w:val="15"/>
  </w:num>
  <w:num w:numId="18" w16cid:durableId="2012835703">
    <w:abstractNumId w:val="9"/>
  </w:num>
  <w:num w:numId="19" w16cid:durableId="812529717">
    <w:abstractNumId w:val="7"/>
  </w:num>
  <w:num w:numId="20" w16cid:durableId="1326056073">
    <w:abstractNumId w:val="5"/>
  </w:num>
  <w:num w:numId="21" w16cid:durableId="20718777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0E57"/>
    <w:rsid w:val="000010A4"/>
    <w:rsid w:val="0000190A"/>
    <w:rsid w:val="00001989"/>
    <w:rsid w:val="0000279F"/>
    <w:rsid w:val="00002AAA"/>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4FA"/>
    <w:rsid w:val="00026FE0"/>
    <w:rsid w:val="00027263"/>
    <w:rsid w:val="0002733C"/>
    <w:rsid w:val="00027978"/>
    <w:rsid w:val="00031866"/>
    <w:rsid w:val="00032687"/>
    <w:rsid w:val="0003359A"/>
    <w:rsid w:val="00033B9E"/>
    <w:rsid w:val="00035A04"/>
    <w:rsid w:val="0004067A"/>
    <w:rsid w:val="0004480C"/>
    <w:rsid w:val="000461D4"/>
    <w:rsid w:val="0004682F"/>
    <w:rsid w:val="00046990"/>
    <w:rsid w:val="00046DC0"/>
    <w:rsid w:val="0004799F"/>
    <w:rsid w:val="00047C8B"/>
    <w:rsid w:val="000512AD"/>
    <w:rsid w:val="00053453"/>
    <w:rsid w:val="00053740"/>
    <w:rsid w:val="00053D16"/>
    <w:rsid w:val="00054805"/>
    <w:rsid w:val="00056D9F"/>
    <w:rsid w:val="00057846"/>
    <w:rsid w:val="00061282"/>
    <w:rsid w:val="0006153B"/>
    <w:rsid w:val="000619A2"/>
    <w:rsid w:val="00063183"/>
    <w:rsid w:val="00064067"/>
    <w:rsid w:val="0006548C"/>
    <w:rsid w:val="00070DB6"/>
    <w:rsid w:val="00071751"/>
    <w:rsid w:val="00071A25"/>
    <w:rsid w:val="00071F90"/>
    <w:rsid w:val="00072395"/>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2AF9"/>
    <w:rsid w:val="000B58D8"/>
    <w:rsid w:val="000B734B"/>
    <w:rsid w:val="000C0734"/>
    <w:rsid w:val="000C1AAB"/>
    <w:rsid w:val="000D107E"/>
    <w:rsid w:val="000D288A"/>
    <w:rsid w:val="000D5F00"/>
    <w:rsid w:val="000D7348"/>
    <w:rsid w:val="000D7B6B"/>
    <w:rsid w:val="000E578D"/>
    <w:rsid w:val="000E6C90"/>
    <w:rsid w:val="000F17DA"/>
    <w:rsid w:val="000F1F1F"/>
    <w:rsid w:val="000F372E"/>
    <w:rsid w:val="000F4458"/>
    <w:rsid w:val="000F56CC"/>
    <w:rsid w:val="000F6340"/>
    <w:rsid w:val="0010277D"/>
    <w:rsid w:val="001035ED"/>
    <w:rsid w:val="001064A0"/>
    <w:rsid w:val="00106D7F"/>
    <w:rsid w:val="00107CAE"/>
    <w:rsid w:val="00110157"/>
    <w:rsid w:val="00111342"/>
    <w:rsid w:val="00112C8D"/>
    <w:rsid w:val="0011308C"/>
    <w:rsid w:val="0011380D"/>
    <w:rsid w:val="00113FB6"/>
    <w:rsid w:val="0011633B"/>
    <w:rsid w:val="00116708"/>
    <w:rsid w:val="00116B6A"/>
    <w:rsid w:val="00117C74"/>
    <w:rsid w:val="00120E1C"/>
    <w:rsid w:val="0012166D"/>
    <w:rsid w:val="001223F9"/>
    <w:rsid w:val="00123031"/>
    <w:rsid w:val="00123707"/>
    <w:rsid w:val="00123F48"/>
    <w:rsid w:val="001242FF"/>
    <w:rsid w:val="00125709"/>
    <w:rsid w:val="00125B9B"/>
    <w:rsid w:val="0013051A"/>
    <w:rsid w:val="00130559"/>
    <w:rsid w:val="001320DF"/>
    <w:rsid w:val="001347DF"/>
    <w:rsid w:val="0013694D"/>
    <w:rsid w:val="00136E12"/>
    <w:rsid w:val="001373AF"/>
    <w:rsid w:val="001377EF"/>
    <w:rsid w:val="00140304"/>
    <w:rsid w:val="00140CF5"/>
    <w:rsid w:val="001429BD"/>
    <w:rsid w:val="00142F5B"/>
    <w:rsid w:val="00143F49"/>
    <w:rsid w:val="0014650D"/>
    <w:rsid w:val="00146C27"/>
    <w:rsid w:val="00147363"/>
    <w:rsid w:val="00147DBE"/>
    <w:rsid w:val="00150874"/>
    <w:rsid w:val="001508BC"/>
    <w:rsid w:val="001529FE"/>
    <w:rsid w:val="00156308"/>
    <w:rsid w:val="00157979"/>
    <w:rsid w:val="00160361"/>
    <w:rsid w:val="00163D81"/>
    <w:rsid w:val="00167937"/>
    <w:rsid w:val="001703D8"/>
    <w:rsid w:val="00170E39"/>
    <w:rsid w:val="00171DF3"/>
    <w:rsid w:val="00172097"/>
    <w:rsid w:val="0017278C"/>
    <w:rsid w:val="00174918"/>
    <w:rsid w:val="001749D2"/>
    <w:rsid w:val="00174DA5"/>
    <w:rsid w:val="00177B3D"/>
    <w:rsid w:val="0018143B"/>
    <w:rsid w:val="001816B5"/>
    <w:rsid w:val="00181908"/>
    <w:rsid w:val="00181DCE"/>
    <w:rsid w:val="001833F2"/>
    <w:rsid w:val="001864B9"/>
    <w:rsid w:val="00186C29"/>
    <w:rsid w:val="00187BFD"/>
    <w:rsid w:val="00192535"/>
    <w:rsid w:val="00193C61"/>
    <w:rsid w:val="001947B7"/>
    <w:rsid w:val="001948DB"/>
    <w:rsid w:val="001A008A"/>
    <w:rsid w:val="001A2FFD"/>
    <w:rsid w:val="001A3395"/>
    <w:rsid w:val="001A44E1"/>
    <w:rsid w:val="001A555F"/>
    <w:rsid w:val="001A61E0"/>
    <w:rsid w:val="001A6EBB"/>
    <w:rsid w:val="001B1E59"/>
    <w:rsid w:val="001B3EE9"/>
    <w:rsid w:val="001B58A3"/>
    <w:rsid w:val="001B6C30"/>
    <w:rsid w:val="001B790F"/>
    <w:rsid w:val="001C052B"/>
    <w:rsid w:val="001C3A70"/>
    <w:rsid w:val="001C3C6D"/>
    <w:rsid w:val="001C49C6"/>
    <w:rsid w:val="001D0EED"/>
    <w:rsid w:val="001D1D31"/>
    <w:rsid w:val="001D2203"/>
    <w:rsid w:val="001D2577"/>
    <w:rsid w:val="001D5286"/>
    <w:rsid w:val="001D59D9"/>
    <w:rsid w:val="001D5BEC"/>
    <w:rsid w:val="001D6136"/>
    <w:rsid w:val="001D6F7E"/>
    <w:rsid w:val="001E0D0C"/>
    <w:rsid w:val="001E119C"/>
    <w:rsid w:val="001E212A"/>
    <w:rsid w:val="001E4982"/>
    <w:rsid w:val="001E51BE"/>
    <w:rsid w:val="001E53E2"/>
    <w:rsid w:val="001E6143"/>
    <w:rsid w:val="001F0BD0"/>
    <w:rsid w:val="001F0DFA"/>
    <w:rsid w:val="001F1398"/>
    <w:rsid w:val="001F522B"/>
    <w:rsid w:val="001F5408"/>
    <w:rsid w:val="001F5DC4"/>
    <w:rsid w:val="002019FA"/>
    <w:rsid w:val="00201C0D"/>
    <w:rsid w:val="002041EC"/>
    <w:rsid w:val="00204407"/>
    <w:rsid w:val="00205AC5"/>
    <w:rsid w:val="00206378"/>
    <w:rsid w:val="00206718"/>
    <w:rsid w:val="0020749F"/>
    <w:rsid w:val="002108AD"/>
    <w:rsid w:val="0021173F"/>
    <w:rsid w:val="00211977"/>
    <w:rsid w:val="00211C72"/>
    <w:rsid w:val="002130B0"/>
    <w:rsid w:val="0021627D"/>
    <w:rsid w:val="0022049B"/>
    <w:rsid w:val="00225288"/>
    <w:rsid w:val="00227D02"/>
    <w:rsid w:val="00231C58"/>
    <w:rsid w:val="002331C3"/>
    <w:rsid w:val="002333AB"/>
    <w:rsid w:val="00234777"/>
    <w:rsid w:val="00234A33"/>
    <w:rsid w:val="00240336"/>
    <w:rsid w:val="00241719"/>
    <w:rsid w:val="00242425"/>
    <w:rsid w:val="00243DFC"/>
    <w:rsid w:val="00243F6B"/>
    <w:rsid w:val="0024405B"/>
    <w:rsid w:val="00245393"/>
    <w:rsid w:val="00247161"/>
    <w:rsid w:val="002528B8"/>
    <w:rsid w:val="00252D46"/>
    <w:rsid w:val="00253CBD"/>
    <w:rsid w:val="00254641"/>
    <w:rsid w:val="00256E4E"/>
    <w:rsid w:val="002573E1"/>
    <w:rsid w:val="00260B6D"/>
    <w:rsid w:val="00260F46"/>
    <w:rsid w:val="0026148B"/>
    <w:rsid w:val="0026162A"/>
    <w:rsid w:val="00261D97"/>
    <w:rsid w:val="00262031"/>
    <w:rsid w:val="0027261F"/>
    <w:rsid w:val="00272F4F"/>
    <w:rsid w:val="0027301E"/>
    <w:rsid w:val="00273738"/>
    <w:rsid w:val="00273E0A"/>
    <w:rsid w:val="00274985"/>
    <w:rsid w:val="00274A0C"/>
    <w:rsid w:val="0027653A"/>
    <w:rsid w:val="002768C6"/>
    <w:rsid w:val="00276A92"/>
    <w:rsid w:val="00277667"/>
    <w:rsid w:val="002804DF"/>
    <w:rsid w:val="00281072"/>
    <w:rsid w:val="002813C9"/>
    <w:rsid w:val="00282133"/>
    <w:rsid w:val="0028294E"/>
    <w:rsid w:val="002830BC"/>
    <w:rsid w:val="00283E79"/>
    <w:rsid w:val="002866F5"/>
    <w:rsid w:val="00286C15"/>
    <w:rsid w:val="00287545"/>
    <w:rsid w:val="00287E4A"/>
    <w:rsid w:val="00290CA4"/>
    <w:rsid w:val="00293371"/>
    <w:rsid w:val="002943F3"/>
    <w:rsid w:val="00294C91"/>
    <w:rsid w:val="00294D98"/>
    <w:rsid w:val="00295828"/>
    <w:rsid w:val="002970F3"/>
    <w:rsid w:val="00297CEF"/>
    <w:rsid w:val="002A05CF"/>
    <w:rsid w:val="002A0BD9"/>
    <w:rsid w:val="002A31D3"/>
    <w:rsid w:val="002A3AE3"/>
    <w:rsid w:val="002A3D36"/>
    <w:rsid w:val="002A4C39"/>
    <w:rsid w:val="002A625F"/>
    <w:rsid w:val="002A6626"/>
    <w:rsid w:val="002A6A6E"/>
    <w:rsid w:val="002A7E2E"/>
    <w:rsid w:val="002B5119"/>
    <w:rsid w:val="002B5256"/>
    <w:rsid w:val="002B69A7"/>
    <w:rsid w:val="002B726E"/>
    <w:rsid w:val="002B7735"/>
    <w:rsid w:val="002C2A0F"/>
    <w:rsid w:val="002C5DF4"/>
    <w:rsid w:val="002C6A05"/>
    <w:rsid w:val="002D0DB0"/>
    <w:rsid w:val="002D13DA"/>
    <w:rsid w:val="002D3B01"/>
    <w:rsid w:val="002D4977"/>
    <w:rsid w:val="002D5E13"/>
    <w:rsid w:val="002D7BC7"/>
    <w:rsid w:val="002E0275"/>
    <w:rsid w:val="002E1221"/>
    <w:rsid w:val="002E17F9"/>
    <w:rsid w:val="002E23B2"/>
    <w:rsid w:val="002E287E"/>
    <w:rsid w:val="002E2DDF"/>
    <w:rsid w:val="002E2F76"/>
    <w:rsid w:val="002E4E90"/>
    <w:rsid w:val="002E67E2"/>
    <w:rsid w:val="002F09CA"/>
    <w:rsid w:val="002F2ACC"/>
    <w:rsid w:val="002F35F0"/>
    <w:rsid w:val="002F478E"/>
    <w:rsid w:val="002F5F01"/>
    <w:rsid w:val="002F60A5"/>
    <w:rsid w:val="002F73B9"/>
    <w:rsid w:val="002F7D42"/>
    <w:rsid w:val="00300E51"/>
    <w:rsid w:val="003011D8"/>
    <w:rsid w:val="00303740"/>
    <w:rsid w:val="003045E3"/>
    <w:rsid w:val="00304C79"/>
    <w:rsid w:val="00305F2B"/>
    <w:rsid w:val="00306003"/>
    <w:rsid w:val="00306775"/>
    <w:rsid w:val="003069FA"/>
    <w:rsid w:val="00307257"/>
    <w:rsid w:val="003073DF"/>
    <w:rsid w:val="003100E8"/>
    <w:rsid w:val="00310C00"/>
    <w:rsid w:val="003127E7"/>
    <w:rsid w:val="003128E2"/>
    <w:rsid w:val="003131DE"/>
    <w:rsid w:val="00314603"/>
    <w:rsid w:val="00317805"/>
    <w:rsid w:val="0032132E"/>
    <w:rsid w:val="00321785"/>
    <w:rsid w:val="00321EC9"/>
    <w:rsid w:val="00322AA1"/>
    <w:rsid w:val="0032350A"/>
    <w:rsid w:val="003236CF"/>
    <w:rsid w:val="00330790"/>
    <w:rsid w:val="003314D9"/>
    <w:rsid w:val="00331F16"/>
    <w:rsid w:val="00333BAA"/>
    <w:rsid w:val="00340E4B"/>
    <w:rsid w:val="00341784"/>
    <w:rsid w:val="00344B3D"/>
    <w:rsid w:val="00345AC3"/>
    <w:rsid w:val="00345DF0"/>
    <w:rsid w:val="00345F7F"/>
    <w:rsid w:val="003477EF"/>
    <w:rsid w:val="00347D7E"/>
    <w:rsid w:val="003526ED"/>
    <w:rsid w:val="00353092"/>
    <w:rsid w:val="003534E0"/>
    <w:rsid w:val="003544B1"/>
    <w:rsid w:val="00356F61"/>
    <w:rsid w:val="00357D70"/>
    <w:rsid w:val="00360239"/>
    <w:rsid w:val="00361278"/>
    <w:rsid w:val="00361F6A"/>
    <w:rsid w:val="00362449"/>
    <w:rsid w:val="00362679"/>
    <w:rsid w:val="00363C5F"/>
    <w:rsid w:val="00364E0F"/>
    <w:rsid w:val="003653B3"/>
    <w:rsid w:val="00366294"/>
    <w:rsid w:val="00366842"/>
    <w:rsid w:val="00367746"/>
    <w:rsid w:val="00370144"/>
    <w:rsid w:val="00372864"/>
    <w:rsid w:val="00372C56"/>
    <w:rsid w:val="0037363C"/>
    <w:rsid w:val="00374DFF"/>
    <w:rsid w:val="00374E5F"/>
    <w:rsid w:val="003756D0"/>
    <w:rsid w:val="0037787C"/>
    <w:rsid w:val="00377F69"/>
    <w:rsid w:val="00380494"/>
    <w:rsid w:val="003812D2"/>
    <w:rsid w:val="00381DBF"/>
    <w:rsid w:val="0038290F"/>
    <w:rsid w:val="00385D6C"/>
    <w:rsid w:val="0038740F"/>
    <w:rsid w:val="00391C15"/>
    <w:rsid w:val="00391F40"/>
    <w:rsid w:val="00391F72"/>
    <w:rsid w:val="00392259"/>
    <w:rsid w:val="00392CC3"/>
    <w:rsid w:val="003A0559"/>
    <w:rsid w:val="003A0905"/>
    <w:rsid w:val="003A12F3"/>
    <w:rsid w:val="003A3C08"/>
    <w:rsid w:val="003A3F8C"/>
    <w:rsid w:val="003A3FA8"/>
    <w:rsid w:val="003A5658"/>
    <w:rsid w:val="003A584D"/>
    <w:rsid w:val="003A5B5C"/>
    <w:rsid w:val="003B32A5"/>
    <w:rsid w:val="003B348C"/>
    <w:rsid w:val="003B3A93"/>
    <w:rsid w:val="003B41F7"/>
    <w:rsid w:val="003B5044"/>
    <w:rsid w:val="003B798E"/>
    <w:rsid w:val="003C1581"/>
    <w:rsid w:val="003C3BE2"/>
    <w:rsid w:val="003C4A61"/>
    <w:rsid w:val="003C563C"/>
    <w:rsid w:val="003C76C4"/>
    <w:rsid w:val="003D0890"/>
    <w:rsid w:val="003D09A9"/>
    <w:rsid w:val="003D1A7E"/>
    <w:rsid w:val="003D4684"/>
    <w:rsid w:val="003D4687"/>
    <w:rsid w:val="003D5A42"/>
    <w:rsid w:val="003D690E"/>
    <w:rsid w:val="003D7524"/>
    <w:rsid w:val="003D76D4"/>
    <w:rsid w:val="003E0091"/>
    <w:rsid w:val="003E0CC2"/>
    <w:rsid w:val="003E450C"/>
    <w:rsid w:val="003E4824"/>
    <w:rsid w:val="003E7BAE"/>
    <w:rsid w:val="003F0C97"/>
    <w:rsid w:val="003F1149"/>
    <w:rsid w:val="003F1B5F"/>
    <w:rsid w:val="003F20C7"/>
    <w:rsid w:val="003F2DC2"/>
    <w:rsid w:val="003F5262"/>
    <w:rsid w:val="003F53D3"/>
    <w:rsid w:val="00401E6A"/>
    <w:rsid w:val="00403814"/>
    <w:rsid w:val="004049B9"/>
    <w:rsid w:val="00406AFD"/>
    <w:rsid w:val="004111B6"/>
    <w:rsid w:val="00411866"/>
    <w:rsid w:val="00414109"/>
    <w:rsid w:val="00414A7B"/>
    <w:rsid w:val="00417CFB"/>
    <w:rsid w:val="00417E23"/>
    <w:rsid w:val="00420F89"/>
    <w:rsid w:val="0042236E"/>
    <w:rsid w:val="00425ACB"/>
    <w:rsid w:val="00425F75"/>
    <w:rsid w:val="0042659F"/>
    <w:rsid w:val="00426C11"/>
    <w:rsid w:val="004310D6"/>
    <w:rsid w:val="004324AC"/>
    <w:rsid w:val="00440AE0"/>
    <w:rsid w:val="00440BC2"/>
    <w:rsid w:val="00443191"/>
    <w:rsid w:val="00443558"/>
    <w:rsid w:val="00443875"/>
    <w:rsid w:val="00444232"/>
    <w:rsid w:val="00444DE9"/>
    <w:rsid w:val="00445D0D"/>
    <w:rsid w:val="004513F2"/>
    <w:rsid w:val="00452340"/>
    <w:rsid w:val="00452C11"/>
    <w:rsid w:val="00460C30"/>
    <w:rsid w:val="00460F4C"/>
    <w:rsid w:val="00463C58"/>
    <w:rsid w:val="00465FB9"/>
    <w:rsid w:val="00466302"/>
    <w:rsid w:val="0046647B"/>
    <w:rsid w:val="0047370C"/>
    <w:rsid w:val="00475098"/>
    <w:rsid w:val="0047522D"/>
    <w:rsid w:val="00475B39"/>
    <w:rsid w:val="00476BA1"/>
    <w:rsid w:val="00477488"/>
    <w:rsid w:val="00477A6F"/>
    <w:rsid w:val="0048408F"/>
    <w:rsid w:val="004858EC"/>
    <w:rsid w:val="00486637"/>
    <w:rsid w:val="004872DA"/>
    <w:rsid w:val="004912F8"/>
    <w:rsid w:val="00491AAA"/>
    <w:rsid w:val="004931C9"/>
    <w:rsid w:val="004946A3"/>
    <w:rsid w:val="004966DD"/>
    <w:rsid w:val="00496848"/>
    <w:rsid w:val="00496A1A"/>
    <w:rsid w:val="00497760"/>
    <w:rsid w:val="004A1518"/>
    <w:rsid w:val="004A2812"/>
    <w:rsid w:val="004A3DB7"/>
    <w:rsid w:val="004A3E25"/>
    <w:rsid w:val="004A3F7E"/>
    <w:rsid w:val="004A537B"/>
    <w:rsid w:val="004A718F"/>
    <w:rsid w:val="004B155C"/>
    <w:rsid w:val="004B1A8C"/>
    <w:rsid w:val="004B27E2"/>
    <w:rsid w:val="004B32A9"/>
    <w:rsid w:val="004B51ED"/>
    <w:rsid w:val="004B7D4E"/>
    <w:rsid w:val="004B7DCE"/>
    <w:rsid w:val="004C0196"/>
    <w:rsid w:val="004C0388"/>
    <w:rsid w:val="004C1C34"/>
    <w:rsid w:val="004C34ED"/>
    <w:rsid w:val="004C3692"/>
    <w:rsid w:val="004C51EC"/>
    <w:rsid w:val="004C5A91"/>
    <w:rsid w:val="004C7FB3"/>
    <w:rsid w:val="004D0E1E"/>
    <w:rsid w:val="004D7DEA"/>
    <w:rsid w:val="004E04CE"/>
    <w:rsid w:val="004E210D"/>
    <w:rsid w:val="004E3092"/>
    <w:rsid w:val="004E4AF3"/>
    <w:rsid w:val="004E5339"/>
    <w:rsid w:val="004E65DD"/>
    <w:rsid w:val="004E72B4"/>
    <w:rsid w:val="004E75E2"/>
    <w:rsid w:val="004E78E9"/>
    <w:rsid w:val="004F1DD0"/>
    <w:rsid w:val="004F39E2"/>
    <w:rsid w:val="004F42A8"/>
    <w:rsid w:val="004F467D"/>
    <w:rsid w:val="004F549E"/>
    <w:rsid w:val="004F7344"/>
    <w:rsid w:val="00500494"/>
    <w:rsid w:val="00504C79"/>
    <w:rsid w:val="00504F01"/>
    <w:rsid w:val="005152C7"/>
    <w:rsid w:val="00516293"/>
    <w:rsid w:val="0051692C"/>
    <w:rsid w:val="005175FE"/>
    <w:rsid w:val="005201C0"/>
    <w:rsid w:val="005201E9"/>
    <w:rsid w:val="00521B4C"/>
    <w:rsid w:val="00522E2A"/>
    <w:rsid w:val="005256D3"/>
    <w:rsid w:val="005259E7"/>
    <w:rsid w:val="005265A5"/>
    <w:rsid w:val="005271DD"/>
    <w:rsid w:val="00527760"/>
    <w:rsid w:val="00527B27"/>
    <w:rsid w:val="00531386"/>
    <w:rsid w:val="005316B2"/>
    <w:rsid w:val="00531BEE"/>
    <w:rsid w:val="005323A2"/>
    <w:rsid w:val="005331D5"/>
    <w:rsid w:val="0053470F"/>
    <w:rsid w:val="00535473"/>
    <w:rsid w:val="005358B7"/>
    <w:rsid w:val="00537DBF"/>
    <w:rsid w:val="00540F01"/>
    <w:rsid w:val="00541534"/>
    <w:rsid w:val="00542878"/>
    <w:rsid w:val="00542AFD"/>
    <w:rsid w:val="00543E68"/>
    <w:rsid w:val="00544BFC"/>
    <w:rsid w:val="0054553F"/>
    <w:rsid w:val="005466DB"/>
    <w:rsid w:val="00547EE5"/>
    <w:rsid w:val="00547F11"/>
    <w:rsid w:val="00550366"/>
    <w:rsid w:val="00551F42"/>
    <w:rsid w:val="00556399"/>
    <w:rsid w:val="00556526"/>
    <w:rsid w:val="00556F85"/>
    <w:rsid w:val="005570A7"/>
    <w:rsid w:val="005606DC"/>
    <w:rsid w:val="00561130"/>
    <w:rsid w:val="00564B1B"/>
    <w:rsid w:val="0056773D"/>
    <w:rsid w:val="00567DEC"/>
    <w:rsid w:val="0057035B"/>
    <w:rsid w:val="0057428A"/>
    <w:rsid w:val="005818E3"/>
    <w:rsid w:val="0058207F"/>
    <w:rsid w:val="00582D26"/>
    <w:rsid w:val="0058358B"/>
    <w:rsid w:val="00583A87"/>
    <w:rsid w:val="00583DBC"/>
    <w:rsid w:val="00585D65"/>
    <w:rsid w:val="00586159"/>
    <w:rsid w:val="0058675D"/>
    <w:rsid w:val="00587F86"/>
    <w:rsid w:val="005948EF"/>
    <w:rsid w:val="00597430"/>
    <w:rsid w:val="005A03DD"/>
    <w:rsid w:val="005A0B70"/>
    <w:rsid w:val="005A0C96"/>
    <w:rsid w:val="005A40A4"/>
    <w:rsid w:val="005A48DF"/>
    <w:rsid w:val="005A5161"/>
    <w:rsid w:val="005A5A37"/>
    <w:rsid w:val="005A5C9D"/>
    <w:rsid w:val="005A704E"/>
    <w:rsid w:val="005A782D"/>
    <w:rsid w:val="005B0526"/>
    <w:rsid w:val="005B187B"/>
    <w:rsid w:val="005B2577"/>
    <w:rsid w:val="005B2924"/>
    <w:rsid w:val="005B2D66"/>
    <w:rsid w:val="005B306B"/>
    <w:rsid w:val="005C04B1"/>
    <w:rsid w:val="005C2ABA"/>
    <w:rsid w:val="005C524E"/>
    <w:rsid w:val="005C5AB9"/>
    <w:rsid w:val="005C6AB8"/>
    <w:rsid w:val="005D2136"/>
    <w:rsid w:val="005D3E68"/>
    <w:rsid w:val="005D427D"/>
    <w:rsid w:val="005D52E5"/>
    <w:rsid w:val="005D5F88"/>
    <w:rsid w:val="005D6057"/>
    <w:rsid w:val="005D778C"/>
    <w:rsid w:val="005E0C8B"/>
    <w:rsid w:val="005E0EC2"/>
    <w:rsid w:val="005E17C2"/>
    <w:rsid w:val="005E1C60"/>
    <w:rsid w:val="005E2CBE"/>
    <w:rsid w:val="005E4870"/>
    <w:rsid w:val="005E57C9"/>
    <w:rsid w:val="005E5878"/>
    <w:rsid w:val="005E6329"/>
    <w:rsid w:val="005F0A3D"/>
    <w:rsid w:val="005F0F6B"/>
    <w:rsid w:val="005F2582"/>
    <w:rsid w:val="005F265B"/>
    <w:rsid w:val="005F34F8"/>
    <w:rsid w:val="005F4C97"/>
    <w:rsid w:val="005F5311"/>
    <w:rsid w:val="00601339"/>
    <w:rsid w:val="00601861"/>
    <w:rsid w:val="0060197F"/>
    <w:rsid w:val="00601CB2"/>
    <w:rsid w:val="00605902"/>
    <w:rsid w:val="00606105"/>
    <w:rsid w:val="00610D6E"/>
    <w:rsid w:val="0061124D"/>
    <w:rsid w:val="00611905"/>
    <w:rsid w:val="00613283"/>
    <w:rsid w:val="00613A39"/>
    <w:rsid w:val="00614401"/>
    <w:rsid w:val="006157B3"/>
    <w:rsid w:val="006214B0"/>
    <w:rsid w:val="00622ABC"/>
    <w:rsid w:val="00623204"/>
    <w:rsid w:val="00624034"/>
    <w:rsid w:val="00627C05"/>
    <w:rsid w:val="00631D8C"/>
    <w:rsid w:val="00631E24"/>
    <w:rsid w:val="0063347E"/>
    <w:rsid w:val="00633C1D"/>
    <w:rsid w:val="00634A13"/>
    <w:rsid w:val="00635FBD"/>
    <w:rsid w:val="00636CCE"/>
    <w:rsid w:val="00637269"/>
    <w:rsid w:val="00641B59"/>
    <w:rsid w:val="006442E0"/>
    <w:rsid w:val="006444A9"/>
    <w:rsid w:val="00645D40"/>
    <w:rsid w:val="0064607A"/>
    <w:rsid w:val="00647AEA"/>
    <w:rsid w:val="00650CFB"/>
    <w:rsid w:val="00652672"/>
    <w:rsid w:val="00654FC9"/>
    <w:rsid w:val="0065542B"/>
    <w:rsid w:val="00655625"/>
    <w:rsid w:val="0065594D"/>
    <w:rsid w:val="00655A90"/>
    <w:rsid w:val="00655BA3"/>
    <w:rsid w:val="006562E4"/>
    <w:rsid w:val="0065656E"/>
    <w:rsid w:val="0065683D"/>
    <w:rsid w:val="006569D5"/>
    <w:rsid w:val="00656FE2"/>
    <w:rsid w:val="0065714F"/>
    <w:rsid w:val="00657AD2"/>
    <w:rsid w:val="00660D6F"/>
    <w:rsid w:val="00660FBB"/>
    <w:rsid w:val="00664518"/>
    <w:rsid w:val="006645DB"/>
    <w:rsid w:val="00664F22"/>
    <w:rsid w:val="00667A13"/>
    <w:rsid w:val="00670241"/>
    <w:rsid w:val="00670F81"/>
    <w:rsid w:val="00671B55"/>
    <w:rsid w:val="00671DB5"/>
    <w:rsid w:val="00674872"/>
    <w:rsid w:val="00674DE5"/>
    <w:rsid w:val="0067797A"/>
    <w:rsid w:val="00680D8A"/>
    <w:rsid w:val="00682454"/>
    <w:rsid w:val="006829E6"/>
    <w:rsid w:val="006832CF"/>
    <w:rsid w:val="00686BB2"/>
    <w:rsid w:val="006876AA"/>
    <w:rsid w:val="006878E1"/>
    <w:rsid w:val="0069304A"/>
    <w:rsid w:val="0069590B"/>
    <w:rsid w:val="00695BD5"/>
    <w:rsid w:val="0069684A"/>
    <w:rsid w:val="006969AA"/>
    <w:rsid w:val="00697D6C"/>
    <w:rsid w:val="006A048D"/>
    <w:rsid w:val="006A19F1"/>
    <w:rsid w:val="006A2ADE"/>
    <w:rsid w:val="006A2DBF"/>
    <w:rsid w:val="006A3EBA"/>
    <w:rsid w:val="006A4D45"/>
    <w:rsid w:val="006A77BA"/>
    <w:rsid w:val="006B5CAE"/>
    <w:rsid w:val="006B6EA6"/>
    <w:rsid w:val="006B6FF3"/>
    <w:rsid w:val="006C0343"/>
    <w:rsid w:val="006C1704"/>
    <w:rsid w:val="006C1A65"/>
    <w:rsid w:val="006C29A7"/>
    <w:rsid w:val="006C3DBC"/>
    <w:rsid w:val="006C5090"/>
    <w:rsid w:val="006C6261"/>
    <w:rsid w:val="006C6430"/>
    <w:rsid w:val="006C707E"/>
    <w:rsid w:val="006D1505"/>
    <w:rsid w:val="006D2BA9"/>
    <w:rsid w:val="006D397E"/>
    <w:rsid w:val="006D4E40"/>
    <w:rsid w:val="006E1CCD"/>
    <w:rsid w:val="006E2366"/>
    <w:rsid w:val="006E4352"/>
    <w:rsid w:val="006E4547"/>
    <w:rsid w:val="006E483B"/>
    <w:rsid w:val="006E492B"/>
    <w:rsid w:val="006E5BE6"/>
    <w:rsid w:val="006E68D0"/>
    <w:rsid w:val="006E6E70"/>
    <w:rsid w:val="006F1D13"/>
    <w:rsid w:val="006F2861"/>
    <w:rsid w:val="006F36EF"/>
    <w:rsid w:val="006F40B0"/>
    <w:rsid w:val="006F41C6"/>
    <w:rsid w:val="006F47A8"/>
    <w:rsid w:val="006F4986"/>
    <w:rsid w:val="006F6085"/>
    <w:rsid w:val="006F6CBD"/>
    <w:rsid w:val="0070030F"/>
    <w:rsid w:val="007003E3"/>
    <w:rsid w:val="007009B9"/>
    <w:rsid w:val="00701598"/>
    <w:rsid w:val="007015BB"/>
    <w:rsid w:val="00701639"/>
    <w:rsid w:val="00701893"/>
    <w:rsid w:val="007021E5"/>
    <w:rsid w:val="00703430"/>
    <w:rsid w:val="00703640"/>
    <w:rsid w:val="00704A95"/>
    <w:rsid w:val="00705F2D"/>
    <w:rsid w:val="00706392"/>
    <w:rsid w:val="007065DE"/>
    <w:rsid w:val="00706EB2"/>
    <w:rsid w:val="00707156"/>
    <w:rsid w:val="00707C71"/>
    <w:rsid w:val="00707C99"/>
    <w:rsid w:val="0071145A"/>
    <w:rsid w:val="00711C9A"/>
    <w:rsid w:val="00712A62"/>
    <w:rsid w:val="00716EE7"/>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378D"/>
    <w:rsid w:val="00733D4C"/>
    <w:rsid w:val="00737844"/>
    <w:rsid w:val="00737EF5"/>
    <w:rsid w:val="007413BB"/>
    <w:rsid w:val="007415C6"/>
    <w:rsid w:val="00744447"/>
    <w:rsid w:val="00751717"/>
    <w:rsid w:val="007542CA"/>
    <w:rsid w:val="00754CE1"/>
    <w:rsid w:val="0075586B"/>
    <w:rsid w:val="007600A3"/>
    <w:rsid w:val="00760BFE"/>
    <w:rsid w:val="0076127D"/>
    <w:rsid w:val="00761481"/>
    <w:rsid w:val="00761F1D"/>
    <w:rsid w:val="007642C1"/>
    <w:rsid w:val="00764BDD"/>
    <w:rsid w:val="00764EF8"/>
    <w:rsid w:val="00766200"/>
    <w:rsid w:val="007703E9"/>
    <w:rsid w:val="007708AB"/>
    <w:rsid w:val="00771625"/>
    <w:rsid w:val="00772376"/>
    <w:rsid w:val="00772FA0"/>
    <w:rsid w:val="00773577"/>
    <w:rsid w:val="00775298"/>
    <w:rsid w:val="00775590"/>
    <w:rsid w:val="0077564F"/>
    <w:rsid w:val="00776706"/>
    <w:rsid w:val="00781235"/>
    <w:rsid w:val="00784355"/>
    <w:rsid w:val="00786117"/>
    <w:rsid w:val="00787327"/>
    <w:rsid w:val="007905FF"/>
    <w:rsid w:val="007906AF"/>
    <w:rsid w:val="007906F7"/>
    <w:rsid w:val="00790B57"/>
    <w:rsid w:val="00792806"/>
    <w:rsid w:val="0079295B"/>
    <w:rsid w:val="00794424"/>
    <w:rsid w:val="00794C89"/>
    <w:rsid w:val="007950DD"/>
    <w:rsid w:val="00796444"/>
    <w:rsid w:val="007965C0"/>
    <w:rsid w:val="007965E2"/>
    <w:rsid w:val="00797191"/>
    <w:rsid w:val="007A09BB"/>
    <w:rsid w:val="007A1D74"/>
    <w:rsid w:val="007A20FA"/>
    <w:rsid w:val="007A3F3F"/>
    <w:rsid w:val="007A4108"/>
    <w:rsid w:val="007A4B5F"/>
    <w:rsid w:val="007A4EA9"/>
    <w:rsid w:val="007A5ADD"/>
    <w:rsid w:val="007A7EDD"/>
    <w:rsid w:val="007A7F95"/>
    <w:rsid w:val="007B087C"/>
    <w:rsid w:val="007B1018"/>
    <w:rsid w:val="007B3958"/>
    <w:rsid w:val="007B3BEB"/>
    <w:rsid w:val="007B403D"/>
    <w:rsid w:val="007C14D0"/>
    <w:rsid w:val="007C1AD6"/>
    <w:rsid w:val="007C1EA1"/>
    <w:rsid w:val="007C213D"/>
    <w:rsid w:val="007C3FF2"/>
    <w:rsid w:val="007C4E10"/>
    <w:rsid w:val="007C50F9"/>
    <w:rsid w:val="007C69FE"/>
    <w:rsid w:val="007D13E3"/>
    <w:rsid w:val="007D13F3"/>
    <w:rsid w:val="007D2A4B"/>
    <w:rsid w:val="007D39D3"/>
    <w:rsid w:val="007D461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759D"/>
    <w:rsid w:val="008079EC"/>
    <w:rsid w:val="008168DE"/>
    <w:rsid w:val="00816B3F"/>
    <w:rsid w:val="0081754D"/>
    <w:rsid w:val="0081779E"/>
    <w:rsid w:val="008177B9"/>
    <w:rsid w:val="00817F65"/>
    <w:rsid w:val="00821801"/>
    <w:rsid w:val="0082279A"/>
    <w:rsid w:val="0082527A"/>
    <w:rsid w:val="00825CD8"/>
    <w:rsid w:val="00826E97"/>
    <w:rsid w:val="00827313"/>
    <w:rsid w:val="0083014D"/>
    <w:rsid w:val="00834152"/>
    <w:rsid w:val="008356FF"/>
    <w:rsid w:val="00835AAF"/>
    <w:rsid w:val="00836831"/>
    <w:rsid w:val="00837DDE"/>
    <w:rsid w:val="00850F0A"/>
    <w:rsid w:val="008511DF"/>
    <w:rsid w:val="008523F5"/>
    <w:rsid w:val="008548F9"/>
    <w:rsid w:val="0085575C"/>
    <w:rsid w:val="0085791F"/>
    <w:rsid w:val="00857988"/>
    <w:rsid w:val="0086244F"/>
    <w:rsid w:val="00871F40"/>
    <w:rsid w:val="00873D99"/>
    <w:rsid w:val="00874ED7"/>
    <w:rsid w:val="00881AC0"/>
    <w:rsid w:val="0088213F"/>
    <w:rsid w:val="00883121"/>
    <w:rsid w:val="0088392F"/>
    <w:rsid w:val="0088400A"/>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3BF"/>
    <w:rsid w:val="008A57E8"/>
    <w:rsid w:val="008A690D"/>
    <w:rsid w:val="008A6E28"/>
    <w:rsid w:val="008B4093"/>
    <w:rsid w:val="008B47F3"/>
    <w:rsid w:val="008B5C61"/>
    <w:rsid w:val="008B6C1E"/>
    <w:rsid w:val="008B760D"/>
    <w:rsid w:val="008C3689"/>
    <w:rsid w:val="008C44CB"/>
    <w:rsid w:val="008C50AF"/>
    <w:rsid w:val="008D087B"/>
    <w:rsid w:val="008D1D39"/>
    <w:rsid w:val="008D426D"/>
    <w:rsid w:val="008D4E58"/>
    <w:rsid w:val="008D5049"/>
    <w:rsid w:val="008D538C"/>
    <w:rsid w:val="008D6DDF"/>
    <w:rsid w:val="008D6FDB"/>
    <w:rsid w:val="008D721C"/>
    <w:rsid w:val="008E21A0"/>
    <w:rsid w:val="008E33FD"/>
    <w:rsid w:val="008E44D1"/>
    <w:rsid w:val="008E65A0"/>
    <w:rsid w:val="008E661B"/>
    <w:rsid w:val="008E75E7"/>
    <w:rsid w:val="008E7F8A"/>
    <w:rsid w:val="008F1161"/>
    <w:rsid w:val="008F479E"/>
    <w:rsid w:val="009011F1"/>
    <w:rsid w:val="00903260"/>
    <w:rsid w:val="00905BA5"/>
    <w:rsid w:val="00907807"/>
    <w:rsid w:val="00910014"/>
    <w:rsid w:val="009117F7"/>
    <w:rsid w:val="009127A6"/>
    <w:rsid w:val="00914463"/>
    <w:rsid w:val="0091528B"/>
    <w:rsid w:val="009157B1"/>
    <w:rsid w:val="00915DC7"/>
    <w:rsid w:val="0091674F"/>
    <w:rsid w:val="00917CAF"/>
    <w:rsid w:val="00921004"/>
    <w:rsid w:val="00924F11"/>
    <w:rsid w:val="00925936"/>
    <w:rsid w:val="009271BE"/>
    <w:rsid w:val="009272D7"/>
    <w:rsid w:val="009305A8"/>
    <w:rsid w:val="00931503"/>
    <w:rsid w:val="00933532"/>
    <w:rsid w:val="00941528"/>
    <w:rsid w:val="009416FD"/>
    <w:rsid w:val="00942733"/>
    <w:rsid w:val="00942B53"/>
    <w:rsid w:val="00942C70"/>
    <w:rsid w:val="00943343"/>
    <w:rsid w:val="009439ED"/>
    <w:rsid w:val="009458C9"/>
    <w:rsid w:val="0094610C"/>
    <w:rsid w:val="00946694"/>
    <w:rsid w:val="009467D3"/>
    <w:rsid w:val="00946AFE"/>
    <w:rsid w:val="00946ECB"/>
    <w:rsid w:val="00950AD3"/>
    <w:rsid w:val="00951B99"/>
    <w:rsid w:val="00951CDB"/>
    <w:rsid w:val="00951EC0"/>
    <w:rsid w:val="00952A87"/>
    <w:rsid w:val="00952B66"/>
    <w:rsid w:val="00952E95"/>
    <w:rsid w:val="00952F86"/>
    <w:rsid w:val="00955C03"/>
    <w:rsid w:val="00956DE7"/>
    <w:rsid w:val="0095706F"/>
    <w:rsid w:val="00961D32"/>
    <w:rsid w:val="0096387F"/>
    <w:rsid w:val="0096389B"/>
    <w:rsid w:val="00964237"/>
    <w:rsid w:val="009647EC"/>
    <w:rsid w:val="00965812"/>
    <w:rsid w:val="00966813"/>
    <w:rsid w:val="009669F7"/>
    <w:rsid w:val="00966C4D"/>
    <w:rsid w:val="00967B16"/>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3C6F"/>
    <w:rsid w:val="00997863"/>
    <w:rsid w:val="009978D1"/>
    <w:rsid w:val="009978E7"/>
    <w:rsid w:val="00997B70"/>
    <w:rsid w:val="009A31D3"/>
    <w:rsid w:val="009A3BD0"/>
    <w:rsid w:val="009A3D48"/>
    <w:rsid w:val="009A40B3"/>
    <w:rsid w:val="009A4C12"/>
    <w:rsid w:val="009A54F3"/>
    <w:rsid w:val="009A5B27"/>
    <w:rsid w:val="009A6404"/>
    <w:rsid w:val="009A701F"/>
    <w:rsid w:val="009A71E4"/>
    <w:rsid w:val="009A7279"/>
    <w:rsid w:val="009A7E68"/>
    <w:rsid w:val="009B046A"/>
    <w:rsid w:val="009B29C9"/>
    <w:rsid w:val="009B4291"/>
    <w:rsid w:val="009B4F3F"/>
    <w:rsid w:val="009B559E"/>
    <w:rsid w:val="009B5B67"/>
    <w:rsid w:val="009B6B40"/>
    <w:rsid w:val="009C05B2"/>
    <w:rsid w:val="009C0809"/>
    <w:rsid w:val="009C1066"/>
    <w:rsid w:val="009C1372"/>
    <w:rsid w:val="009C353B"/>
    <w:rsid w:val="009C5373"/>
    <w:rsid w:val="009C5669"/>
    <w:rsid w:val="009C6404"/>
    <w:rsid w:val="009D0240"/>
    <w:rsid w:val="009D1CF8"/>
    <w:rsid w:val="009D1FC0"/>
    <w:rsid w:val="009D2D03"/>
    <w:rsid w:val="009D3B98"/>
    <w:rsid w:val="009D44A7"/>
    <w:rsid w:val="009D55E8"/>
    <w:rsid w:val="009D56D8"/>
    <w:rsid w:val="009D5ECD"/>
    <w:rsid w:val="009D6055"/>
    <w:rsid w:val="009D6445"/>
    <w:rsid w:val="009D7BF6"/>
    <w:rsid w:val="009E0D31"/>
    <w:rsid w:val="009E10EE"/>
    <w:rsid w:val="009E12A8"/>
    <w:rsid w:val="009E2DB1"/>
    <w:rsid w:val="009E5F11"/>
    <w:rsid w:val="009E6480"/>
    <w:rsid w:val="009E7994"/>
    <w:rsid w:val="009F143B"/>
    <w:rsid w:val="009F2DB4"/>
    <w:rsid w:val="009F2EEB"/>
    <w:rsid w:val="009F2F3F"/>
    <w:rsid w:val="009F56DB"/>
    <w:rsid w:val="009F58BA"/>
    <w:rsid w:val="009F73BD"/>
    <w:rsid w:val="009F75DF"/>
    <w:rsid w:val="00A00055"/>
    <w:rsid w:val="00A00101"/>
    <w:rsid w:val="00A0075C"/>
    <w:rsid w:val="00A02270"/>
    <w:rsid w:val="00A04D03"/>
    <w:rsid w:val="00A077D2"/>
    <w:rsid w:val="00A1000C"/>
    <w:rsid w:val="00A16942"/>
    <w:rsid w:val="00A16DB0"/>
    <w:rsid w:val="00A17A72"/>
    <w:rsid w:val="00A20E69"/>
    <w:rsid w:val="00A23D9B"/>
    <w:rsid w:val="00A23DD8"/>
    <w:rsid w:val="00A2528C"/>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1BD6"/>
    <w:rsid w:val="00A427D6"/>
    <w:rsid w:val="00A4323C"/>
    <w:rsid w:val="00A45A2D"/>
    <w:rsid w:val="00A46E96"/>
    <w:rsid w:val="00A47051"/>
    <w:rsid w:val="00A4759A"/>
    <w:rsid w:val="00A47679"/>
    <w:rsid w:val="00A47AAA"/>
    <w:rsid w:val="00A501AE"/>
    <w:rsid w:val="00A507AC"/>
    <w:rsid w:val="00A51E98"/>
    <w:rsid w:val="00A52030"/>
    <w:rsid w:val="00A5230D"/>
    <w:rsid w:val="00A54E47"/>
    <w:rsid w:val="00A5541B"/>
    <w:rsid w:val="00A5787A"/>
    <w:rsid w:val="00A57DC6"/>
    <w:rsid w:val="00A60E9F"/>
    <w:rsid w:val="00A62A69"/>
    <w:rsid w:val="00A62BEC"/>
    <w:rsid w:val="00A63A63"/>
    <w:rsid w:val="00A658C1"/>
    <w:rsid w:val="00A66684"/>
    <w:rsid w:val="00A734AD"/>
    <w:rsid w:val="00A74C70"/>
    <w:rsid w:val="00A75B36"/>
    <w:rsid w:val="00A76050"/>
    <w:rsid w:val="00A76A29"/>
    <w:rsid w:val="00A77039"/>
    <w:rsid w:val="00A770E4"/>
    <w:rsid w:val="00A804D9"/>
    <w:rsid w:val="00A81C21"/>
    <w:rsid w:val="00A82018"/>
    <w:rsid w:val="00A837A0"/>
    <w:rsid w:val="00A83E6A"/>
    <w:rsid w:val="00A84263"/>
    <w:rsid w:val="00A87813"/>
    <w:rsid w:val="00A90707"/>
    <w:rsid w:val="00A90926"/>
    <w:rsid w:val="00A924D3"/>
    <w:rsid w:val="00A927BE"/>
    <w:rsid w:val="00A928EC"/>
    <w:rsid w:val="00A94273"/>
    <w:rsid w:val="00A96EE6"/>
    <w:rsid w:val="00A97287"/>
    <w:rsid w:val="00A978D8"/>
    <w:rsid w:val="00AA0B0F"/>
    <w:rsid w:val="00AA15E5"/>
    <w:rsid w:val="00AA18F9"/>
    <w:rsid w:val="00AA287A"/>
    <w:rsid w:val="00AA2AA2"/>
    <w:rsid w:val="00AA2DED"/>
    <w:rsid w:val="00AA4E5D"/>
    <w:rsid w:val="00AA79FD"/>
    <w:rsid w:val="00AB1C66"/>
    <w:rsid w:val="00AB4214"/>
    <w:rsid w:val="00AB435C"/>
    <w:rsid w:val="00AB4BA8"/>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6BD5"/>
    <w:rsid w:val="00AF19B6"/>
    <w:rsid w:val="00AF1C99"/>
    <w:rsid w:val="00AF3146"/>
    <w:rsid w:val="00AF5E87"/>
    <w:rsid w:val="00AF68BD"/>
    <w:rsid w:val="00AF7193"/>
    <w:rsid w:val="00B00552"/>
    <w:rsid w:val="00B013C6"/>
    <w:rsid w:val="00B02BEE"/>
    <w:rsid w:val="00B06740"/>
    <w:rsid w:val="00B076E2"/>
    <w:rsid w:val="00B07EF2"/>
    <w:rsid w:val="00B106B7"/>
    <w:rsid w:val="00B10BD5"/>
    <w:rsid w:val="00B11C1C"/>
    <w:rsid w:val="00B12E7A"/>
    <w:rsid w:val="00B13613"/>
    <w:rsid w:val="00B15624"/>
    <w:rsid w:val="00B17BD8"/>
    <w:rsid w:val="00B17E56"/>
    <w:rsid w:val="00B23F78"/>
    <w:rsid w:val="00B24136"/>
    <w:rsid w:val="00B256E8"/>
    <w:rsid w:val="00B25C34"/>
    <w:rsid w:val="00B26EEA"/>
    <w:rsid w:val="00B30B53"/>
    <w:rsid w:val="00B313E9"/>
    <w:rsid w:val="00B32325"/>
    <w:rsid w:val="00B32AAC"/>
    <w:rsid w:val="00B3379E"/>
    <w:rsid w:val="00B340A4"/>
    <w:rsid w:val="00B340D4"/>
    <w:rsid w:val="00B34434"/>
    <w:rsid w:val="00B35531"/>
    <w:rsid w:val="00B355EC"/>
    <w:rsid w:val="00B411A3"/>
    <w:rsid w:val="00B431AF"/>
    <w:rsid w:val="00B443CF"/>
    <w:rsid w:val="00B45C2D"/>
    <w:rsid w:val="00B46D45"/>
    <w:rsid w:val="00B47985"/>
    <w:rsid w:val="00B50F76"/>
    <w:rsid w:val="00B52A6F"/>
    <w:rsid w:val="00B53696"/>
    <w:rsid w:val="00B541DE"/>
    <w:rsid w:val="00B56649"/>
    <w:rsid w:val="00B567F2"/>
    <w:rsid w:val="00B625F2"/>
    <w:rsid w:val="00B62982"/>
    <w:rsid w:val="00B62B5B"/>
    <w:rsid w:val="00B64FA2"/>
    <w:rsid w:val="00B65520"/>
    <w:rsid w:val="00B663DC"/>
    <w:rsid w:val="00B67430"/>
    <w:rsid w:val="00B70EC3"/>
    <w:rsid w:val="00B710D8"/>
    <w:rsid w:val="00B73629"/>
    <w:rsid w:val="00B7466E"/>
    <w:rsid w:val="00B74AE3"/>
    <w:rsid w:val="00B75E89"/>
    <w:rsid w:val="00B779BD"/>
    <w:rsid w:val="00B8021E"/>
    <w:rsid w:val="00B8028F"/>
    <w:rsid w:val="00B833BE"/>
    <w:rsid w:val="00B85B5D"/>
    <w:rsid w:val="00B87B08"/>
    <w:rsid w:val="00B90F2F"/>
    <w:rsid w:val="00B91E2B"/>
    <w:rsid w:val="00B921E4"/>
    <w:rsid w:val="00B93C7A"/>
    <w:rsid w:val="00B94AD0"/>
    <w:rsid w:val="00B956C4"/>
    <w:rsid w:val="00B96782"/>
    <w:rsid w:val="00BA08F1"/>
    <w:rsid w:val="00BA0DAB"/>
    <w:rsid w:val="00BA303A"/>
    <w:rsid w:val="00BA4C54"/>
    <w:rsid w:val="00BA7FF0"/>
    <w:rsid w:val="00BB02FF"/>
    <w:rsid w:val="00BB1409"/>
    <w:rsid w:val="00BB2152"/>
    <w:rsid w:val="00BB2BE0"/>
    <w:rsid w:val="00BB3529"/>
    <w:rsid w:val="00BB405B"/>
    <w:rsid w:val="00BB4B19"/>
    <w:rsid w:val="00BB68F9"/>
    <w:rsid w:val="00BB7FC6"/>
    <w:rsid w:val="00BC1799"/>
    <w:rsid w:val="00BC2663"/>
    <w:rsid w:val="00BC29D0"/>
    <w:rsid w:val="00BC4043"/>
    <w:rsid w:val="00BC4A27"/>
    <w:rsid w:val="00BC4FD6"/>
    <w:rsid w:val="00BC6AAC"/>
    <w:rsid w:val="00BC6D3A"/>
    <w:rsid w:val="00BC7548"/>
    <w:rsid w:val="00BD10A5"/>
    <w:rsid w:val="00BD128D"/>
    <w:rsid w:val="00BD69AE"/>
    <w:rsid w:val="00BD6F2D"/>
    <w:rsid w:val="00BD797F"/>
    <w:rsid w:val="00BD7F12"/>
    <w:rsid w:val="00BE1470"/>
    <w:rsid w:val="00BE7C72"/>
    <w:rsid w:val="00BF1421"/>
    <w:rsid w:val="00BF2468"/>
    <w:rsid w:val="00BF414E"/>
    <w:rsid w:val="00BF42B2"/>
    <w:rsid w:val="00BF5CEF"/>
    <w:rsid w:val="00BF78BF"/>
    <w:rsid w:val="00C00BBF"/>
    <w:rsid w:val="00C02CC4"/>
    <w:rsid w:val="00C03B68"/>
    <w:rsid w:val="00C04AA4"/>
    <w:rsid w:val="00C04EC8"/>
    <w:rsid w:val="00C05445"/>
    <w:rsid w:val="00C06BE9"/>
    <w:rsid w:val="00C112C9"/>
    <w:rsid w:val="00C12CBD"/>
    <w:rsid w:val="00C13469"/>
    <w:rsid w:val="00C134DB"/>
    <w:rsid w:val="00C13D2F"/>
    <w:rsid w:val="00C16D8A"/>
    <w:rsid w:val="00C20847"/>
    <w:rsid w:val="00C222E3"/>
    <w:rsid w:val="00C25B78"/>
    <w:rsid w:val="00C264DC"/>
    <w:rsid w:val="00C26907"/>
    <w:rsid w:val="00C314B3"/>
    <w:rsid w:val="00C32068"/>
    <w:rsid w:val="00C33FEF"/>
    <w:rsid w:val="00C34017"/>
    <w:rsid w:val="00C355DF"/>
    <w:rsid w:val="00C4007D"/>
    <w:rsid w:val="00C4163B"/>
    <w:rsid w:val="00C41F24"/>
    <w:rsid w:val="00C43FD0"/>
    <w:rsid w:val="00C4691E"/>
    <w:rsid w:val="00C47619"/>
    <w:rsid w:val="00C51445"/>
    <w:rsid w:val="00C5168E"/>
    <w:rsid w:val="00C51D2A"/>
    <w:rsid w:val="00C52848"/>
    <w:rsid w:val="00C55704"/>
    <w:rsid w:val="00C6074A"/>
    <w:rsid w:val="00C61FF5"/>
    <w:rsid w:val="00C63606"/>
    <w:rsid w:val="00C649B2"/>
    <w:rsid w:val="00C6662D"/>
    <w:rsid w:val="00C671F5"/>
    <w:rsid w:val="00C67588"/>
    <w:rsid w:val="00C67ADF"/>
    <w:rsid w:val="00C67E5D"/>
    <w:rsid w:val="00C67F17"/>
    <w:rsid w:val="00C70DB9"/>
    <w:rsid w:val="00C72528"/>
    <w:rsid w:val="00C74013"/>
    <w:rsid w:val="00C74025"/>
    <w:rsid w:val="00C748FF"/>
    <w:rsid w:val="00C74DA7"/>
    <w:rsid w:val="00C767DA"/>
    <w:rsid w:val="00C76D70"/>
    <w:rsid w:val="00C805FB"/>
    <w:rsid w:val="00C80BC3"/>
    <w:rsid w:val="00C80CA7"/>
    <w:rsid w:val="00C8227D"/>
    <w:rsid w:val="00C82585"/>
    <w:rsid w:val="00C8269C"/>
    <w:rsid w:val="00C83750"/>
    <w:rsid w:val="00C8590C"/>
    <w:rsid w:val="00C86509"/>
    <w:rsid w:val="00C86513"/>
    <w:rsid w:val="00C8675B"/>
    <w:rsid w:val="00C86CD7"/>
    <w:rsid w:val="00C86F17"/>
    <w:rsid w:val="00C86F88"/>
    <w:rsid w:val="00C87223"/>
    <w:rsid w:val="00C87AD2"/>
    <w:rsid w:val="00C90BBF"/>
    <w:rsid w:val="00C91729"/>
    <w:rsid w:val="00C91865"/>
    <w:rsid w:val="00C9376B"/>
    <w:rsid w:val="00C9581A"/>
    <w:rsid w:val="00C960BE"/>
    <w:rsid w:val="00C9791B"/>
    <w:rsid w:val="00CA27CB"/>
    <w:rsid w:val="00CA3682"/>
    <w:rsid w:val="00CA5B5C"/>
    <w:rsid w:val="00CA71C3"/>
    <w:rsid w:val="00CB0040"/>
    <w:rsid w:val="00CB1689"/>
    <w:rsid w:val="00CB3481"/>
    <w:rsid w:val="00CB4013"/>
    <w:rsid w:val="00CB44BB"/>
    <w:rsid w:val="00CB4580"/>
    <w:rsid w:val="00CB5FE1"/>
    <w:rsid w:val="00CC2A7C"/>
    <w:rsid w:val="00CC4AEF"/>
    <w:rsid w:val="00CC6C0C"/>
    <w:rsid w:val="00CC719D"/>
    <w:rsid w:val="00CC724A"/>
    <w:rsid w:val="00CD38AE"/>
    <w:rsid w:val="00CD44B9"/>
    <w:rsid w:val="00CD482D"/>
    <w:rsid w:val="00CD4BE8"/>
    <w:rsid w:val="00CD5C0E"/>
    <w:rsid w:val="00CD7A5F"/>
    <w:rsid w:val="00CE2834"/>
    <w:rsid w:val="00CE354F"/>
    <w:rsid w:val="00CE7264"/>
    <w:rsid w:val="00CF158B"/>
    <w:rsid w:val="00CF5301"/>
    <w:rsid w:val="00CF534A"/>
    <w:rsid w:val="00CF55D6"/>
    <w:rsid w:val="00CF6484"/>
    <w:rsid w:val="00CF7478"/>
    <w:rsid w:val="00CF78D3"/>
    <w:rsid w:val="00D016C5"/>
    <w:rsid w:val="00D01D1A"/>
    <w:rsid w:val="00D02312"/>
    <w:rsid w:val="00D07B07"/>
    <w:rsid w:val="00D10177"/>
    <w:rsid w:val="00D10B27"/>
    <w:rsid w:val="00D11264"/>
    <w:rsid w:val="00D121FA"/>
    <w:rsid w:val="00D12B6B"/>
    <w:rsid w:val="00D12CFF"/>
    <w:rsid w:val="00D14AF4"/>
    <w:rsid w:val="00D156AF"/>
    <w:rsid w:val="00D15A86"/>
    <w:rsid w:val="00D16367"/>
    <w:rsid w:val="00D16699"/>
    <w:rsid w:val="00D202C6"/>
    <w:rsid w:val="00D2092C"/>
    <w:rsid w:val="00D228DE"/>
    <w:rsid w:val="00D22DC3"/>
    <w:rsid w:val="00D25683"/>
    <w:rsid w:val="00D27042"/>
    <w:rsid w:val="00D27C3C"/>
    <w:rsid w:val="00D322D9"/>
    <w:rsid w:val="00D333A4"/>
    <w:rsid w:val="00D35DD1"/>
    <w:rsid w:val="00D373B3"/>
    <w:rsid w:val="00D40191"/>
    <w:rsid w:val="00D4077C"/>
    <w:rsid w:val="00D41162"/>
    <w:rsid w:val="00D422AF"/>
    <w:rsid w:val="00D4253A"/>
    <w:rsid w:val="00D43EB8"/>
    <w:rsid w:val="00D45148"/>
    <w:rsid w:val="00D461AA"/>
    <w:rsid w:val="00D46C5C"/>
    <w:rsid w:val="00D50B42"/>
    <w:rsid w:val="00D51285"/>
    <w:rsid w:val="00D513C0"/>
    <w:rsid w:val="00D5307F"/>
    <w:rsid w:val="00D56587"/>
    <w:rsid w:val="00D56939"/>
    <w:rsid w:val="00D57228"/>
    <w:rsid w:val="00D6027C"/>
    <w:rsid w:val="00D618A4"/>
    <w:rsid w:val="00D61C6D"/>
    <w:rsid w:val="00D62940"/>
    <w:rsid w:val="00D64034"/>
    <w:rsid w:val="00D6481C"/>
    <w:rsid w:val="00D65324"/>
    <w:rsid w:val="00D65726"/>
    <w:rsid w:val="00D67EE2"/>
    <w:rsid w:val="00D7246B"/>
    <w:rsid w:val="00D724FF"/>
    <w:rsid w:val="00D726ED"/>
    <w:rsid w:val="00D72832"/>
    <w:rsid w:val="00D73109"/>
    <w:rsid w:val="00D73C0A"/>
    <w:rsid w:val="00D76513"/>
    <w:rsid w:val="00D76C43"/>
    <w:rsid w:val="00D80C4B"/>
    <w:rsid w:val="00D810EC"/>
    <w:rsid w:val="00D8255C"/>
    <w:rsid w:val="00D835B6"/>
    <w:rsid w:val="00D84464"/>
    <w:rsid w:val="00D8548C"/>
    <w:rsid w:val="00D91782"/>
    <w:rsid w:val="00D92107"/>
    <w:rsid w:val="00D925A8"/>
    <w:rsid w:val="00D94999"/>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1A4C"/>
    <w:rsid w:val="00DE2966"/>
    <w:rsid w:val="00DE5C24"/>
    <w:rsid w:val="00DE6DA2"/>
    <w:rsid w:val="00DF0424"/>
    <w:rsid w:val="00DF3781"/>
    <w:rsid w:val="00DF6291"/>
    <w:rsid w:val="00DF6E69"/>
    <w:rsid w:val="00DF779F"/>
    <w:rsid w:val="00E0140B"/>
    <w:rsid w:val="00E01785"/>
    <w:rsid w:val="00E01BEC"/>
    <w:rsid w:val="00E0292D"/>
    <w:rsid w:val="00E03F92"/>
    <w:rsid w:val="00E0595F"/>
    <w:rsid w:val="00E06847"/>
    <w:rsid w:val="00E06EE2"/>
    <w:rsid w:val="00E07CB1"/>
    <w:rsid w:val="00E107CA"/>
    <w:rsid w:val="00E1216B"/>
    <w:rsid w:val="00E1477F"/>
    <w:rsid w:val="00E14C65"/>
    <w:rsid w:val="00E16C63"/>
    <w:rsid w:val="00E23093"/>
    <w:rsid w:val="00E25D54"/>
    <w:rsid w:val="00E2709A"/>
    <w:rsid w:val="00E30166"/>
    <w:rsid w:val="00E30E76"/>
    <w:rsid w:val="00E31E0C"/>
    <w:rsid w:val="00E32DAA"/>
    <w:rsid w:val="00E3322A"/>
    <w:rsid w:val="00E341F5"/>
    <w:rsid w:val="00E3654E"/>
    <w:rsid w:val="00E367B7"/>
    <w:rsid w:val="00E36DE4"/>
    <w:rsid w:val="00E37F2E"/>
    <w:rsid w:val="00E37F93"/>
    <w:rsid w:val="00E4176F"/>
    <w:rsid w:val="00E43171"/>
    <w:rsid w:val="00E43B5E"/>
    <w:rsid w:val="00E43D94"/>
    <w:rsid w:val="00E4442B"/>
    <w:rsid w:val="00E45B51"/>
    <w:rsid w:val="00E50393"/>
    <w:rsid w:val="00E52515"/>
    <w:rsid w:val="00E52518"/>
    <w:rsid w:val="00E531B9"/>
    <w:rsid w:val="00E53BC5"/>
    <w:rsid w:val="00E5758B"/>
    <w:rsid w:val="00E57869"/>
    <w:rsid w:val="00E6191D"/>
    <w:rsid w:val="00E61DBC"/>
    <w:rsid w:val="00E637A7"/>
    <w:rsid w:val="00E64057"/>
    <w:rsid w:val="00E664B4"/>
    <w:rsid w:val="00E66AFF"/>
    <w:rsid w:val="00E6771C"/>
    <w:rsid w:val="00E70381"/>
    <w:rsid w:val="00E705E6"/>
    <w:rsid w:val="00E70EAE"/>
    <w:rsid w:val="00E70F8F"/>
    <w:rsid w:val="00E729DC"/>
    <w:rsid w:val="00E73DEF"/>
    <w:rsid w:val="00E74137"/>
    <w:rsid w:val="00E753EC"/>
    <w:rsid w:val="00E76B37"/>
    <w:rsid w:val="00E772CA"/>
    <w:rsid w:val="00E80D65"/>
    <w:rsid w:val="00E8259B"/>
    <w:rsid w:val="00E8557F"/>
    <w:rsid w:val="00E864E4"/>
    <w:rsid w:val="00E8709F"/>
    <w:rsid w:val="00E900E2"/>
    <w:rsid w:val="00E91723"/>
    <w:rsid w:val="00E93537"/>
    <w:rsid w:val="00E95356"/>
    <w:rsid w:val="00E960DD"/>
    <w:rsid w:val="00E96580"/>
    <w:rsid w:val="00E968FC"/>
    <w:rsid w:val="00EA0220"/>
    <w:rsid w:val="00EA0ADC"/>
    <w:rsid w:val="00EA21E9"/>
    <w:rsid w:val="00EA4C4B"/>
    <w:rsid w:val="00EA4E22"/>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2086"/>
    <w:rsid w:val="00ED2615"/>
    <w:rsid w:val="00ED2C95"/>
    <w:rsid w:val="00ED38AF"/>
    <w:rsid w:val="00ED45E8"/>
    <w:rsid w:val="00ED60A1"/>
    <w:rsid w:val="00ED6123"/>
    <w:rsid w:val="00ED6269"/>
    <w:rsid w:val="00ED69A0"/>
    <w:rsid w:val="00EE184B"/>
    <w:rsid w:val="00EE1C4A"/>
    <w:rsid w:val="00EE1EB0"/>
    <w:rsid w:val="00EE453C"/>
    <w:rsid w:val="00EE6052"/>
    <w:rsid w:val="00EE6D21"/>
    <w:rsid w:val="00EE6F4A"/>
    <w:rsid w:val="00EF15EF"/>
    <w:rsid w:val="00EF379C"/>
    <w:rsid w:val="00F0012D"/>
    <w:rsid w:val="00F006E8"/>
    <w:rsid w:val="00F01B55"/>
    <w:rsid w:val="00F0237B"/>
    <w:rsid w:val="00F03C15"/>
    <w:rsid w:val="00F04BDE"/>
    <w:rsid w:val="00F06498"/>
    <w:rsid w:val="00F06E99"/>
    <w:rsid w:val="00F0723B"/>
    <w:rsid w:val="00F0786F"/>
    <w:rsid w:val="00F11E0A"/>
    <w:rsid w:val="00F13013"/>
    <w:rsid w:val="00F14D9E"/>
    <w:rsid w:val="00F14F22"/>
    <w:rsid w:val="00F16104"/>
    <w:rsid w:val="00F16CF9"/>
    <w:rsid w:val="00F20B09"/>
    <w:rsid w:val="00F20CD8"/>
    <w:rsid w:val="00F21BC5"/>
    <w:rsid w:val="00F221E2"/>
    <w:rsid w:val="00F24EDD"/>
    <w:rsid w:val="00F25216"/>
    <w:rsid w:val="00F25CB6"/>
    <w:rsid w:val="00F26D2D"/>
    <w:rsid w:val="00F3167E"/>
    <w:rsid w:val="00F31AB9"/>
    <w:rsid w:val="00F324DD"/>
    <w:rsid w:val="00F3335E"/>
    <w:rsid w:val="00F33742"/>
    <w:rsid w:val="00F33829"/>
    <w:rsid w:val="00F349E0"/>
    <w:rsid w:val="00F368DD"/>
    <w:rsid w:val="00F36AB3"/>
    <w:rsid w:val="00F36BF0"/>
    <w:rsid w:val="00F37DF8"/>
    <w:rsid w:val="00F439B5"/>
    <w:rsid w:val="00F43D2A"/>
    <w:rsid w:val="00F44002"/>
    <w:rsid w:val="00F45F80"/>
    <w:rsid w:val="00F52E75"/>
    <w:rsid w:val="00F54303"/>
    <w:rsid w:val="00F54C75"/>
    <w:rsid w:val="00F57DED"/>
    <w:rsid w:val="00F63F49"/>
    <w:rsid w:val="00F6477C"/>
    <w:rsid w:val="00F65837"/>
    <w:rsid w:val="00F663F6"/>
    <w:rsid w:val="00F6707C"/>
    <w:rsid w:val="00F67367"/>
    <w:rsid w:val="00F70C4B"/>
    <w:rsid w:val="00F713A4"/>
    <w:rsid w:val="00F715EA"/>
    <w:rsid w:val="00F72D00"/>
    <w:rsid w:val="00F73696"/>
    <w:rsid w:val="00F73A95"/>
    <w:rsid w:val="00F73C1E"/>
    <w:rsid w:val="00F771DE"/>
    <w:rsid w:val="00F81150"/>
    <w:rsid w:val="00F833B7"/>
    <w:rsid w:val="00F83A22"/>
    <w:rsid w:val="00F843B1"/>
    <w:rsid w:val="00F84CF9"/>
    <w:rsid w:val="00F87C6C"/>
    <w:rsid w:val="00F87E38"/>
    <w:rsid w:val="00F9075C"/>
    <w:rsid w:val="00F91A73"/>
    <w:rsid w:val="00F92849"/>
    <w:rsid w:val="00F92DBC"/>
    <w:rsid w:val="00F94424"/>
    <w:rsid w:val="00F94599"/>
    <w:rsid w:val="00F97EA2"/>
    <w:rsid w:val="00FA155E"/>
    <w:rsid w:val="00FA2322"/>
    <w:rsid w:val="00FA244A"/>
    <w:rsid w:val="00FA31B9"/>
    <w:rsid w:val="00FB297F"/>
    <w:rsid w:val="00FB4B0C"/>
    <w:rsid w:val="00FB57F1"/>
    <w:rsid w:val="00FB638E"/>
    <w:rsid w:val="00FC0980"/>
    <w:rsid w:val="00FC0D10"/>
    <w:rsid w:val="00FC1934"/>
    <w:rsid w:val="00FC3693"/>
    <w:rsid w:val="00FC3CCB"/>
    <w:rsid w:val="00FC5555"/>
    <w:rsid w:val="00FD127E"/>
    <w:rsid w:val="00FD78D4"/>
    <w:rsid w:val="00FE1D8F"/>
    <w:rsid w:val="00FE2169"/>
    <w:rsid w:val="00FE288E"/>
    <w:rsid w:val="00FE38F0"/>
    <w:rsid w:val="00FE400D"/>
    <w:rsid w:val="00FE43A9"/>
    <w:rsid w:val="00FE6588"/>
    <w:rsid w:val="00FE70D2"/>
    <w:rsid w:val="00FE73F3"/>
    <w:rsid w:val="00FE7B84"/>
    <w:rsid w:val="00FF2CF8"/>
    <w:rsid w:val="00FF32B0"/>
    <w:rsid w:val="00FF41F3"/>
    <w:rsid w:val="00FF548B"/>
    <w:rsid w:val="00FF6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B6460318-E840-4794-B908-D52E49426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A05"/>
    <w:rPr>
      <w:rFonts w:ascii="Times New Roman" w:hAnsi="Times New Roman"/>
      <w:sz w:val="24"/>
    </w:rPr>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eastAsia="Times New Roman" w:hAnsi="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customStyle="1" w:styleId="Ttulo1Car">
    <w:name w:val="Título 1 Car"/>
    <w:basedOn w:val="Fuentedeprrafopredeter"/>
    <w:link w:val="Ttulo1"/>
    <w:uiPriority w:val="9"/>
    <w:rsid w:val="009978E7"/>
    <w:rPr>
      <w:rFonts w:ascii="Times New Roman" w:eastAsia="Times New Roman" w:hAnsi="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iPriority w:val="99"/>
    <w:unhideWhenUsed/>
    <w:rsid w:val="00F37DF8"/>
    <w:pPr>
      <w:spacing w:after="0" w:line="240" w:lineRule="auto"/>
    </w:pPr>
    <w:rPr>
      <w:sz w:val="20"/>
      <w:szCs w:val="20"/>
    </w:rPr>
  </w:style>
  <w:style w:type="character" w:customStyle="1" w:styleId="TextonotapieCar">
    <w:name w:val="Texto nota pie Car"/>
    <w:basedOn w:val="Fuentedeprrafopredeter"/>
    <w:link w:val="Textonotapie"/>
    <w:uiPriority w:val="99"/>
    <w:rsid w:val="00F37DF8"/>
    <w:rPr>
      <w:sz w:val="20"/>
      <w:szCs w:val="20"/>
    </w:rPr>
  </w:style>
  <w:style w:type="character" w:styleId="Refdenotaalpie">
    <w:name w:val="footnote reference"/>
    <w:basedOn w:val="Fuentedeprrafopredeter"/>
    <w:uiPriority w:val="99"/>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customStyle="1" w:styleId="modartculofecha">
    <w:name w:val="modartculofecha"/>
    <w:basedOn w:val="Fuentedeprrafopredeter"/>
    <w:rsid w:val="007F5491"/>
  </w:style>
  <w:style w:type="character" w:customStyle="1" w:styleId="crva">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customStyle="1" w:styleId="Ttulo3Car">
    <w:name w:val="Título 3 Car"/>
    <w:basedOn w:val="Fuentedeprrafopredeter"/>
    <w:link w:val="Ttulo3"/>
    <w:uiPriority w:val="9"/>
    <w:semiHidden/>
    <w:rsid w:val="00FC0980"/>
    <w:rPr>
      <w:rFonts w:asciiTheme="majorHAnsi" w:eastAsiaTheme="majorEastAsia" w:hAnsiTheme="majorHAnsi"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eastAsia="Times New Roman" w:hAnsi="Times New Roman" w:cs="Times New Roman"/>
      <w:b/>
      <w:bCs/>
      <w:sz w:val="24"/>
      <w:szCs w:val="24"/>
      <w:lang w:val="es-MX" w:eastAsia="es-ES"/>
    </w:rPr>
  </w:style>
  <w:style w:type="character" w:customStyle="1" w:styleId="TtuloCar">
    <w:name w:val="Título Car"/>
    <w:basedOn w:val="Fuentedeprrafopredeter"/>
    <w:link w:val="Ttulo"/>
    <w:rsid w:val="002019FA"/>
    <w:rPr>
      <w:rFonts w:ascii="Times New Roman" w:eastAsia="Times New Roman" w:hAnsi="Times New Roman" w:cs="Times New Roman"/>
      <w:b/>
      <w:bCs/>
      <w:sz w:val="24"/>
      <w:szCs w:val="24"/>
      <w:lang w:val="es-MX" w:eastAsia="es-ES"/>
    </w:rPr>
  </w:style>
  <w:style w:type="paragraph" w:customStyle="1" w:styleId="ng-scope">
    <w:name w:val="ng-scope"/>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Ttulo2Car">
    <w:name w:val="Título 2 Car"/>
    <w:basedOn w:val="Fuentedeprrafopredeter"/>
    <w:link w:val="Ttulo2"/>
    <w:uiPriority w:val="9"/>
    <w:semiHidden/>
    <w:rsid w:val="002019FA"/>
    <w:rPr>
      <w:rFonts w:asciiTheme="majorHAnsi" w:eastAsiaTheme="majorEastAsia" w:hAnsiTheme="majorHAnsi" w:cstheme="majorBidi"/>
      <w:color w:val="2E74B5" w:themeColor="accent1" w:themeShade="BF"/>
      <w:sz w:val="26"/>
      <w:szCs w:val="26"/>
    </w:rPr>
  </w:style>
  <w:style w:type="character" w:customStyle="1" w:styleId="Ttulo4Car">
    <w:name w:val="Título 4 Car"/>
    <w:basedOn w:val="Fuentedeprrafopredeter"/>
    <w:link w:val="Ttulo4"/>
    <w:uiPriority w:val="9"/>
    <w:semiHidden/>
    <w:rsid w:val="002019FA"/>
    <w:rPr>
      <w:rFonts w:asciiTheme="majorHAnsi" w:eastAsiaTheme="majorEastAsia" w:hAnsiTheme="majorHAnsi" w:cstheme="majorBidi"/>
      <w:i/>
      <w:iCs/>
      <w:color w:val="2E74B5" w:themeColor="accent1" w:themeShade="BF"/>
    </w:rPr>
  </w:style>
  <w:style w:type="character" w:customStyle="1" w:styleId="uv3um">
    <w:name w:val="uv3um"/>
    <w:basedOn w:val="Fuentedeprrafopredeter"/>
    <w:rsid w:val="002019FA"/>
  </w:style>
  <w:style w:type="paragraph" w:customStyle="1" w:styleId="k3ksmc">
    <w:name w:val="k3ksmc"/>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field-name-field-definicion">
    <w:name w:val="field-name-field-definicion"/>
    <w:basedOn w:val="Fuentedeprrafopredeter"/>
    <w:rsid w:val="00973FEF"/>
  </w:style>
  <w:style w:type="character" w:customStyle="1" w:styleId="field-name-field-rama">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customStyle="1" w:styleId="decretossupremos">
    <w:name w:val="decretossupremos"/>
    <w:basedOn w:val="Fuentedeprrafopredeter"/>
    <w:rsid w:val="00BA303A"/>
  </w:style>
  <w:style w:type="paragraph" w:customStyle="1" w:styleId="Puesto">
    <w:name w:val="Puesto"/>
    <w:basedOn w:val="Normal"/>
    <w:next w:val="Subttulo"/>
    <w:qFormat/>
    <w:rsid w:val="00601339"/>
    <w:pPr>
      <w:suppressAutoHyphens/>
      <w:spacing w:after="0" w:line="240" w:lineRule="auto"/>
      <w:jc w:val="center"/>
    </w:pPr>
    <w:rPr>
      <w:rFonts w:ascii="Times New Roman" w:eastAsia="Times New Roman" w:hAnsi="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601339"/>
    <w:rPr>
      <w:rFonts w:eastAsiaTheme="minorEastAsia"/>
      <w:color w:val="5A5A5A" w:themeColor="text1" w:themeTint="A5"/>
      <w:spacing w:val="15"/>
    </w:rPr>
  </w:style>
  <w:style w:type="character" w:customStyle="1" w:styleId="spelle">
    <w:name w:val="spelle"/>
    <w:basedOn w:val="Fuentedeprrafopredeter"/>
    <w:rsid w:val="00D7246B"/>
  </w:style>
  <w:style w:type="character" w:customStyle="1" w:styleId="PrrafodelistaCar">
    <w:name w:val="Párrafo de lista Car"/>
    <w:aliases w:val="Number List 1 Car"/>
    <w:link w:val="Prrafodelista"/>
    <w:uiPriority w:val="34"/>
    <w:rsid w:val="003534E0"/>
  </w:style>
  <w:style w:type="paragraph" w:customStyle="1" w:styleId="parrafo">
    <w:name w:val="parrafo"/>
    <w:basedOn w:val="Normal"/>
    <w:rsid w:val="00E14C65"/>
    <w:pPr>
      <w:snapToGrid w:val="0"/>
      <w:spacing w:before="57" w:after="170" w:line="240" w:lineRule="auto"/>
      <w:jc w:val="both"/>
    </w:pPr>
    <w:rPr>
      <w:rFonts w:ascii="Tahoma" w:eastAsia="Times New Roman" w:hAnsi="Tahoma" w:cs="Times New Roman"/>
      <w:sz w:val="18"/>
      <w:szCs w:val="20"/>
    </w:rPr>
  </w:style>
  <w:style w:type="paragraph" w:styleId="Textoindependiente2">
    <w:name w:val="Body Text 2"/>
    <w:basedOn w:val="Normal"/>
    <w:link w:val="Textoindependiente2Car"/>
    <w:uiPriority w:val="99"/>
    <w:semiHidden/>
    <w:unhideWhenUsed/>
    <w:rsid w:val="00A96EE6"/>
    <w:pPr>
      <w:spacing w:after="120" w:line="480" w:lineRule="auto"/>
    </w:pPr>
  </w:style>
  <w:style w:type="character" w:customStyle="1" w:styleId="Textoindependiente2Car">
    <w:name w:val="Texto independiente 2 Car"/>
    <w:basedOn w:val="Fuentedeprrafopredeter"/>
    <w:link w:val="Textoindependiente2"/>
    <w:uiPriority w:val="99"/>
    <w:semiHidden/>
    <w:rsid w:val="00A96EE6"/>
  </w:style>
  <w:style w:type="character" w:customStyle="1" w:styleId="author">
    <w:name w:val="author"/>
    <w:basedOn w:val="Fuentedeprrafopredeter"/>
    <w:rsid w:val="004858EC"/>
  </w:style>
  <w:style w:type="character" w:customStyle="1" w:styleId="video">
    <w:name w:val="video"/>
    <w:basedOn w:val="Fuentedeprrafopredeter"/>
    <w:rsid w:val="004858EC"/>
  </w:style>
  <w:style w:type="character" w:customStyle="1" w:styleId="Fecha1">
    <w:name w:val="Fecha1"/>
    <w:basedOn w:val="Fuentedeprrafopredeter"/>
    <w:rsid w:val="004858EC"/>
  </w:style>
  <w:style w:type="character" w:customStyle="1" w:styleId="form">
    <w:name w:val="form"/>
    <w:basedOn w:val="Fuentedeprrafopredeter"/>
    <w:rsid w:val="004858EC"/>
  </w:style>
  <w:style w:type="character" w:customStyle="1" w:styleId="access">
    <w:name w:val="access"/>
    <w:basedOn w:val="Fuentedeprrafopredeter"/>
    <w:rsid w:val="004858EC"/>
  </w:style>
  <w:style w:type="character" w:customStyle="1" w:styleId="time">
    <w:name w:val="time"/>
    <w:basedOn w:val="Fuentedeprrafopredeter"/>
    <w:rsid w:val="004858EC"/>
  </w:style>
  <w:style w:type="character" w:customStyle="1" w:styleId="url">
    <w:name w:val="url"/>
    <w:basedOn w:val="Fuentedeprrafopredeter"/>
    <w:rsid w:val="004858EC"/>
  </w:style>
  <w:style w:type="paragraph" w:customStyle="1" w:styleId="Pa4">
    <w:name w:val="Pa4"/>
    <w:basedOn w:val="Default"/>
    <w:next w:val="Default"/>
    <w:uiPriority w:val="99"/>
    <w:rsid w:val="00C8590C"/>
    <w:pPr>
      <w:spacing w:line="241" w:lineRule="atLeast"/>
    </w:pPr>
    <w:rPr>
      <w:rFonts w:ascii="Museo Sans 700" w:eastAsiaTheme="minorHAnsi" w:hAnsi="Museo Sans 700" w:cstheme="minorBidi"/>
      <w:color w:va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1398879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2060035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03510160">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56203408">
      <w:bodyDiv w:val="1"/>
      <w:marLeft w:val="0"/>
      <w:marRight w:val="0"/>
      <w:marTop w:val="0"/>
      <w:marBottom w:val="0"/>
      <w:divBdr>
        <w:top w:val="none" w:sz="0" w:space="0" w:color="auto"/>
        <w:left w:val="none" w:sz="0" w:space="0" w:color="auto"/>
        <w:bottom w:val="none" w:sz="0" w:space="0" w:color="auto"/>
        <w:right w:val="none" w:sz="0" w:space="0" w:color="auto"/>
      </w:divBdr>
    </w:div>
    <w:div w:id="377097501">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42068686">
      <w:bodyDiv w:val="1"/>
      <w:marLeft w:val="0"/>
      <w:marRight w:val="0"/>
      <w:marTop w:val="0"/>
      <w:marBottom w:val="0"/>
      <w:divBdr>
        <w:top w:val="none" w:sz="0" w:space="0" w:color="auto"/>
        <w:left w:val="none" w:sz="0" w:space="0" w:color="auto"/>
        <w:bottom w:val="none" w:sz="0" w:space="0" w:color="auto"/>
        <w:right w:val="none" w:sz="0" w:space="0" w:color="auto"/>
      </w:divBdr>
    </w:div>
    <w:div w:id="450829794">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4096201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67631279">
      <w:bodyDiv w:val="1"/>
      <w:marLeft w:val="0"/>
      <w:marRight w:val="0"/>
      <w:marTop w:val="0"/>
      <w:marBottom w:val="0"/>
      <w:divBdr>
        <w:top w:val="none" w:sz="0" w:space="0" w:color="auto"/>
        <w:left w:val="none" w:sz="0" w:space="0" w:color="auto"/>
        <w:bottom w:val="none" w:sz="0" w:space="0" w:color="auto"/>
        <w:right w:val="none" w:sz="0" w:space="0" w:color="auto"/>
      </w:divBdr>
    </w:div>
    <w:div w:id="672997695">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08184366">
      <w:bodyDiv w:val="1"/>
      <w:marLeft w:val="0"/>
      <w:marRight w:val="0"/>
      <w:marTop w:val="0"/>
      <w:marBottom w:val="0"/>
      <w:divBdr>
        <w:top w:val="none" w:sz="0" w:space="0" w:color="auto"/>
        <w:left w:val="none" w:sz="0" w:space="0" w:color="auto"/>
        <w:bottom w:val="none" w:sz="0" w:space="0" w:color="auto"/>
        <w:right w:val="none" w:sz="0" w:space="0" w:color="auto"/>
      </w:divBdr>
    </w:div>
    <w:div w:id="711661000">
      <w:bodyDiv w:val="1"/>
      <w:marLeft w:val="0"/>
      <w:marRight w:val="0"/>
      <w:marTop w:val="0"/>
      <w:marBottom w:val="0"/>
      <w:divBdr>
        <w:top w:val="none" w:sz="0" w:space="0" w:color="auto"/>
        <w:left w:val="none" w:sz="0" w:space="0" w:color="auto"/>
        <w:bottom w:val="none" w:sz="0" w:space="0" w:color="auto"/>
        <w:right w:val="none" w:sz="0" w:space="0" w:color="auto"/>
      </w:divBdr>
    </w:div>
    <w:div w:id="711729646">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37699139">
      <w:bodyDiv w:val="1"/>
      <w:marLeft w:val="0"/>
      <w:marRight w:val="0"/>
      <w:marTop w:val="0"/>
      <w:marBottom w:val="0"/>
      <w:divBdr>
        <w:top w:val="none" w:sz="0" w:space="0" w:color="auto"/>
        <w:left w:val="none" w:sz="0" w:space="0" w:color="auto"/>
        <w:bottom w:val="none" w:sz="0" w:space="0" w:color="auto"/>
        <w:right w:val="none" w:sz="0" w:space="0" w:color="auto"/>
      </w:divBdr>
    </w:div>
    <w:div w:id="844707914">
      <w:bodyDiv w:val="1"/>
      <w:marLeft w:val="0"/>
      <w:marRight w:val="0"/>
      <w:marTop w:val="0"/>
      <w:marBottom w:val="0"/>
      <w:divBdr>
        <w:top w:val="none" w:sz="0" w:space="0" w:color="auto"/>
        <w:left w:val="none" w:sz="0" w:space="0" w:color="auto"/>
        <w:bottom w:val="none" w:sz="0" w:space="0" w:color="auto"/>
        <w:right w:val="none" w:sz="0" w:space="0" w:color="auto"/>
      </w:divBdr>
    </w:div>
    <w:div w:id="850412009">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2394053">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40381702">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291037">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084766653">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4609978">
      <w:bodyDiv w:val="1"/>
      <w:marLeft w:val="0"/>
      <w:marRight w:val="0"/>
      <w:marTop w:val="0"/>
      <w:marBottom w:val="0"/>
      <w:divBdr>
        <w:top w:val="none" w:sz="0" w:space="0" w:color="auto"/>
        <w:left w:val="none" w:sz="0" w:space="0" w:color="auto"/>
        <w:bottom w:val="none" w:sz="0" w:space="0" w:color="auto"/>
        <w:right w:val="none" w:sz="0" w:space="0" w:color="auto"/>
      </w:divBdr>
    </w:div>
    <w:div w:id="1193956047">
      <w:bodyDiv w:val="1"/>
      <w:marLeft w:val="0"/>
      <w:marRight w:val="0"/>
      <w:marTop w:val="0"/>
      <w:marBottom w:val="0"/>
      <w:divBdr>
        <w:top w:val="none" w:sz="0" w:space="0" w:color="auto"/>
        <w:left w:val="none" w:sz="0" w:space="0" w:color="auto"/>
        <w:bottom w:val="none" w:sz="0" w:space="0" w:color="auto"/>
        <w:right w:val="none" w:sz="0" w:space="0" w:color="auto"/>
      </w:divBdr>
    </w:div>
    <w:div w:id="1206481376">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042039">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1309868835">
          <w:marLeft w:val="0"/>
          <w:marRight w:val="0"/>
          <w:marTop w:val="0"/>
          <w:marBottom w:val="0"/>
          <w:divBdr>
            <w:top w:val="none" w:sz="0" w:space="0" w:color="auto"/>
            <w:left w:val="none" w:sz="0" w:space="0" w:color="auto"/>
            <w:bottom w:val="none" w:sz="0" w:space="0" w:color="auto"/>
            <w:right w:val="none" w:sz="0" w:space="0" w:color="auto"/>
          </w:divBdr>
        </w:div>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sChild>
    </w:div>
    <w:div w:id="1312250839">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77312826">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46412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5263498">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25500484">
      <w:bodyDiv w:val="1"/>
      <w:marLeft w:val="0"/>
      <w:marRight w:val="0"/>
      <w:marTop w:val="0"/>
      <w:marBottom w:val="0"/>
      <w:divBdr>
        <w:top w:val="none" w:sz="0" w:space="0" w:color="auto"/>
        <w:left w:val="none" w:sz="0" w:space="0" w:color="auto"/>
        <w:bottom w:val="none" w:sz="0" w:space="0" w:color="auto"/>
        <w:right w:val="none" w:sz="0" w:space="0" w:color="auto"/>
      </w:divBdr>
    </w:div>
    <w:div w:id="1632712163">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1179264">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3018273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27881977">
      <w:bodyDiv w:val="1"/>
      <w:marLeft w:val="0"/>
      <w:marRight w:val="0"/>
      <w:marTop w:val="0"/>
      <w:marBottom w:val="0"/>
      <w:divBdr>
        <w:top w:val="none" w:sz="0" w:space="0" w:color="auto"/>
        <w:left w:val="none" w:sz="0" w:space="0" w:color="auto"/>
        <w:bottom w:val="none" w:sz="0" w:space="0" w:color="auto"/>
        <w:right w:val="none" w:sz="0" w:space="0" w:color="auto"/>
      </w:divBdr>
    </w:div>
    <w:div w:id="1931311330">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2102671">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32761148">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07530732">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6072470">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BAE27E74-368D-42FC-8F14-E70F21A65A95}"/>
</file>

<file path=customXml/itemProps3.xml><?xml version="1.0" encoding="utf-8"?>
<ds:datastoreItem xmlns:ds="http://schemas.openxmlformats.org/officeDocument/2006/customXml" ds:itemID="{D5FD57C5-6D77-4C65-AB9A-B4B1EA4D3B6F}"/>
</file>

<file path=customXml/itemProps4.xml><?xml version="1.0" encoding="utf-8"?>
<ds:datastoreItem xmlns:ds="http://schemas.openxmlformats.org/officeDocument/2006/customXml" ds:itemID="{0DE362E7-D5ED-48A1-8201-0BCC59B26A74}"/>
</file>

<file path=docProps/app.xml><?xml version="1.0" encoding="utf-8"?>
<Properties xmlns="http://schemas.openxmlformats.org/officeDocument/2006/extended-properties" xmlns:vt="http://schemas.openxmlformats.org/officeDocument/2006/docPropsVTypes">
  <Template>Normal</Template>
  <TotalTime>26</TotalTime>
  <Pages>5</Pages>
  <Words>2464</Words>
  <Characters>13533</Characters>
  <Application>Microsoft Office Word</Application>
  <DocSecurity>0</DocSecurity>
  <Lines>294</Lines>
  <Paragraphs>118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17</cp:revision>
  <cp:lastPrinted>2025-11-12T17:26:00Z</cp:lastPrinted>
  <dcterms:created xsi:type="dcterms:W3CDTF">2025-10-21T17:55:00Z</dcterms:created>
  <dcterms:modified xsi:type="dcterms:W3CDTF">2025-11-12T17:37:00Z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