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565E93" w:rsidRDefault="00D12B6B" w:rsidP="00272F4F">
      <w:pPr>
        <w:spacing w:after="0" w:line="240" w:lineRule="auto"/>
        <w:jc w:val="center"/>
        <w:rPr>
          <w:rFonts w:ascii="Times New Roman" w:hAnsi="Times New Roman" w:cs="Times New Roman"/>
          <w:b/>
          <w:sz w:val="24"/>
          <w:szCs w:val="24"/>
          <w:lang w:val="es-PE" w:eastAsia="ar-SA"/>
        </w:rPr>
      </w:pPr>
    </w:p>
    <w:p w14:paraId="6A6AC08C" w14:textId="6F4BE7AC" w:rsidR="00F4293C" w:rsidRDefault="00201C0D" w:rsidP="00B46B84">
      <w:pPr>
        <w:spacing w:after="0" w:line="240" w:lineRule="auto"/>
        <w:jc w:val="center"/>
        <w:rPr>
          <w:rFonts w:ascii="Times New Roman" w:hAnsi="Times New Roman" w:cs="Times New Roman"/>
          <w:b/>
          <w:sz w:val="24"/>
          <w:szCs w:val="24"/>
          <w:lang w:val="es-PE" w:eastAsia="ar-SA"/>
        </w:rPr>
      </w:pPr>
      <w:r w:rsidRPr="00565E93">
        <w:rPr>
          <w:rFonts w:ascii="Times New Roman" w:hAnsi="Times New Roman" w:cs="Times New Roman"/>
          <w:b/>
          <w:sz w:val="24"/>
          <w:szCs w:val="24"/>
          <w:lang w:val="es-PE" w:eastAsia="ar-SA"/>
        </w:rPr>
        <w:t>RESOLUCIÓN</w:t>
      </w:r>
      <w:r w:rsidR="009D55E8" w:rsidRPr="00565E93">
        <w:rPr>
          <w:rFonts w:ascii="Times New Roman" w:hAnsi="Times New Roman" w:cs="Times New Roman"/>
          <w:b/>
          <w:sz w:val="24"/>
          <w:szCs w:val="24"/>
          <w:lang w:val="es-PE" w:eastAsia="ar-SA"/>
        </w:rPr>
        <w:t xml:space="preserve"> DE IMPUGNACIÓN</w:t>
      </w:r>
      <w:r w:rsidRPr="00565E93">
        <w:rPr>
          <w:rFonts w:ascii="Times New Roman" w:hAnsi="Times New Roman" w:cs="Times New Roman"/>
          <w:b/>
          <w:sz w:val="24"/>
          <w:szCs w:val="24"/>
          <w:lang w:val="es-PE" w:eastAsia="ar-SA"/>
        </w:rPr>
        <w:t xml:space="preserve"> </w:t>
      </w:r>
      <w:r w:rsidR="00D12B6B" w:rsidRPr="00565E93">
        <w:rPr>
          <w:rFonts w:ascii="Times New Roman" w:hAnsi="Times New Roman" w:cs="Times New Roman"/>
          <w:b/>
          <w:sz w:val="24"/>
          <w:szCs w:val="24"/>
          <w:lang w:val="es-PE" w:eastAsia="ar-SA"/>
        </w:rPr>
        <w:t>N</w:t>
      </w:r>
      <w:r w:rsidR="00D373B3" w:rsidRPr="00565E93">
        <w:rPr>
          <w:rFonts w:ascii="Times New Roman" w:hAnsi="Times New Roman" w:cs="Times New Roman"/>
          <w:b/>
          <w:sz w:val="24"/>
          <w:szCs w:val="24"/>
          <w:lang w:val="es-PE" w:eastAsia="ar-SA"/>
        </w:rPr>
        <w:t>° 06</w:t>
      </w:r>
      <w:r w:rsidR="003F3747">
        <w:rPr>
          <w:rFonts w:ascii="Times New Roman" w:hAnsi="Times New Roman" w:cs="Times New Roman"/>
          <w:b/>
          <w:sz w:val="24"/>
          <w:szCs w:val="24"/>
          <w:lang w:val="es-PE" w:eastAsia="ar-SA"/>
        </w:rPr>
        <w:t>5</w:t>
      </w:r>
      <w:r w:rsidR="00AA2AA2" w:rsidRPr="00565E93">
        <w:rPr>
          <w:rFonts w:ascii="Times New Roman" w:hAnsi="Times New Roman" w:cs="Times New Roman"/>
          <w:b/>
          <w:sz w:val="24"/>
          <w:szCs w:val="24"/>
          <w:lang w:val="es-PE" w:eastAsia="ar-SA"/>
        </w:rPr>
        <w:t>/25</w:t>
      </w:r>
      <w:bookmarkStart w:id="0" w:name="_Hlk198053358"/>
    </w:p>
    <w:p w14:paraId="7F069BC8" w14:textId="77777777" w:rsidR="00B46B84" w:rsidRPr="00F4293C" w:rsidRDefault="00B46B84" w:rsidP="00B46B84">
      <w:pPr>
        <w:spacing w:after="0" w:line="240" w:lineRule="auto"/>
        <w:jc w:val="center"/>
        <w:rPr>
          <w:rFonts w:ascii="Times New Roman" w:hAnsi="Times New Roman" w:cs="Times New Roman"/>
          <w:b/>
          <w:sz w:val="24"/>
          <w:szCs w:val="24"/>
          <w:lang w:val="es-PE" w:eastAsia="ar-SA"/>
        </w:rPr>
      </w:pPr>
    </w:p>
    <w:p w14:paraId="1CCD426C" w14:textId="7AE7E904" w:rsidR="00F4293C" w:rsidRPr="00F4293C" w:rsidRDefault="00F4293C" w:rsidP="00F4293C">
      <w:pPr>
        <w:spacing w:after="200" w:line="240" w:lineRule="auto"/>
        <w:jc w:val="both"/>
        <w:rPr>
          <w:rFonts w:ascii="Times New Roman" w:hAnsi="Times New Roman" w:cs="Times New Roman"/>
          <w:b/>
          <w:bCs/>
          <w:sz w:val="24"/>
          <w:szCs w:val="24"/>
          <w:lang w:val="es-MX"/>
        </w:rPr>
      </w:pPr>
      <w:r w:rsidRPr="00F4293C">
        <w:rPr>
          <w:rFonts w:ascii="Times New Roman" w:hAnsi="Times New Roman" w:cs="Times New Roman"/>
          <w:b/>
          <w:bCs/>
          <w:sz w:val="24"/>
          <w:szCs w:val="24"/>
          <w:lang w:val="es-MX"/>
        </w:rPr>
        <w:t>VISTOS:</w:t>
      </w:r>
    </w:p>
    <w:p w14:paraId="242EB71E" w14:textId="2DE9A8FE" w:rsidR="00F4293C" w:rsidRPr="00F4293C" w:rsidRDefault="00F4293C" w:rsidP="00F4293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152/24, expedida por esta Defensoría del Asegurado (DEFASEG), conforme a la cual se declaró INFUNDADA la reclamación interpuesta contra ………………… respecto al SEGURO DE DESGRAVAMEN – PÓLIZA N° ………………… y ACCIDENTES PERSONALES - Póliza N° …………………;</w:t>
      </w:r>
    </w:p>
    <w:p w14:paraId="6F356F06" w14:textId="1A1F4185" w:rsidR="00F4293C" w:rsidRPr="00F4293C" w:rsidRDefault="00F4293C" w:rsidP="00F4293C">
      <w:pPr>
        <w:spacing w:after="200" w:line="240" w:lineRule="auto"/>
        <w:jc w:val="both"/>
        <w:rPr>
          <w:rFonts w:ascii="Times New Roman" w:hAnsi="Times New Roman" w:cs="Times New Roman"/>
          <w:bCs/>
          <w:sz w:val="24"/>
          <w:szCs w:val="24"/>
          <w:lang w:val="es-PE"/>
        </w:rPr>
      </w:pPr>
      <w:r w:rsidRPr="00F4293C">
        <w:rPr>
          <w:rFonts w:ascii="Times New Roman" w:hAnsi="Times New Roman" w:cs="Times New Roman"/>
          <w:bCs/>
          <w:sz w:val="24"/>
          <w:szCs w:val="24"/>
          <w:lang w:val="es-MX"/>
        </w:rPr>
        <w:t xml:space="preserve">Que, el indicado recurso se sustenta resumidamente en lo siguiente: (1) la </w:t>
      </w:r>
      <w:r w:rsidRPr="00F4293C">
        <w:rPr>
          <w:rFonts w:ascii="Times New Roman" w:hAnsi="Times New Roman" w:cs="Times New Roman"/>
          <w:bCs/>
          <w:sz w:val="24"/>
          <w:szCs w:val="24"/>
          <w:lang w:val="es-PE"/>
        </w:rPr>
        <w:t>disposición fiscal y los elementos de convicción expuestos en esta, en su gran mayoría acreditan hechos anteriores a la caída de la asegurada, más no al momento en que se suscitó la muerte de la asegurada; (2) las declaraciones brindadas por terceros, quienes manifestaron que la asegurada les habría enviado un mensaje de texto despidiéndose, indicando sobre el suicidio y pidiendo perdón por lo que haría,  ello no significa que la asegurada los escribió o los envió, así como ninguno de los declarantes ha manifestado haber sido testigo directo de un acto de suicidio por parte de la asegurada, ni estar presentes en el momento en el que se produjo el deceso de la asegurada, resultando sus declaraciones solo referenciales para el hecho más no concluyentes; (3) el manuscrito encontrado en la habitación de la asegurada, el cual no puede ser concluyente para acreditar el supuesto suicidio que se le atribuye a la asegurada, más si tenemos en consideración que a dicho manuscrito no se le realizó ninguna pericia grafo- técnica para verificar y/o determinar si la letra impresa en dicha carta pertenecía a la asegurada, por tanto resultando dicho manuscrito referencial para la investigación, y no acreditando el supuesto suicidio que pretende alegar la aseguradora; (4) sobre los antecedentes de depresión que se le atribuyen a la asegurada, se debe tener en cuenta que la asegurada se encontraba en tratamiento psiquiátrico por dicha enfermedad depresiva, sin embargo, ello no puede significar un indicio para acreditar el suicidio de una persona, pues, si aceptamos esto como un indicador de suicidio, tendríamos que toda persona que sufre de enfermedades mentales y/o depresivas no puede sufrir otro tipo de muerte más que el suicidio, dejando ello sin ningún tipo de defensa ni cobertura alguna a la gran mayoría de asegurados que puedan sufrir enfermedades mentales y depresión pertenecientes a la aseguradora y llevan de manera exitosa un tratamiento para controlar dicha enfermedad.</w:t>
      </w:r>
      <w:r w:rsidRPr="00F4293C">
        <w:rPr>
          <w:rFonts w:ascii="Times New Roman" w:hAnsi="Times New Roman" w:cs="Times New Roman"/>
          <w:sz w:val="24"/>
          <w:szCs w:val="24"/>
          <w:lang w:val="es-PE"/>
        </w:rPr>
        <w:t xml:space="preserve"> </w:t>
      </w:r>
      <w:r w:rsidRPr="00F4293C">
        <w:rPr>
          <w:rFonts w:ascii="Times New Roman" w:hAnsi="Times New Roman" w:cs="Times New Roman"/>
          <w:bCs/>
          <w:sz w:val="24"/>
          <w:szCs w:val="24"/>
          <w:lang w:val="es-PE"/>
        </w:rPr>
        <w:t>respecto al informe pericial físico – químico No. 380/2023 que verifica que la víctima se habría precipitado del borde superior del muro perimétrico ubicado en el piso 28 del edificio, determinando un ángulo de caída de 1, 12 y 17, y señalando que adyacente a la pared lateral derecha del muro perimétrico se halló una silla y sobre ella un celular y una llave metálica, cabe precisar que, en dicho informe no se ha establecido con qué tipo de caída serían compatibles los ángulos medidas en la escena del hecho, es decir, no se ha determinado si la muerte de la asegurada, habría sido provocado por una caída por empuje, accidental o suicidio.</w:t>
      </w:r>
      <w:r w:rsidRPr="00F4293C">
        <w:rPr>
          <w:rFonts w:ascii="Times New Roman" w:hAnsi="Times New Roman" w:cs="Times New Roman"/>
          <w:sz w:val="24"/>
          <w:szCs w:val="24"/>
          <w:lang w:val="es-PE"/>
        </w:rPr>
        <w:t xml:space="preserve"> </w:t>
      </w:r>
      <w:r w:rsidRPr="00F4293C">
        <w:rPr>
          <w:rFonts w:ascii="Times New Roman" w:hAnsi="Times New Roman" w:cs="Times New Roman"/>
          <w:bCs/>
          <w:sz w:val="24"/>
          <w:szCs w:val="24"/>
          <w:lang w:val="es-PE"/>
        </w:rPr>
        <w:t xml:space="preserve">sino se cuenta con elementos de convicción que indiquen de forma cierta que tipo de muerte sufrió la asegurada, no es correcto que se pretenda interpretar el mismo como un suicidio, máxime, si como ha presentado la recurrente el certificado de necropsia indica que la causa de la muerte es por traumatismos múltiples provocados por caída de edificio, más no indica que se trate de un suicidio; (5) una pericia físico matemático o de ingeniería forense es un elemento determinante para cualquier investigación de este tipo, toda vez que dicha pericia tiene como finalidad recabar las medidas del lugar del que la persona sufrió la caída, inspeccionar el lugar si el mismo es susceptible de accidentes y determinar qué tipo de caída sufrió la persona, si fue </w:t>
      </w:r>
      <w:r w:rsidRPr="00F4293C">
        <w:rPr>
          <w:rFonts w:ascii="Times New Roman" w:hAnsi="Times New Roman" w:cs="Times New Roman"/>
          <w:bCs/>
          <w:sz w:val="24"/>
          <w:szCs w:val="24"/>
          <w:lang w:val="es-PE"/>
        </w:rPr>
        <w:lastRenderedPageBreak/>
        <w:t>accidental, por empuje o suicidio, documento con el cual no se cuenta en el presente caso, y por lo cual no se puede determinar tajantemente que la asegurada se habría suicidado; (6) si no se cuenta con dicha pericia se debe a que el Ministerio Público no solicitó la realización de la misma, por no considerarla relevante para el caso, pues, no se trataría de un delito, sino de un hecho meramente accidental; (7) no se tiene elementos de convicción ni indicios suficientes que acrediten que la asegurada se habría suicidado, y a pesar de la inexistencia de pericias oficiales u otros documentos que corroboren la versión de la aseguradora, esta ha considerado declaraciones de testigos totalmente referenciales para sustentar su teoría de los hechos.</w:t>
      </w:r>
    </w:p>
    <w:p w14:paraId="121C8E68" w14:textId="169C3DDE" w:rsidR="00F4293C" w:rsidRPr="00F4293C" w:rsidRDefault="00F4293C" w:rsidP="00F4293C">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Que, la aseguradora absolvió el traslado del recurso interpuesto, indicando en resumen lo siguiente: (1) en la Carpeta Fiscal N° …………………-2023-596-0 se determinó que la causa de fallecimiento de la asegurada fue un suicidio; (2) para llegar a dicha conclusión, la Fiscalía realizó una investigación íntegra de los hechos suscitados, y recabo una serie de medios probatorios que evidencian que la causa del fallecimiento de la asegurada fue traumatismo múltiple a consecuencia de un suicidio; (3) entre estas pruebas, están las conversaciones a través de las cual la asegurada informa a sus compañeros de piso la decisión de suicidarse, la carta firmada por la asegurada dirigida a su familia en la cual explica la decisión de acabar con su vida, y los antecedentes de depresión que aquella presentaba y por lo cual no llevaba ningún tratamiento médico. Así pues, en base al análisis de todos estos medios probatorios, Fiscalía concluye que el hecho suscitado fue un suicidio y no un accidente; (4) se ha acreditado, a través de la Carpeta Fiscal, que la causa de la muerte de la asegurada fue suicidio (causal que se encuentra dentro de las condiciones de exclusión para el otorgamiento de dicha cobertura). </w:t>
      </w:r>
    </w:p>
    <w:p w14:paraId="6754EE8F" w14:textId="30B618EC" w:rsidR="00F4293C" w:rsidRPr="00F4293C" w:rsidRDefault="00F4293C" w:rsidP="00F4293C">
      <w:pPr>
        <w:spacing w:after="200" w:line="240" w:lineRule="auto"/>
        <w:jc w:val="both"/>
        <w:rPr>
          <w:rFonts w:ascii="Times New Roman" w:hAnsi="Times New Roman" w:cs="Times New Roman"/>
          <w:bCs/>
          <w:sz w:val="24"/>
          <w:szCs w:val="24"/>
          <w:lang w:val="es-MX"/>
        </w:rPr>
      </w:pPr>
      <w:r w:rsidRPr="00F4293C">
        <w:rPr>
          <w:rFonts w:ascii="Times New Roman" w:hAnsi="Times New Roman" w:cs="Times New Roman"/>
          <w:bCs/>
          <w:sz w:val="24"/>
          <w:szCs w:val="24"/>
          <w:lang w:val="es-MX"/>
        </w:rPr>
        <w:t>Que, atendiendo a lo expuesto, esta defensoría resuelve finalmente lo siguiente:</w:t>
      </w:r>
    </w:p>
    <w:p w14:paraId="780E97B4" w14:textId="519A9F43" w:rsidR="00F4293C" w:rsidRPr="00F4293C" w:rsidRDefault="00F4293C" w:rsidP="00F4293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16867FE3" w14:textId="1304FDDE" w:rsidR="00F4293C" w:rsidRPr="00F4293C" w:rsidRDefault="00F4293C" w:rsidP="00F4293C">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reclamante ha ejercido formalmente su derecho a contradecir lo resuelto por la Defensoría.</w:t>
      </w:r>
    </w:p>
    <w:p w14:paraId="27AFF5B7" w14:textId="5DE9B153" w:rsidR="00F4293C" w:rsidRPr="00F4293C" w:rsidRDefault="00F4293C" w:rsidP="00F4293C">
      <w:pPr>
        <w:spacing w:after="200" w:line="240" w:lineRule="auto"/>
        <w:jc w:val="both"/>
        <w:rPr>
          <w:rFonts w:ascii="Times New Roman" w:hAnsi="Times New Roman" w:cs="Times New Roman"/>
          <w:bCs/>
          <w:sz w:val="24"/>
          <w:szCs w:val="24"/>
          <w:lang w:val="es-PE"/>
        </w:rPr>
      </w:pPr>
      <w:r w:rsidRPr="00F4293C">
        <w:rPr>
          <w:rFonts w:ascii="Times New Roman" w:hAnsi="Times New Roman" w:cs="Times New Roman"/>
          <w:b/>
          <w:sz w:val="24"/>
          <w:szCs w:val="24"/>
          <w:u w:val="single"/>
          <w:lang w:val="es-PE"/>
        </w:rPr>
        <w:t>SEGUNDO</w:t>
      </w:r>
      <w:r w:rsidRPr="00F4293C">
        <w:rPr>
          <w:rFonts w:ascii="Times New Roman" w:hAnsi="Times New Roman" w:cs="Times New Roman"/>
          <w:b/>
          <w:sz w:val="24"/>
          <w:szCs w:val="24"/>
          <w:lang w:val="es-PE"/>
        </w:rPr>
        <w:t>:</w:t>
      </w:r>
      <w:r w:rsidRPr="00F4293C">
        <w:rPr>
          <w:rFonts w:ascii="Times New Roman" w:hAnsi="Times New Roman" w:cs="Times New Roman"/>
          <w:sz w:val="24"/>
          <w:szCs w:val="24"/>
          <w:lang w:val="es-PE"/>
        </w:rPr>
        <w:t xml:space="preserve"> </w:t>
      </w:r>
      <w:r w:rsidRPr="00F4293C">
        <w:rPr>
          <w:rFonts w:ascii="Times New Roman" w:hAnsi="Times New Roman" w:cs="Times New Roman"/>
          <w:bCs/>
          <w:sz w:val="24"/>
          <w:szCs w:val="24"/>
          <w:lang w:val="es-PE"/>
        </w:rPr>
        <w:t>Atendiendo a los fundamentos de la impugnación interpuesta, se advierte que la reclamante insiste en sus argumentos ya expresados con ocasión de presentar su escrito de reclamación. En consecuencia, el Recurso Impugnativo interpuesto puede ser categorizado, por su contenido mismo, como una solicitud de revisión general, sustentado en el muy respetable criterio de la reclamante que este colegiado no comparte, pero sin aportar argumento o medio probatorio alguno que permita objetivamente a este colegiado apreciar que habría incurrido efectivamente en un error o vicio al momento de resolver.</w:t>
      </w:r>
    </w:p>
    <w:p w14:paraId="07FFA829" w14:textId="4DFD092C" w:rsidR="00B46B84" w:rsidRPr="00F4293C" w:rsidRDefault="00F4293C" w:rsidP="00F4293C">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Sin perjuicio de lo anterior, es preciso reiterar que conforme se desarrolla en la Resolución Impugnada, existen indicios razonables que el lamentable fallecimiento de la asegurada fue producto de un suicidio, tal como se concluye en la Carpeta Fiscal N° …………………-2023-596-0. </w:t>
      </w:r>
    </w:p>
    <w:p w14:paraId="6BCCE44A" w14:textId="77777777" w:rsidR="00F4293C" w:rsidRPr="00F4293C" w:rsidRDefault="00F4293C" w:rsidP="00F4293C">
      <w:pPr>
        <w:spacing w:after="200" w:line="240" w:lineRule="auto"/>
        <w:jc w:val="both"/>
        <w:rPr>
          <w:rFonts w:ascii="Times New Roman" w:hAnsi="Times New Roman" w:cs="Times New Roman"/>
          <w:sz w:val="24"/>
          <w:szCs w:val="24"/>
          <w:lang w:val="es-ES"/>
        </w:rPr>
      </w:pPr>
      <w:r w:rsidRPr="00F4293C">
        <w:rPr>
          <w:rFonts w:ascii="Times New Roman" w:hAnsi="Times New Roman" w:cs="Times New Roman"/>
          <w:b/>
          <w:sz w:val="24"/>
          <w:szCs w:val="24"/>
          <w:u w:val="single"/>
          <w:lang w:val="es-ES"/>
        </w:rPr>
        <w:t>TERCERO</w:t>
      </w:r>
      <w:r w:rsidRPr="00F4293C">
        <w:rPr>
          <w:rFonts w:ascii="Times New Roman" w:hAnsi="Times New Roman" w:cs="Times New Roman"/>
          <w:b/>
          <w:sz w:val="24"/>
          <w:szCs w:val="24"/>
          <w:lang w:val="es-ES"/>
        </w:rPr>
        <w:t>:</w:t>
      </w:r>
      <w:r w:rsidRPr="00F4293C">
        <w:rPr>
          <w:rFonts w:ascii="Times New Roman" w:hAnsi="Times New Roman" w:cs="Times New Roman"/>
          <w:sz w:val="24"/>
          <w:szCs w:val="24"/>
          <w:lang w:val="es-ES"/>
        </w:rPr>
        <w:t xml:space="preserve"> En atención a las consideraciones precedentes, ratificando el análisis y conclusión contenidos en la resolución recurrida, este Colegiado aprecia finalmente que no existe mérito, argumento ni prueba suficiente y razón objetiva para revocar la resolución recurrida.</w:t>
      </w:r>
    </w:p>
    <w:p w14:paraId="2E5EE4CB" w14:textId="77777777" w:rsidR="00F4293C" w:rsidRPr="00F4293C" w:rsidRDefault="00F4293C" w:rsidP="00F4293C">
      <w:pPr>
        <w:spacing w:after="200" w:line="240" w:lineRule="auto"/>
        <w:jc w:val="both"/>
        <w:rPr>
          <w:rFonts w:ascii="Times New Roman" w:hAnsi="Times New Roman" w:cs="Times New Roman"/>
          <w:bCs/>
          <w:sz w:val="24"/>
          <w:szCs w:val="24"/>
          <w:u w:val="single"/>
          <w:lang w:val="es-ES"/>
        </w:rPr>
      </w:pPr>
    </w:p>
    <w:p w14:paraId="097C079B" w14:textId="77777777" w:rsidR="00F4293C" w:rsidRPr="00F4293C" w:rsidRDefault="00F4293C" w:rsidP="00F4293C">
      <w:pPr>
        <w:spacing w:after="200" w:line="240" w:lineRule="auto"/>
        <w:jc w:val="both"/>
        <w:rPr>
          <w:rFonts w:ascii="Times New Roman" w:hAnsi="Times New Roman" w:cs="Times New Roman"/>
          <w:sz w:val="24"/>
          <w:szCs w:val="24"/>
          <w:lang w:val="es-ES"/>
        </w:rPr>
      </w:pPr>
    </w:p>
    <w:p w14:paraId="0A0F1BE4" w14:textId="4B5E630C" w:rsidR="00F4293C" w:rsidRPr="00F4293C" w:rsidRDefault="00F4293C" w:rsidP="00F4293C">
      <w:pPr>
        <w:spacing w:after="200" w:line="240" w:lineRule="auto"/>
        <w:jc w:val="both"/>
        <w:rPr>
          <w:rFonts w:ascii="Times New Roman" w:hAnsi="Times New Roman" w:cs="Times New Roman"/>
          <w:b/>
          <w:sz w:val="24"/>
          <w:szCs w:val="24"/>
          <w:lang w:val="es-PE"/>
        </w:rPr>
      </w:pPr>
      <w:r w:rsidRPr="00F4293C">
        <w:rPr>
          <w:rFonts w:ascii="Times New Roman" w:hAnsi="Times New Roman" w:cs="Times New Roman"/>
          <w:b/>
          <w:sz w:val="24"/>
          <w:szCs w:val="24"/>
          <w:lang w:val="es-PE"/>
        </w:rPr>
        <w:t>ATENDIENDO A LO EXPRESADO, CONFORME A SU REGLAMENTO, ESTE COLEGIADO RESUELVE:</w:t>
      </w:r>
    </w:p>
    <w:p w14:paraId="23E98379" w14:textId="44C0FCE3" w:rsidR="00F4293C" w:rsidRPr="00F4293C" w:rsidRDefault="00F4293C" w:rsidP="00B46B84">
      <w:pPr>
        <w:spacing w:after="200" w:line="240" w:lineRule="auto"/>
        <w:jc w:val="both"/>
        <w:rPr>
          <w:rFonts w:ascii="Times New Roman" w:hAnsi="Times New Roman" w:cs="Times New Roman"/>
          <w:sz w:val="24"/>
          <w:szCs w:val="24"/>
          <w:lang w:val="es-MX"/>
        </w:rPr>
      </w:pPr>
      <w:r>
        <w:rPr>
          <w:rFonts w:ascii="Times New Roman" w:hAnsi="Times New Roman"/>
          <w:sz w:val="24"/>
        </w:rPr>
        <w:t xml:space="preserve">DECLARAR INFUNDADO el Recurso de Impugnación interpuesto por ………………… y, por consiguiente, CONFIRMAR la Resolución Nro. 152/24 en el extremo que declara infundada la reclamación respecto del SEGURO DE ACCIDENTES PERSONALES - Póliza N° …………………</w:t>
      </w:r>
    </w:p>
    <w:p w14:paraId="10ECF88E" w14:textId="20D54E1C" w:rsidR="00033B9E" w:rsidRPr="00565E93" w:rsidRDefault="00033B9E" w:rsidP="00AA287A">
      <w:pPr>
        <w:spacing w:after="200" w:line="240" w:lineRule="auto"/>
        <w:jc w:val="right"/>
        <w:rPr>
          <w:rFonts w:ascii="Times New Roman" w:hAnsi="Times New Roman" w:cs="Times New Roman"/>
          <w:sz w:val="24"/>
          <w:szCs w:val="24"/>
          <w:lang w:val="es-PE"/>
        </w:rPr>
      </w:pPr>
      <w:r w:rsidRPr="00565E93">
        <w:rPr>
          <w:rFonts w:ascii="Times New Roman" w:hAnsi="Times New Roman" w:cs="Times New Roman"/>
          <w:sz w:val="24"/>
          <w:szCs w:val="24"/>
          <w:lang w:val="es-PE"/>
        </w:rPr>
        <w:t xml:space="preserve">Lima, </w:t>
      </w:r>
      <w:r w:rsidR="00896FDC" w:rsidRPr="00565E93">
        <w:rPr>
          <w:rFonts w:ascii="Times New Roman" w:hAnsi="Times New Roman" w:cs="Times New Roman"/>
          <w:sz w:val="24"/>
          <w:szCs w:val="24"/>
          <w:lang w:val="es-PE"/>
        </w:rPr>
        <w:t>05</w:t>
      </w:r>
      <w:r w:rsidR="00D373B3" w:rsidRPr="00565E93">
        <w:rPr>
          <w:rFonts w:ascii="Times New Roman" w:hAnsi="Times New Roman" w:cs="Times New Roman"/>
          <w:sz w:val="24"/>
          <w:szCs w:val="24"/>
          <w:lang w:val="es-PE"/>
        </w:rPr>
        <w:t xml:space="preserve"> </w:t>
      </w:r>
      <w:r w:rsidRPr="00565E93">
        <w:rPr>
          <w:rFonts w:ascii="Times New Roman" w:hAnsi="Times New Roman" w:cs="Times New Roman"/>
          <w:sz w:val="24"/>
          <w:szCs w:val="24"/>
          <w:lang w:val="es-PE"/>
        </w:rPr>
        <w:t xml:space="preserve">de </w:t>
      </w:r>
      <w:r w:rsidR="00201A58" w:rsidRPr="00565E93">
        <w:rPr>
          <w:rFonts w:ascii="Times New Roman" w:hAnsi="Times New Roman" w:cs="Times New Roman"/>
          <w:sz w:val="24"/>
          <w:szCs w:val="24"/>
          <w:lang w:val="es-PE"/>
        </w:rPr>
        <w:t>noviembre</w:t>
      </w:r>
      <w:r w:rsidR="00304C79" w:rsidRPr="00565E93">
        <w:rPr>
          <w:rFonts w:ascii="Times New Roman" w:hAnsi="Times New Roman" w:cs="Times New Roman"/>
          <w:sz w:val="24"/>
          <w:szCs w:val="24"/>
          <w:lang w:val="es-PE"/>
        </w:rPr>
        <w:t xml:space="preserve"> </w:t>
      </w:r>
      <w:r w:rsidRPr="00565E93">
        <w:rPr>
          <w:rFonts w:ascii="Times New Roman" w:hAnsi="Times New Roman" w:cs="Times New Roman"/>
          <w:sz w:val="24"/>
          <w:szCs w:val="24"/>
          <w:lang w:val="es-PE"/>
        </w:rPr>
        <w:t xml:space="preserve">de 2025 </w:t>
      </w:r>
    </w:p>
    <w:p w14:paraId="6E081B4D" w14:textId="77777777" w:rsidR="00033B9E" w:rsidRPr="00565E93" w:rsidRDefault="00033B9E" w:rsidP="002A6A6E">
      <w:pPr>
        <w:spacing w:after="200" w:line="240" w:lineRule="auto"/>
        <w:jc w:val="both"/>
        <w:rPr>
          <w:rFonts w:ascii="Times New Roman" w:hAnsi="Times New Roman" w:cs="Times New Roman"/>
          <w:b/>
          <w:bCs/>
          <w:i/>
          <w:iCs/>
          <w:sz w:val="24"/>
          <w:szCs w:val="24"/>
          <w:lang w:val="es-PE"/>
        </w:rPr>
      </w:pPr>
      <w:r w:rsidRPr="00565E93">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565E93" w:rsidRDefault="00D373B3"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 xml:space="preserve">Antonio Rodriguez Lobatón – </w:t>
      </w:r>
      <w:proofErr w:type="gramStart"/>
      <w:r w:rsidRPr="00565E93">
        <w:rPr>
          <w:rFonts w:ascii="Times New Roman" w:hAnsi="Times New Roman" w:cs="Times New Roman"/>
          <w:b/>
          <w:bCs/>
          <w:sz w:val="24"/>
          <w:szCs w:val="24"/>
          <w:lang w:val="es-PE"/>
        </w:rPr>
        <w:t>Presidente</w:t>
      </w:r>
      <w:proofErr w:type="gramEnd"/>
    </w:p>
    <w:p w14:paraId="1B6FD469" w14:textId="7B93B247" w:rsidR="00033B9E" w:rsidRPr="00565E93" w:rsidRDefault="00033B9E"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María Eugenia Valdez Fernández Baca - Vocal</w:t>
      </w:r>
    </w:p>
    <w:bookmarkEnd w:id="0"/>
    <w:p w14:paraId="2057B52D" w14:textId="3175E6C2" w:rsidR="00D373B3" w:rsidRPr="00565E93" w:rsidRDefault="00D373B3"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 xml:space="preserve">Rolando Eyzaguirre </w:t>
      </w:r>
      <w:proofErr w:type="spellStart"/>
      <w:r w:rsidRPr="00565E93">
        <w:rPr>
          <w:rFonts w:ascii="Times New Roman" w:hAnsi="Times New Roman" w:cs="Times New Roman"/>
          <w:b/>
          <w:bCs/>
          <w:sz w:val="24"/>
          <w:szCs w:val="24"/>
          <w:lang w:val="es-PE"/>
        </w:rPr>
        <w:t>Maccan</w:t>
      </w:r>
      <w:proofErr w:type="spellEnd"/>
      <w:r w:rsidRPr="00565E93">
        <w:rPr>
          <w:rFonts w:ascii="Times New Roman" w:hAnsi="Times New Roman" w:cs="Times New Roman"/>
          <w:b/>
          <w:bCs/>
          <w:sz w:val="24"/>
          <w:szCs w:val="24"/>
          <w:lang w:val="es-PE"/>
        </w:rPr>
        <w:t xml:space="preserve"> </w:t>
      </w:r>
      <w:r w:rsidR="00BD69AE" w:rsidRPr="00565E93">
        <w:rPr>
          <w:rFonts w:ascii="Times New Roman" w:hAnsi="Times New Roman" w:cs="Times New Roman"/>
          <w:b/>
          <w:bCs/>
          <w:sz w:val="24"/>
          <w:szCs w:val="24"/>
          <w:lang w:val="es-PE"/>
        </w:rPr>
        <w:t>–</w:t>
      </w:r>
      <w:r w:rsidRPr="00565E93">
        <w:rPr>
          <w:rFonts w:ascii="Times New Roman" w:hAnsi="Times New Roman" w:cs="Times New Roman"/>
          <w:b/>
          <w:bCs/>
          <w:sz w:val="24"/>
          <w:szCs w:val="24"/>
          <w:lang w:val="es-PE"/>
        </w:rPr>
        <w:t xml:space="preserve"> 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62EA" w14:textId="77777777" w:rsidR="00455E9A" w:rsidRDefault="00455E9A" w:rsidP="00784355">
      <w:pPr>
        <w:spacing w:after="0" w:line="240" w:lineRule="auto"/>
      </w:pPr>
      <w:r>
        <w:separator/>
      </w:r>
    </w:p>
  </w:endnote>
  <w:endnote w:type="continuationSeparator" w:id="0">
    <w:p w14:paraId="0C2DA7CB" w14:textId="77777777" w:rsidR="00455E9A" w:rsidRDefault="00455E9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FB953" w14:textId="77777777" w:rsidR="00455E9A" w:rsidRDefault="00455E9A" w:rsidP="00784355">
      <w:pPr>
        <w:spacing w:after="0" w:line="240" w:lineRule="auto"/>
      </w:pPr>
      <w:r>
        <w:separator/>
      </w:r>
    </w:p>
  </w:footnote>
  <w:footnote w:type="continuationSeparator" w:id="0">
    <w:p w14:paraId="6427A403" w14:textId="77777777" w:rsidR="00455E9A" w:rsidRDefault="00455E9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578D"/>
    <w:rsid w:val="000E6C90"/>
    <w:rsid w:val="000F17DA"/>
    <w:rsid w:val="000F1F1F"/>
    <w:rsid w:val="000F372E"/>
    <w:rsid w:val="000F4458"/>
    <w:rsid w:val="000F56CC"/>
    <w:rsid w:val="000F6340"/>
    <w:rsid w:val="001020E7"/>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A58"/>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2ACC"/>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494"/>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3747"/>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55E9A"/>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E7E3D"/>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5E93"/>
    <w:rsid w:val="0056773D"/>
    <w:rsid w:val="00567DEC"/>
    <w:rsid w:val="0057035B"/>
    <w:rsid w:val="0057428A"/>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5A88"/>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96FDC"/>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087B"/>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02AD"/>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3B24"/>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B84"/>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9AE"/>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293C"/>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0F8E902-8B1B-42AD-8800-E10DCCE21795}"/>
</file>

<file path=customXml/itemProps3.xml><?xml version="1.0" encoding="utf-8"?>
<ds:datastoreItem xmlns:ds="http://schemas.openxmlformats.org/officeDocument/2006/customXml" ds:itemID="{03318769-72D1-43C6-933D-632B411F507C}"/>
</file>

<file path=customXml/itemProps4.xml><?xml version="1.0" encoding="utf-8"?>
<ds:datastoreItem xmlns:ds="http://schemas.openxmlformats.org/officeDocument/2006/customXml" ds:itemID="{14484D2F-DB6C-4D08-B732-A060A2CF971A}"/>
</file>

<file path=docProps/app.xml><?xml version="1.0" encoding="utf-8"?>
<Properties xmlns="http://schemas.openxmlformats.org/officeDocument/2006/extended-properties" xmlns:vt="http://schemas.openxmlformats.org/officeDocument/2006/docPropsVTypes">
  <Template>Normal</Template>
  <TotalTime>15</TotalTime>
  <Pages>3</Pages>
  <Words>1265</Words>
  <Characters>6933</Characters>
  <Application>Microsoft Office Word</Application>
  <DocSecurity>0</DocSecurity>
  <Lines>115</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22</cp:revision>
  <cp:lastPrinted>2025-10-21T18:02:00Z</cp:lastPrinted>
  <dcterms:created xsi:type="dcterms:W3CDTF">2025-10-21T17:55:00Z</dcterms:created>
  <dcterms:modified xsi:type="dcterms:W3CDTF">2025-11-11T21:24:00Z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