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4CD3B650" w:rsidR="00707C99" w:rsidRPr="007206B0" w:rsidRDefault="00201C0D" w:rsidP="00272F4F">
      <w:pPr>
        <w:spacing w:after="0" w:line="240" w:lineRule="auto"/>
        <w:jc w:val="center"/>
        <w:rPr>
          <w:rFonts w:ascii="Times New Roman" w:hAnsi="Times New Roman" w:cs="Times New Roman"/>
          <w:b/>
          <w:sz w:val="23"/>
          <w:szCs w:val="23"/>
          <w:lang w:val="es-PE" w:eastAsia="ar-SA"/>
        </w:rPr>
      </w:pPr>
      <w:r w:rsidRPr="007206B0">
        <w:rPr>
          <w:rFonts w:ascii="Times New Roman" w:hAnsi="Times New Roman" w:cs="Times New Roman"/>
          <w:b/>
          <w:sz w:val="24"/>
          <w:szCs w:val="23"/>
          <w:lang w:val="es-PE" w:eastAsia="ar-SA"/>
        </w:rPr>
        <w:t xml:space="preserve">RESOLUCIÓN DE RECURSO IMPUGNATIVO </w:t>
      </w:r>
      <w:r w:rsidR="00707C99" w:rsidRPr="007206B0">
        <w:rPr>
          <w:rFonts w:ascii="Times New Roman" w:hAnsi="Times New Roman" w:cs="Times New Roman"/>
          <w:b/>
          <w:sz w:val="24"/>
          <w:szCs w:val="23"/>
          <w:lang w:val="es-PE" w:eastAsia="ar-SA"/>
        </w:rPr>
        <w:t xml:space="preserve">N° </w:t>
      </w:r>
      <w:r w:rsidR="00F32B53" w:rsidRPr="007206B0">
        <w:rPr>
          <w:rFonts w:ascii="Times New Roman" w:hAnsi="Times New Roman" w:cs="Times New Roman"/>
          <w:b/>
          <w:sz w:val="24"/>
          <w:szCs w:val="23"/>
          <w:lang w:val="es-PE" w:eastAsia="ar-SA"/>
        </w:rPr>
        <w:t>67</w:t>
      </w:r>
      <w:r w:rsidR="00C671F5" w:rsidRPr="007206B0">
        <w:rPr>
          <w:rFonts w:ascii="Times New Roman" w:hAnsi="Times New Roman" w:cs="Times New Roman"/>
          <w:b/>
          <w:sz w:val="24"/>
          <w:szCs w:val="23"/>
          <w:lang w:val="es-PE" w:eastAsia="ar-SA"/>
        </w:rPr>
        <w:t>/2</w:t>
      </w:r>
      <w:r w:rsidR="006C1A7D" w:rsidRPr="007206B0">
        <w:rPr>
          <w:rFonts w:ascii="Times New Roman" w:hAnsi="Times New Roman" w:cs="Times New Roman"/>
          <w:b/>
          <w:sz w:val="24"/>
          <w:szCs w:val="23"/>
          <w:lang w:val="es-PE" w:eastAsia="ar-SA"/>
        </w:rPr>
        <w:t>5</w:t>
      </w:r>
    </w:p>
    <w:p w14:paraId="065C2231" w14:textId="77777777" w:rsidR="00CD1FB3" w:rsidRPr="007206B0" w:rsidRDefault="00CD1FB3" w:rsidP="00754DAC">
      <w:pPr>
        <w:spacing w:after="0" w:line="240" w:lineRule="auto"/>
        <w:jc w:val="both"/>
        <w:rPr>
          <w:rFonts w:ascii="Times New Roman" w:hAnsi="Times New Roman" w:cs="Times New Roman"/>
          <w:b/>
          <w:sz w:val="23"/>
          <w:szCs w:val="23"/>
          <w:lang w:val="es-PE"/>
        </w:rPr>
      </w:pPr>
    </w:p>
    <w:p w14:paraId="0A3D1E14" w14:textId="77777777" w:rsidR="007C41EA" w:rsidRPr="007206B0" w:rsidRDefault="008F6175" w:rsidP="007C41EA">
      <w:pPr>
        <w:spacing w:line="240" w:lineRule="auto"/>
        <w:jc w:val="both"/>
        <w:outlineLvl w:val="0"/>
        <w:rPr>
          <w:rFonts w:ascii="Times New Roman" w:hAnsi="Times New Roman" w:cs="Times New Roman"/>
          <w:b/>
          <w:bCs/>
          <w:sz w:val="23"/>
          <w:szCs w:val="23"/>
          <w:lang w:val="es-MX"/>
        </w:rPr>
      </w:pPr>
      <w:r w:rsidRPr="007206B0">
        <w:rPr>
          <w:rFonts w:ascii="Times New Roman" w:hAnsi="Times New Roman" w:cs="Times New Roman"/>
          <w:b/>
          <w:bCs/>
          <w:sz w:val="24"/>
          <w:szCs w:val="23"/>
          <w:lang w:val="es-MX"/>
        </w:rPr>
        <w:t>VISTOS:</w:t>
      </w:r>
    </w:p>
    <w:p w14:paraId="4960093A" w14:textId="02E95D11" w:rsidR="00836C72" w:rsidRPr="007206B0" w:rsidRDefault="008F6175" w:rsidP="00D14DDF">
      <w:pPr>
        <w:spacing w:line="240" w:lineRule="auto"/>
        <w:jc w:val="both"/>
        <w:outlineLvl w:val="0"/>
        <w:rPr>
          <w:rFonts w:ascii="Times New Roman" w:hAnsi="Times New Roman" w:cs="Times New Roman"/>
          <w:b/>
          <w:bCs/>
          <w:sz w:val="23"/>
          <w:szCs w:val="23"/>
          <w:lang w:val="es-PE"/>
        </w:rPr>
      </w:pPr>
      <w:r>
        <w:rPr>
          <w:rFonts w:ascii="Times New Roman" w:hAnsi="Times New Roman"/>
          <w:sz w:val="24"/>
        </w:rPr>
        <w:t xml:space="preserve">El Recurso de Impugnación presentado por ………………… respecto de la Resolución Nro. 214/24, expedida por el Órgano Resolutivo Unipersonal de esta Defensoría del Asegurado (DEFASEG), conforme a la cual se declaró INFUNDADA la reclamación contra por ………………… PERÚ respecto al POLIZA DE SEGURO DE PROTECCION DE TARJETAS CON PÓLIZA N° …………………</w:t>
      </w:r>
    </w:p>
    <w:p w14:paraId="6D8A269C" w14:textId="6B527331" w:rsidR="00221FEF" w:rsidRPr="007206B0" w:rsidRDefault="008F6175" w:rsidP="00221FEF">
      <w:pPr>
        <w:spacing w:line="240" w:lineRule="auto"/>
        <w:jc w:val="both"/>
        <w:outlineLvl w:val="0"/>
        <w:rPr>
          <w:rFonts w:ascii="Times New Roman" w:hAnsi="Times New Roman" w:cs="Times New Roman"/>
          <w:sz w:val="23"/>
          <w:szCs w:val="23"/>
          <w:lang w:val="es-PE"/>
        </w:rPr>
      </w:pPr>
      <w:r>
        <w:rPr>
          <w:rFonts w:ascii="Times New Roman" w:hAnsi="Times New Roman"/>
          <w:sz w:val="24"/>
        </w:rPr>
        <w:t xml:space="preserve">Que, el indicado recurso se sustenta resumidamente en lo siguiente: a) el recurrente sostiene que, al no haber emitido la Compañía ………………… una respuesta dentro del plazo legal de treinta (30) días, correspondía declarar el siniestro como no rechazado y, por ende, consentido, conforme a lo dispuesto en las condiciones generales de la póliza y en el artículo 74° de la Ley del Contrato de Seguro; b) señala que el 9 de mayo de 2024 remitió a la aseguradora toda la documentación requerida para la evaluación del siniestro, y que, pese a sus constantes solicitudes de información, recién recibió respuesta el 20 de junio, habiendo transcurrido más de cuarenta (40) días sin pronunciamiento; c) precisa que interpone el presente recurso en contra de la Resolución N° 214/24, por cuanto dicha decisión declaró infundada su reclamación, sin considerar —a su juicio— la configuración del siniestro consentido; d) alega que el Órgano Resolutivo Unipersonal (ORU) desestimó su reclamo al considerar que no acreditó la existencia de violencia, bajo el argumento de que no probó haber sido drogado. No obstante, sostiene que este es un procedimiento administrativo, no penal, y que los hechos vienen siendo investigados por las autoridades competentes para determinar la responsabilidad del conductor del vehículo que lo habría inducido al sueño mediante sustancias tóxicas (“drogas subrepticias”); e) manifiesta haber cumplido con presentar todos los documentos exigidos por la aseguradora y resalta que mensualmente paga el seguro de su tarjeta, por lo que espera un tratamiento justo y una evaluación razonable de su reclamo; f) cita la Casación N° 328-2016, Junín, en la cual la Corte Suprema de Justicia determinó que inducir a una víctima a consumir drogas subrepticiamente constituye un acto de violencia, al disminuir su capacidad de resistencia, configurando así un robo agravado; g) indica que los documentos remitidos tienen carácter de declaración jurada, por lo que debe presumirse la veracidad de su afirmación respecto a que fue drogado por el taxista, quien aprovechó tal situación para sustraerle las tarjetas y realizar operaciones indebidas; h) finalmente, sostiene que el siniestro denunciado se encuentra comprendido dentro de los riesgos cubiertos por la póliza, específicamente bajo la cobertura de “Indemnización de consumos indebidos de la(s) tarjeta(s) en establecimientos comerciales o cajeros automáticos, a consecuencia de robo por asalto o secuestro”, por lo que solicita que se declare fundado su reclamo.</w:t>
      </w:r>
    </w:p>
    <w:p w14:paraId="7477806C" w14:textId="0C00E3B5" w:rsidR="0068142C" w:rsidRPr="007206B0" w:rsidRDefault="00627E35" w:rsidP="00BD076D">
      <w:pPr>
        <w:spacing w:line="240" w:lineRule="auto"/>
        <w:jc w:val="both"/>
        <w:outlineLvl w:val="0"/>
        <w:rPr>
          <w:rFonts w:ascii="Times New Roman" w:eastAsia="Times New Roman" w:hAnsi="Times New Roman" w:cs="Times New Roman"/>
          <w:bCs/>
          <w:sz w:val="23"/>
          <w:szCs w:val="23"/>
          <w:lang w:val="es-PE" w:eastAsia="ar-SA"/>
        </w:rPr>
      </w:pPr>
      <w:r>
        <w:rPr>
          <w:rFonts w:ascii="Times New Roman" w:hAnsi="Times New Roman"/>
          <w:sz w:val="24"/>
        </w:rPr>
        <w:t xml:space="preserve">Que, habiéndosele corrido traslado de la señalada impugnación, ………………… PERÚ ha precisado lo siguiente: a) precisa que, conforme a la póliza del Seguro de Protección de Tarjetas contratada por el reclamante, las coberturas comprendidas son las siguientes: (i) Uso indebido de la tarjeta de crédito y/o débito en establecimientos comerciales, a consecuencia de robo por asalto o secuestro, (ii) Robo de compras efectuadas con la tarjeta a nombre del titular (iii) Robo de dinero extraído de cajeros automáticos, ocurrido hasta quince (15) minutos después del retiro; b) indica que, con fecha 28 de abril de 2024, el reclamante sufrió el hurto de sus pertenencias (entre ellas, sus tarjetas de crédito y débito), producto del cual se efectuaron retiros no reconocidos con su tarjeta de débito del Scotiabank por los montos de S/ 2,400.00, S/ 1,250.00 y ………………….04; c) refiere que, según el parte policial y lo declarado por el propio reclamante, el siniestro ocurrió mientras era trasladado en un taxi rumbo a su domicilio, circunstancia en la que se quedó dormido durante el trayecto y, al descender del vehículo, descubrió la sustracción de sus tarjetas y demás objetos personales; d) señala que las circunstancias descritas no encuadran en ninguno de los supuestos de cobertura contemplados en la póliza del seguro contratado, toda vez que los hechos constituyen un hurto simple, según consta en el parte policial, y no un robo con violencia, asalto o secuestro, que son los eventos asegurables bajo la cobertura correspondiente; e) indica que, en atención a ello, se concluyó que no correspondía aplicar la cobertura, decisión que fue comunicada al asegurado mediante la Carta N° …………………, de fecha 20 de junio de 2024; f) en relación con los nuevos argumentos presentados por el reclamante en su apelación —quien manifiesta que el taxista habría rociado sustancias tóxicas que le provocaron la pérdida de conciencia—, la Compañía observa que tales afirmaciones contradicen el parte policial presentado por el propio asegurado, en el cual se indica expresamente que fue víctima de hurto de sus tarjetas bancarias, sin que conste referencia alguna a agresión o empleo de sustancias químicas; g) finalmente, enfatiza que la Compañía se encuentra limitada a indemnizar únicamente los siniestros comprendidos dentro de los riesgos expresamente pactados en la póliza contratada, razón por la cual no resulta procedente la cobertura solicitada en el presente caso.</w:t>
      </w:r>
    </w:p>
    <w:p w14:paraId="43B5653B" w14:textId="2B44C904" w:rsidR="008F6175" w:rsidRPr="007206B0" w:rsidRDefault="0068142C" w:rsidP="000B24D9">
      <w:pPr>
        <w:pStyle w:val="Textoindependiente"/>
        <w:tabs>
          <w:tab w:val="left" w:pos="930"/>
        </w:tabs>
        <w:spacing w:line="240" w:lineRule="auto"/>
        <w:rPr>
          <w:sz w:val="23"/>
          <w:szCs w:val="23"/>
        </w:rPr>
      </w:pPr>
      <w:r w:rsidRPr="007206B0">
        <w:rPr>
          <w:rFonts w:ascii="Times New Roman" w:hAnsi="Times New Roman"/>
          <w:sz w:val="24"/>
          <w:szCs w:val="23"/>
        </w:rPr>
        <w:t>Que, atendiendo a lo expuesto, esta Defensoría resuelve finalmente lo siguiente:</w:t>
      </w:r>
    </w:p>
    <w:p w14:paraId="267686CA" w14:textId="77777777" w:rsidR="000B24D9" w:rsidRPr="007206B0" w:rsidRDefault="000B24D9" w:rsidP="000B24D9">
      <w:pPr>
        <w:pStyle w:val="Textoindependiente"/>
        <w:tabs>
          <w:tab w:val="left" w:pos="930"/>
        </w:tabs>
        <w:spacing w:line="240" w:lineRule="auto"/>
        <w:rPr>
          <w:sz w:val="23"/>
          <w:szCs w:val="23"/>
        </w:rPr>
      </w:pPr>
    </w:p>
    <w:p w14:paraId="20F96D70" w14:textId="77777777" w:rsidR="008F6175" w:rsidRPr="007206B0" w:rsidRDefault="008F6175" w:rsidP="008F6175">
      <w:pPr>
        <w:spacing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3666058B" w14:textId="77777777" w:rsidR="008F6175" w:rsidRPr="007206B0" w:rsidRDefault="008F6175" w:rsidP="008F6175">
      <w:pPr>
        <w:spacing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6773BA75" w14:textId="598F8BA8" w:rsidR="00D07937" w:rsidRPr="007206B0" w:rsidRDefault="008F6175" w:rsidP="003D69C2">
      <w:pPr>
        <w:spacing w:line="240" w:lineRule="auto"/>
        <w:jc w:val="both"/>
        <w:rPr>
          <w:rFonts w:ascii="Times New Roman" w:hAnsi="Times New Roman" w:cs="Times New Roman"/>
          <w:sz w:val="23"/>
          <w:szCs w:val="23"/>
          <w:lang w:val="es-PE"/>
        </w:rPr>
      </w:pPr>
      <w:r>
        <w:rPr>
          <w:rFonts w:ascii="Times New Roman" w:hAnsi="Times New Roman"/>
          <w:sz w:val="24"/>
        </w:rPr>
        <w:t xml:space="preserve">SEGUNDO: Que, el Recurso de Impugnación presentado por el señor………………… se sustenta en que ………………… PERÚ no emitió pronunciamiento dentro del plazo legal de treinta (30) días desde la presentación de la documentación completa, por lo que —a su entender— el siniestro debió considerarse consentido conforme al artículo 74° de la Ley del Contrato de Seguro. Asimismo, alega que fue víctima de robo con violencia, al haber sido drogado por el conductor del taxi que lo trasladaba, y que los hechos se encuentran comprendidos dentro de la cobertura por robo o asalto prevista en la póliza contratada.</w:t>
      </w:r>
    </w:p>
    <w:p w14:paraId="5BE6CEA4" w14:textId="75CC53A7" w:rsidR="0005504D" w:rsidRPr="007206B0" w:rsidRDefault="00C81C5D" w:rsidP="0005504D">
      <w:pPr>
        <w:spacing w:line="240" w:lineRule="auto"/>
        <w:jc w:val="both"/>
        <w:rPr>
          <w:rFonts w:ascii="Times New Roman" w:hAnsi="Times New Roman" w:cs="Times New Roman"/>
          <w:bCs/>
          <w:sz w:val="23"/>
          <w:szCs w:val="23"/>
          <w:lang w:val="es-PE"/>
        </w:rPr>
      </w:pPr>
      <w:r>
        <w:rPr>
          <w:rFonts w:ascii="Times New Roman" w:hAnsi="Times New Roman"/>
          <w:sz w:val="24"/>
        </w:rPr>
        <w:t xml:space="preserve">TERCERO: Que, el rechazo del siniestro se sustenta en que, según la información obtenida por ………………… PERÚ y lo consignado en la denuncia policial, el evento ocurrido el 28 de abril de 2024 corresponde a un hurto, y no a un robo con violencia, asalto o secuestro. El reclamante manifestó que, luego de salir de una discoteca en Barranco y abordar un taxi rumbo a su domicilio, se quedó dormido durante el trayecto, y al descender advirtió que le habían sustraído sus tarjetas y pertenencias, sin que existan indicios de agresión o amenaza que configuren un acto de violencia.</w:t>
      </w:r>
    </w:p>
    <w:p w14:paraId="022F2D76" w14:textId="77777777" w:rsidR="00883D6E" w:rsidRPr="007206B0" w:rsidRDefault="00367292" w:rsidP="00883D6E">
      <w:pPr>
        <w:spacing w:line="240" w:lineRule="auto"/>
        <w:jc w:val="both"/>
        <w:rPr>
          <w:rFonts w:ascii="Times New Roman" w:hAnsi="Times New Roman" w:cs="Times New Roman"/>
          <w:bCs/>
          <w:sz w:val="23"/>
          <w:szCs w:val="23"/>
          <w:lang w:val="es-PE"/>
        </w:rPr>
      </w:pPr>
      <w:r w:rsidRPr="007206B0">
        <w:rPr>
          <w:rFonts w:ascii="Times New Roman" w:hAnsi="Times New Roman" w:cs="Times New Roman"/>
          <w:b/>
          <w:sz w:val="24"/>
          <w:szCs w:val="23"/>
          <w:u w:val="single"/>
          <w:lang w:val="es-PE"/>
        </w:rPr>
        <w:t>CUARTO:</w:t>
      </w:r>
      <w:r w:rsidR="00DD1B5D" w:rsidRPr="007206B0">
        <w:rPr>
          <w:rFonts w:ascii="Times New Roman" w:eastAsia="Times New Roman" w:hAnsi="Times New Roman" w:cs="Times New Roman"/>
          <w:bCs/>
          <w:sz w:val="24"/>
          <w:szCs w:val="23"/>
          <w:lang w:val="es-PE" w:eastAsia="es-PE"/>
        </w:rPr>
        <w:t xml:space="preserve"> </w:t>
      </w:r>
      <w:r w:rsidR="00DD1B5D" w:rsidRPr="007206B0">
        <w:rPr>
          <w:rFonts w:ascii="Times New Roman" w:hAnsi="Times New Roman" w:cs="Times New Roman"/>
          <w:bCs/>
          <w:sz w:val="24"/>
          <w:szCs w:val="23"/>
          <w:lang w:val="es-PE"/>
        </w:rPr>
        <w:t>Que, el Órgano Resolutivo Unipersonal (ORU) declaró infundada la reclamación EN aplicación de los siguientes fundamentos</w:t>
      </w:r>
      <w:r w:rsidR="00883D6E" w:rsidRPr="007206B0">
        <w:rPr>
          <w:rFonts w:ascii="Times New Roman" w:hAnsi="Times New Roman" w:cs="Times New Roman"/>
          <w:bCs/>
          <w:sz w:val="24"/>
          <w:szCs w:val="23"/>
          <w:lang w:val="es-PE"/>
        </w:rPr>
        <w:t>:</w:t>
      </w:r>
    </w:p>
    <w:p w14:paraId="5F5CEAA1" w14:textId="70B7143D" w:rsidR="00EF6024" w:rsidRPr="007206B0" w:rsidRDefault="00EF6024" w:rsidP="00EF6024">
      <w:pPr>
        <w:pStyle w:val="Prrafodelista"/>
        <w:numPr>
          <w:ilvl w:val="0"/>
          <w:numId w:val="16"/>
        </w:numPr>
        <w:spacing w:line="240" w:lineRule="auto"/>
        <w:jc w:val="both"/>
        <w:rPr>
          <w:bCs/>
          <w:sz w:val="23"/>
          <w:szCs w:val="23"/>
          <w:lang w:val="es-PE"/>
        </w:rPr>
      </w:pPr>
      <w:r w:rsidRPr="007206B0">
        <w:rPr>
          <w:rFonts w:ascii="Times New Roman" w:hAnsi="Times New Roman" w:cs="Times New Roman"/>
          <w:bCs/>
          <w:sz w:val="24"/>
          <w:szCs w:val="23"/>
          <w:lang w:val="es-PE"/>
        </w:rPr>
        <w:t>D</w:t>
      </w:r>
      <w:r w:rsidR="00DD1B5D" w:rsidRPr="007206B0">
        <w:rPr>
          <w:rFonts w:ascii="Times New Roman" w:hAnsi="Times New Roman" w:cs="Times New Roman"/>
          <w:bCs/>
          <w:sz w:val="24"/>
          <w:szCs w:val="23"/>
          <w:lang w:val="es-PE"/>
        </w:rPr>
        <w:t xml:space="preserve">e acuerdo con las condiciones generales de la póliza </w:t>
      </w:r>
      <w:r w:rsidR="007A7CDD" w:rsidRPr="007206B0">
        <w:rPr>
          <w:rFonts w:ascii="Times New Roman" w:hAnsi="Times New Roman" w:cs="Times New Roman"/>
          <w:bCs/>
          <w:sz w:val="24"/>
          <w:szCs w:val="23"/>
          <w:lang w:val="es-PE"/>
        </w:rPr>
        <w:t>contratada</w:t>
      </w:r>
      <w:r w:rsidR="00DD1B5D" w:rsidRPr="007206B0">
        <w:rPr>
          <w:rFonts w:ascii="Times New Roman" w:hAnsi="Times New Roman" w:cs="Times New Roman"/>
          <w:bCs/>
          <w:sz w:val="24"/>
          <w:szCs w:val="23"/>
          <w:lang w:val="es-PE"/>
        </w:rPr>
        <w:t xml:space="preserve">, la cobertura se limita al uso indebido de la tarjeta </w:t>
      </w:r>
      <w:r w:rsidR="004E74E9" w:rsidRPr="007206B0">
        <w:rPr>
          <w:rFonts w:ascii="Times New Roman" w:hAnsi="Times New Roman" w:cs="Times New Roman"/>
          <w:bCs/>
          <w:sz w:val="24"/>
          <w:szCs w:val="23"/>
          <w:lang w:val="es-PE"/>
        </w:rPr>
        <w:t xml:space="preserve">en establecimientos comerciales </w:t>
      </w:r>
      <w:r w:rsidR="00DD1B5D" w:rsidRPr="007206B0">
        <w:rPr>
          <w:rFonts w:ascii="Times New Roman" w:hAnsi="Times New Roman" w:cs="Times New Roman"/>
          <w:bCs/>
          <w:sz w:val="24"/>
          <w:szCs w:val="23"/>
          <w:lang w:val="es-PE"/>
        </w:rPr>
        <w:t>a consecuencia de</w:t>
      </w:r>
      <w:r w:rsidR="00D214A1" w:rsidRPr="007206B0">
        <w:rPr>
          <w:rFonts w:ascii="Times New Roman" w:hAnsi="Times New Roman" w:cs="Times New Roman"/>
          <w:bCs/>
          <w:sz w:val="24"/>
          <w:szCs w:val="23"/>
          <w:lang w:val="es-PE"/>
        </w:rPr>
        <w:t xml:space="preserve"> un</w:t>
      </w:r>
      <w:r w:rsidR="00DD1B5D" w:rsidRPr="007206B0">
        <w:rPr>
          <w:rFonts w:ascii="Times New Roman" w:hAnsi="Times New Roman" w:cs="Times New Roman"/>
          <w:bCs/>
          <w:sz w:val="24"/>
          <w:szCs w:val="23"/>
          <w:lang w:val="es-PE"/>
        </w:rPr>
        <w:t xml:space="preserve"> rob</w:t>
      </w:r>
      <w:r w:rsidR="00D214A1" w:rsidRPr="007206B0">
        <w:rPr>
          <w:rFonts w:ascii="Times New Roman" w:hAnsi="Times New Roman" w:cs="Times New Roman"/>
          <w:bCs/>
          <w:sz w:val="24"/>
          <w:szCs w:val="23"/>
          <w:lang w:val="es-PE"/>
        </w:rPr>
        <w:t xml:space="preserve">o, </w:t>
      </w:r>
      <w:r w:rsidR="00DD1B5D" w:rsidRPr="007206B0">
        <w:rPr>
          <w:rFonts w:ascii="Times New Roman" w:hAnsi="Times New Roman" w:cs="Times New Roman"/>
          <w:bCs/>
          <w:sz w:val="24"/>
          <w:szCs w:val="23"/>
          <w:lang w:val="es-PE"/>
        </w:rPr>
        <w:t xml:space="preserve">asalto o </w:t>
      </w:r>
      <w:r w:rsidR="00D214A1" w:rsidRPr="007206B0">
        <w:rPr>
          <w:rFonts w:ascii="Times New Roman" w:hAnsi="Times New Roman" w:cs="Times New Roman"/>
          <w:bCs/>
          <w:sz w:val="24"/>
          <w:szCs w:val="23"/>
          <w:lang w:val="es-PE"/>
        </w:rPr>
        <w:t>secuestro.</w:t>
      </w:r>
      <w:r w:rsidR="00DD1B5D" w:rsidRPr="007206B0">
        <w:rPr>
          <w:rFonts w:ascii="Times New Roman" w:hAnsi="Times New Roman" w:cs="Times New Roman"/>
          <w:bCs/>
          <w:sz w:val="24"/>
          <w:szCs w:val="23"/>
          <w:lang w:val="es-PE"/>
        </w:rPr>
        <w:t xml:space="preserve"> En ese sentido, el evento denunciado por el reclamante —la sustracción de sus tarjetas mientras dormía dentro de un taxi</w:t>
      </w:r>
      <w:r w:rsidR="00D214A1" w:rsidRPr="007206B0">
        <w:rPr>
          <w:rFonts w:ascii="Times New Roman" w:hAnsi="Times New Roman" w:cs="Times New Roman"/>
          <w:bCs/>
          <w:sz w:val="24"/>
          <w:szCs w:val="23"/>
          <w:lang w:val="es-PE"/>
        </w:rPr>
        <w:t xml:space="preserve"> con posterior retiro de </w:t>
      </w:r>
      <w:r w:rsidR="00D214A1" w:rsidRPr="007206B0">
        <w:rPr>
          <w:rFonts w:ascii="Times New Roman" w:hAnsi="Times New Roman" w:cs="Times New Roman"/>
          <w:bCs/>
          <w:sz w:val="24"/>
          <w:szCs w:val="23"/>
          <w:lang w:val="es-PE"/>
        </w:rPr>
        <w:lastRenderedPageBreak/>
        <w:t>dinero</w:t>
      </w:r>
      <w:r w:rsidR="00340EDA" w:rsidRPr="007206B0">
        <w:rPr>
          <w:rFonts w:ascii="Times New Roman" w:hAnsi="Times New Roman" w:cs="Times New Roman"/>
          <w:bCs/>
          <w:sz w:val="24"/>
          <w:szCs w:val="23"/>
          <w:lang w:val="es-PE"/>
        </w:rPr>
        <w:t xml:space="preserve"> y solicitud de </w:t>
      </w:r>
      <w:r w:rsidR="00CA7520" w:rsidRPr="007206B0">
        <w:rPr>
          <w:rFonts w:ascii="Times New Roman" w:hAnsi="Times New Roman" w:cs="Times New Roman"/>
          <w:bCs/>
          <w:sz w:val="24"/>
          <w:szCs w:val="23"/>
          <w:lang w:val="es-PE"/>
        </w:rPr>
        <w:t xml:space="preserve">préstamo </w:t>
      </w:r>
      <w:r w:rsidR="00DD1B5D" w:rsidRPr="007206B0">
        <w:rPr>
          <w:rFonts w:ascii="Times New Roman" w:hAnsi="Times New Roman" w:cs="Times New Roman"/>
          <w:bCs/>
          <w:sz w:val="24"/>
          <w:szCs w:val="23"/>
          <w:lang w:val="es-PE"/>
        </w:rPr>
        <w:t xml:space="preserve">— no </w:t>
      </w:r>
      <w:r w:rsidR="00B6171A" w:rsidRPr="007206B0">
        <w:rPr>
          <w:rFonts w:ascii="Times New Roman" w:hAnsi="Times New Roman" w:cs="Times New Roman"/>
          <w:bCs/>
          <w:sz w:val="24"/>
          <w:szCs w:val="23"/>
          <w:lang w:val="es-PE"/>
        </w:rPr>
        <w:t xml:space="preserve">es un </w:t>
      </w:r>
      <w:r w:rsidR="00DD1B5D" w:rsidRPr="007206B0">
        <w:rPr>
          <w:rFonts w:ascii="Times New Roman" w:hAnsi="Times New Roman" w:cs="Times New Roman"/>
          <w:bCs/>
          <w:sz w:val="24"/>
          <w:szCs w:val="23"/>
          <w:lang w:val="es-PE"/>
        </w:rPr>
        <w:t xml:space="preserve">hecho </w:t>
      </w:r>
      <w:r w:rsidR="00B6171A" w:rsidRPr="007206B0">
        <w:rPr>
          <w:rFonts w:ascii="Times New Roman" w:hAnsi="Times New Roman" w:cs="Times New Roman"/>
          <w:bCs/>
          <w:sz w:val="24"/>
          <w:szCs w:val="23"/>
          <w:lang w:val="es-PE"/>
        </w:rPr>
        <w:t>que</w:t>
      </w:r>
      <w:r w:rsidR="00DD1B5D" w:rsidRPr="007206B0">
        <w:rPr>
          <w:rFonts w:ascii="Times New Roman" w:hAnsi="Times New Roman" w:cs="Times New Roman"/>
          <w:bCs/>
          <w:sz w:val="24"/>
          <w:szCs w:val="23"/>
          <w:lang w:val="es-PE"/>
        </w:rPr>
        <w:t xml:space="preserve"> encuadr</w:t>
      </w:r>
      <w:r w:rsidR="00B6171A" w:rsidRPr="007206B0">
        <w:rPr>
          <w:rFonts w:ascii="Times New Roman" w:hAnsi="Times New Roman" w:cs="Times New Roman"/>
          <w:bCs/>
          <w:sz w:val="24"/>
          <w:szCs w:val="23"/>
          <w:lang w:val="es-PE"/>
        </w:rPr>
        <w:t>e</w:t>
      </w:r>
      <w:r w:rsidR="00DD1B5D" w:rsidRPr="007206B0">
        <w:rPr>
          <w:rFonts w:ascii="Times New Roman" w:hAnsi="Times New Roman" w:cs="Times New Roman"/>
          <w:bCs/>
          <w:sz w:val="24"/>
          <w:szCs w:val="23"/>
          <w:lang w:val="es-PE"/>
        </w:rPr>
        <w:t xml:space="preserve"> en ninguno de los riesgos cubiertos por la póliza</w:t>
      </w:r>
    </w:p>
    <w:p w14:paraId="62A422B1" w14:textId="77777777" w:rsidR="007A7CDD" w:rsidRPr="007206B0" w:rsidRDefault="00EF6024" w:rsidP="00BE4BAF">
      <w:pPr>
        <w:pStyle w:val="Prrafodelista"/>
        <w:numPr>
          <w:ilvl w:val="0"/>
          <w:numId w:val="16"/>
        </w:numPr>
        <w:spacing w:line="240" w:lineRule="auto"/>
        <w:jc w:val="both"/>
        <w:rPr>
          <w:rFonts w:ascii="Times New Roman" w:hAnsi="Times New Roman" w:cs="Times New Roman"/>
          <w:bCs/>
          <w:sz w:val="23"/>
          <w:szCs w:val="23"/>
          <w:lang w:val="es-PE"/>
        </w:rPr>
      </w:pPr>
      <w:r w:rsidRPr="007206B0">
        <w:rPr>
          <w:rFonts w:ascii="Times New Roman" w:hAnsi="Times New Roman" w:cs="Times New Roman"/>
          <w:bCs/>
          <w:sz w:val="24"/>
          <w:szCs w:val="23"/>
          <w:lang w:val="es-PE"/>
        </w:rPr>
        <w:t xml:space="preserve">Se </w:t>
      </w:r>
      <w:r w:rsidR="00DD1B5D" w:rsidRPr="007206B0">
        <w:rPr>
          <w:rFonts w:ascii="Times New Roman" w:hAnsi="Times New Roman" w:cs="Times New Roman"/>
          <w:bCs/>
          <w:sz w:val="24"/>
          <w:szCs w:val="23"/>
          <w:lang w:val="es-PE"/>
        </w:rPr>
        <w:t xml:space="preserve">precisó que el reclamante no presentó medios probatorios que sustenten su afirmación de haber sido drogado por el conductor del taxi; su versión se basa únicamente en manifestaciones personales sin respaldo objetivo. </w:t>
      </w:r>
      <w:r w:rsidR="00BE4BAF" w:rsidRPr="007206B0">
        <w:rPr>
          <w:rFonts w:ascii="Times New Roman" w:hAnsi="Times New Roman" w:cs="Times New Roman"/>
          <w:bCs/>
          <w:sz w:val="24"/>
          <w:szCs w:val="23"/>
          <w:lang w:val="es-PE"/>
        </w:rPr>
        <w:t xml:space="preserve"> </w:t>
      </w:r>
    </w:p>
    <w:p w14:paraId="5E81FE0E" w14:textId="51B335A7" w:rsidR="00DD1B5D" w:rsidRPr="007206B0" w:rsidRDefault="0002274F" w:rsidP="00DD1B5D">
      <w:pPr>
        <w:pStyle w:val="Prrafodelista"/>
        <w:numPr>
          <w:ilvl w:val="0"/>
          <w:numId w:val="16"/>
        </w:numPr>
        <w:spacing w:line="240" w:lineRule="auto"/>
        <w:jc w:val="both"/>
        <w:rPr>
          <w:rFonts w:ascii="Times New Roman" w:hAnsi="Times New Roman" w:cs="Times New Roman"/>
          <w:bCs/>
          <w:sz w:val="23"/>
          <w:szCs w:val="23"/>
          <w:lang w:val="es-PE"/>
        </w:rPr>
      </w:pPr>
      <w:r w:rsidRPr="007206B0">
        <w:rPr>
          <w:rFonts w:ascii="Times New Roman" w:hAnsi="Times New Roman" w:cs="Times New Roman"/>
          <w:bCs/>
          <w:sz w:val="24"/>
          <w:szCs w:val="23"/>
          <w:lang w:val="es-PE"/>
        </w:rPr>
        <w:t>La</w:t>
      </w:r>
      <w:r w:rsidR="00DD1B5D" w:rsidRPr="007206B0">
        <w:rPr>
          <w:rFonts w:ascii="Times New Roman" w:hAnsi="Times New Roman" w:cs="Times New Roman"/>
          <w:bCs/>
          <w:sz w:val="24"/>
          <w:szCs w:val="23"/>
          <w:lang w:val="es-PE"/>
        </w:rPr>
        <w:t xml:space="preserve"> figura del siniestro consentido presupone que el evento corresponda a un riesgo cubierto. Por tanto, aun cuando la aseguradora hubiera excedido el plazo de respuesta, ello no genera la obligación de cobertura si el hecho materia del reclamo no se encuentra dentro del riesgo asegurado</w:t>
      </w:r>
    </w:p>
    <w:p w14:paraId="55CD5185" w14:textId="42D4E08B" w:rsidR="00DD1B5D" w:rsidRPr="007206B0" w:rsidRDefault="007A7CDD" w:rsidP="007A7D8A">
      <w:pPr>
        <w:spacing w:line="240" w:lineRule="auto"/>
        <w:jc w:val="both"/>
        <w:rPr>
          <w:rFonts w:ascii="Times New Roman" w:hAnsi="Times New Roman" w:cs="Times New Roman"/>
          <w:bCs/>
          <w:sz w:val="23"/>
          <w:szCs w:val="23"/>
          <w:lang w:val="es-PE"/>
        </w:rPr>
      </w:pPr>
      <w:r>
        <w:rPr>
          <w:rFonts w:ascii="Times New Roman" w:hAnsi="Times New Roman"/>
          <w:sz w:val="24"/>
        </w:rPr>
        <w:t xml:space="preserve">En tal sentido, al no haberse probado la existencia de violencia ni la configuración de un riesgo cubierto por la póliza, el ORU concluyó que no se acredita un siniestro indemnizable, desestimó la reclamación presentada por el señor………………….</w:t>
      </w:r>
    </w:p>
    <w:p w14:paraId="51825668" w14:textId="77777777" w:rsidR="007A7D8A" w:rsidRPr="007206B0" w:rsidRDefault="00367292" w:rsidP="007A7D8A">
      <w:pPr>
        <w:spacing w:line="240" w:lineRule="auto"/>
        <w:jc w:val="both"/>
        <w:rPr>
          <w:sz w:val="23"/>
          <w:szCs w:val="23"/>
          <w:lang w:val="es-PE"/>
        </w:rPr>
      </w:pPr>
      <w:r w:rsidRPr="007206B0">
        <w:rPr>
          <w:rFonts w:ascii="Times New Roman" w:hAnsi="Times New Roman" w:cs="Times New Roman"/>
          <w:b/>
          <w:bCs/>
          <w:sz w:val="24"/>
          <w:szCs w:val="23"/>
          <w:u w:val="single"/>
          <w:lang w:val="es-PE"/>
        </w:rPr>
        <w:t>QUINTO</w:t>
      </w:r>
      <w:r w:rsidR="0041625E" w:rsidRPr="007206B0">
        <w:rPr>
          <w:rFonts w:ascii="Times New Roman" w:hAnsi="Times New Roman" w:cs="Times New Roman"/>
          <w:b/>
          <w:bCs/>
          <w:sz w:val="24"/>
          <w:szCs w:val="23"/>
          <w:lang w:val="es-PE"/>
        </w:rPr>
        <w:t>:</w:t>
      </w:r>
      <w:r w:rsidR="00F01C31" w:rsidRPr="007206B0">
        <w:rPr>
          <w:rFonts w:ascii="Times New Roman" w:hAnsi="Times New Roman" w:cs="Times New Roman"/>
          <w:b/>
          <w:bCs/>
          <w:sz w:val="24"/>
          <w:szCs w:val="23"/>
          <w:lang w:val="es-PE"/>
        </w:rPr>
        <w:t xml:space="preserve"> </w:t>
      </w:r>
      <w:r w:rsidR="007A7D8A" w:rsidRPr="007206B0">
        <w:rPr>
          <w:rFonts w:ascii="Times New Roman" w:hAnsi="Times New Roman" w:cs="Times New Roman"/>
          <w:sz w:val="24"/>
          <w:szCs w:val="23"/>
          <w:lang w:val="es-PE"/>
        </w:rPr>
        <w:t>Que, atendiendo a los argumentos expuestos por el reclamante, los fundamentos de rechazo formulados por la Compañía y lo concluido en primera instancia, este Colegiado analizará en el presente caso dos aspectos principales:</w:t>
      </w:r>
    </w:p>
    <w:p w14:paraId="0CA2FF7C" w14:textId="7C8C9F07" w:rsidR="00AC574B" w:rsidRPr="007206B0" w:rsidRDefault="00AC574B" w:rsidP="007A7D8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(i) Si corresponde la aplicación de la cobertura de la póliza de Protección de Tarjeta</w:t>
      </w:r>
      <w:r w:rsidR="005D1EBE" w:rsidRPr="007206B0">
        <w:rPr>
          <w:rFonts w:ascii="Times New Roman" w:hAnsi="Times New Roman" w:cs="Times New Roman"/>
          <w:sz w:val="24"/>
          <w:szCs w:val="23"/>
          <w:lang w:val="es-PE"/>
        </w:rPr>
        <w:t>.</w:t>
      </w:r>
    </w:p>
    <w:p w14:paraId="642FF51D" w14:textId="2A899175" w:rsidR="00AC574B" w:rsidRPr="007206B0" w:rsidRDefault="00AC574B" w:rsidP="007A7D8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w:t>
      </w:r>
      <w:proofErr w:type="spellStart"/>
      <w:r w:rsidRPr="007206B0">
        <w:rPr>
          <w:rFonts w:ascii="Times New Roman" w:hAnsi="Times New Roman" w:cs="Times New Roman"/>
          <w:sz w:val="24"/>
          <w:szCs w:val="23"/>
          <w:lang w:val="es-PE"/>
        </w:rPr>
        <w:t>ii</w:t>
      </w:r>
      <w:proofErr w:type="spellEnd"/>
      <w:r w:rsidRPr="007206B0">
        <w:rPr>
          <w:rFonts w:ascii="Times New Roman" w:hAnsi="Times New Roman" w:cs="Times New Roman"/>
          <w:sz w:val="24"/>
          <w:szCs w:val="23"/>
          <w:lang w:val="es-PE"/>
        </w:rPr>
        <w:t>) Si resulta procedente la configuración del denominado “siniestro consentido”</w:t>
      </w:r>
      <w:r w:rsidR="005D1EBE" w:rsidRPr="007206B0">
        <w:rPr>
          <w:rFonts w:ascii="Times New Roman" w:hAnsi="Times New Roman" w:cs="Times New Roman"/>
          <w:sz w:val="24"/>
          <w:szCs w:val="23"/>
          <w:lang w:val="es-PE"/>
        </w:rPr>
        <w:t>.</w:t>
      </w:r>
    </w:p>
    <w:p w14:paraId="0260C38C" w14:textId="5DA07BF0" w:rsidR="0045535C" w:rsidRPr="007206B0" w:rsidRDefault="00AC574B" w:rsidP="007A7D8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En consecuencia, el análisis del Colegiado se centrará en determinar si los hechos materia del reclamo se encuentran comprendidos en la cobertura contratada y, de ser el caso, si la falta de pronunciamiento oportuno por parte de la aseguradora genera los efectos legales que el reclamante invoca.</w:t>
      </w:r>
    </w:p>
    <w:p w14:paraId="14077B9D" w14:textId="48871C98" w:rsidR="0045535C" w:rsidRPr="007206B0" w:rsidRDefault="0045535C" w:rsidP="0045535C">
      <w:pPr>
        <w:spacing w:line="240" w:lineRule="auto"/>
        <w:jc w:val="both"/>
        <w:rPr>
          <w:rFonts w:ascii="Times New Roman" w:hAnsi="Times New Roman" w:cs="Times New Roman"/>
          <w:b/>
          <w:bCs/>
          <w:sz w:val="23"/>
          <w:szCs w:val="23"/>
          <w:u w:val="single"/>
          <w:lang w:val="es-PE"/>
        </w:rPr>
      </w:pPr>
      <w:r w:rsidRPr="007206B0">
        <w:rPr>
          <w:rFonts w:ascii="Times New Roman" w:hAnsi="Times New Roman" w:cs="Times New Roman"/>
          <w:b/>
          <w:bCs/>
          <w:sz w:val="24"/>
          <w:szCs w:val="23"/>
          <w:u w:val="single"/>
          <w:lang w:val="es-PE"/>
        </w:rPr>
        <w:t>Sobre la cobertura del seguro contratado.</w:t>
      </w:r>
    </w:p>
    <w:p w14:paraId="154EB7B9" w14:textId="726DB2CA" w:rsidR="00164739" w:rsidRPr="007206B0" w:rsidRDefault="0088343A"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 xml:space="preserve">Corresponde determinar si las circunstancias en que ocurrieron los hechos denunciados —según la denuncia policial y la declaración del asegurado— se encuentran comprendidas dentro de los riesgos cubiertos por la Póliza de Protección de Tarjeta </w:t>
      </w:r>
      <w:proofErr w:type="spellStart"/>
      <w:r w:rsidRPr="007206B0">
        <w:rPr>
          <w:rFonts w:ascii="Times New Roman" w:hAnsi="Times New Roman" w:cs="Times New Roman"/>
          <w:sz w:val="24"/>
          <w:szCs w:val="23"/>
          <w:lang w:val="es-PE"/>
        </w:rPr>
        <w:t>N.°</w:t>
      </w:r>
      <w:proofErr w:type="spellEnd"/>
      <w:r w:rsidRPr="007206B0">
        <w:rPr>
          <w:rFonts w:ascii="Times New Roman" w:hAnsi="Times New Roman" w:cs="Times New Roman"/>
          <w:sz w:val="24"/>
          <w:szCs w:val="23"/>
          <w:lang w:val="es-PE"/>
        </w:rPr>
        <w:t xml:space="preserve"> </w:t>
      </w:r>
      <w:r w:rsidR="00577C29" w:rsidRPr="007206B0">
        <w:rPr>
          <w:rFonts w:ascii="Times New Roman" w:hAnsi="Times New Roman" w:cs="Times New Roman"/>
          <w:sz w:val="24"/>
          <w:szCs w:val="23"/>
          <w:lang w:val="es-PE"/>
        </w:rPr>
        <w:t>27181.</w:t>
      </w:r>
    </w:p>
    <w:p w14:paraId="1CB2035C" w14:textId="62FEEE1B" w:rsidR="00CA7520" w:rsidRPr="007206B0" w:rsidRDefault="00164739"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Que, s</w:t>
      </w:r>
      <w:r w:rsidR="001E3B18" w:rsidRPr="007206B0">
        <w:rPr>
          <w:rFonts w:ascii="Times New Roman" w:hAnsi="Times New Roman" w:cs="Times New Roman"/>
          <w:sz w:val="24"/>
          <w:szCs w:val="23"/>
          <w:lang w:val="es-PE"/>
        </w:rPr>
        <w:t xml:space="preserve">e debe tener presente que </w:t>
      </w:r>
      <w:r w:rsidRPr="007206B0">
        <w:rPr>
          <w:rFonts w:ascii="Times New Roman" w:hAnsi="Times New Roman" w:cs="Times New Roman"/>
          <w:sz w:val="24"/>
          <w:szCs w:val="23"/>
          <w:lang w:val="es-PE"/>
        </w:rPr>
        <w:t xml:space="preserve">estamos ante </w:t>
      </w:r>
      <w:r w:rsidR="001E3B18" w:rsidRPr="007206B0">
        <w:rPr>
          <w:rFonts w:ascii="Times New Roman" w:hAnsi="Times New Roman" w:cs="Times New Roman"/>
          <w:sz w:val="24"/>
          <w:szCs w:val="23"/>
          <w:lang w:val="es-PE"/>
        </w:rPr>
        <w:t>un seguro de riesgos nombrados, lo que implica que la aseguradora solo asume responsabilidad por aquellos eventos expresamente previstos como cubiertos en el contrato</w:t>
      </w:r>
    </w:p>
    <w:p w14:paraId="29F0BE44" w14:textId="4FEF4F6D" w:rsidR="00B661FC" w:rsidRPr="007206B0" w:rsidRDefault="0088343A"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De la revisión de los medios probatorios que obran en autos, se concluye que el hecho materia del reclamo ocurrió cuando el reclamante se quedó dormido dentro de un taxi y, al descender, constató la sustracción de sus tarjetas y demás pertenencias, sin que existan elementos objetivos que acrediten violencia, amenaza o restricción de la libertad personal.</w:t>
      </w:r>
      <w:r w:rsidR="00AA2099" w:rsidRPr="007206B0">
        <w:rPr>
          <w:rFonts w:ascii="Times New Roman" w:hAnsi="Times New Roman" w:cs="Times New Roman"/>
          <w:sz w:val="24"/>
          <w:szCs w:val="23"/>
          <w:lang w:val="es-PE"/>
        </w:rPr>
        <w:t xml:space="preserve"> Posteriormente, se realizaron dos retiros de dinero y una solicitud de préstamo.</w:t>
      </w:r>
    </w:p>
    <w:p w14:paraId="2B15BC66" w14:textId="4AC88453" w:rsidR="00B661FC" w:rsidRPr="007206B0" w:rsidRDefault="00B661FC" w:rsidP="00B661FC">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 xml:space="preserve">Debe señalarse que la cobertura que podría, en principio, resultar aplicable al presente caso es la correspondiente a “Uso indebido de la tarjeta en establecimientos comerciales por robo por asalto o secuestro”, prevista en la Póliza de Protección de Tarjeta </w:t>
      </w:r>
      <w:proofErr w:type="spellStart"/>
      <w:r w:rsidRPr="007206B0">
        <w:rPr>
          <w:rFonts w:ascii="Times New Roman" w:hAnsi="Times New Roman" w:cs="Times New Roman"/>
          <w:sz w:val="24"/>
          <w:szCs w:val="23"/>
          <w:lang w:val="es-PE"/>
        </w:rPr>
        <w:t>N.°</w:t>
      </w:r>
      <w:proofErr w:type="spellEnd"/>
      <w:r w:rsidRPr="007206B0">
        <w:rPr>
          <w:rFonts w:ascii="Times New Roman" w:hAnsi="Times New Roman" w:cs="Times New Roman"/>
          <w:sz w:val="24"/>
          <w:szCs w:val="23"/>
          <w:lang w:val="es-PE"/>
        </w:rPr>
        <w:t xml:space="preserve"> </w:t>
      </w:r>
      <w:r w:rsidR="00FE7AEB" w:rsidRPr="007206B0">
        <w:rPr>
          <w:rFonts w:ascii="Times New Roman" w:hAnsi="Times New Roman" w:cs="Times New Roman"/>
          <w:sz w:val="24"/>
          <w:szCs w:val="23"/>
          <w:lang w:val="es-PE"/>
        </w:rPr>
        <w:t>27181</w:t>
      </w:r>
      <w:r w:rsidRPr="007206B0">
        <w:rPr>
          <w:rFonts w:ascii="Times New Roman" w:hAnsi="Times New Roman" w:cs="Times New Roman"/>
          <w:sz w:val="24"/>
          <w:szCs w:val="23"/>
          <w:lang w:val="es-PE"/>
        </w:rPr>
        <w:t>.</w:t>
      </w:r>
    </w:p>
    <w:p w14:paraId="487B8ADC" w14:textId="67A4379E" w:rsidR="00B661FC" w:rsidRPr="007206B0" w:rsidRDefault="00B661FC"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Sin embargo, se debe tener presente que los hechos materia del reclamo no configuran un robo</w:t>
      </w:r>
      <w:r w:rsidR="004A5D6D" w:rsidRPr="007206B0">
        <w:rPr>
          <w:rFonts w:ascii="Times New Roman" w:hAnsi="Times New Roman" w:cs="Times New Roman"/>
          <w:sz w:val="24"/>
          <w:szCs w:val="23"/>
          <w:lang w:val="es-PE"/>
        </w:rPr>
        <w:t>, asalto o</w:t>
      </w:r>
      <w:r w:rsidRPr="007206B0">
        <w:rPr>
          <w:rFonts w:ascii="Times New Roman" w:hAnsi="Times New Roman" w:cs="Times New Roman"/>
          <w:sz w:val="24"/>
          <w:szCs w:val="23"/>
          <w:lang w:val="es-PE"/>
        </w:rPr>
        <w:t xml:space="preserve"> secuestro, sino un hurto, según se desprende de l</w:t>
      </w:r>
      <w:r w:rsidR="000B5CDC" w:rsidRPr="007206B0">
        <w:rPr>
          <w:rFonts w:ascii="Times New Roman" w:hAnsi="Times New Roman" w:cs="Times New Roman"/>
          <w:sz w:val="24"/>
          <w:szCs w:val="23"/>
          <w:lang w:val="es-PE"/>
        </w:rPr>
        <w:t>os medios probatorios que obran en autos</w:t>
      </w:r>
      <w:r w:rsidRPr="007206B0">
        <w:rPr>
          <w:rFonts w:ascii="Times New Roman" w:hAnsi="Times New Roman" w:cs="Times New Roman"/>
          <w:sz w:val="24"/>
          <w:szCs w:val="23"/>
          <w:lang w:val="es-PE"/>
        </w:rPr>
        <w:t>. Asimismo, las operaciones no reconocidas —concretamente los retiros de efectivo realizados en cajeros automáticos y la solicitud de préstamo— no corresponden a consumos efectuados en establecimientos comerciales, por lo que no encajan dentro del ámbito de la cobertura mencionada.</w:t>
      </w:r>
    </w:p>
    <w:p w14:paraId="4E6161D1" w14:textId="1A9D9A28" w:rsidR="0088343A" w:rsidRPr="007206B0" w:rsidRDefault="0088343A"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lastRenderedPageBreak/>
        <w:t>Por otro lado, las alegaciones formuladas por el reclamante, referidas a que habría sido drogado por el conductor del vehículo, no han sido demostradas con medios probatorios idóneos que sustenten dicha versión. Este Colegiado resuelve conforme a derecho, valorando de manera objetiva y razonada los medios probatorios aportados por ambas partes</w:t>
      </w:r>
      <w:r w:rsidR="00943E72" w:rsidRPr="007206B0">
        <w:rPr>
          <w:rFonts w:ascii="Times New Roman" w:hAnsi="Times New Roman" w:cs="Times New Roman"/>
          <w:sz w:val="24"/>
          <w:szCs w:val="23"/>
          <w:lang w:val="es-PE"/>
        </w:rPr>
        <w:t>.</w:t>
      </w:r>
    </w:p>
    <w:p w14:paraId="08F26B9E" w14:textId="7C626D91" w:rsidR="0088343A" w:rsidRPr="007206B0" w:rsidRDefault="0088343A" w:rsidP="0088343A">
      <w:pPr>
        <w:spacing w:line="240" w:lineRule="auto"/>
        <w:jc w:val="both"/>
        <w:rPr>
          <w:rFonts w:ascii="Times New Roman" w:hAnsi="Times New Roman" w:cs="Times New Roman"/>
          <w:sz w:val="23"/>
          <w:szCs w:val="23"/>
          <w:lang w:val="es-PE"/>
        </w:rPr>
      </w:pPr>
      <w:r w:rsidRPr="007206B0">
        <w:rPr>
          <w:rFonts w:ascii="Times New Roman" w:hAnsi="Times New Roman" w:cs="Times New Roman"/>
          <w:sz w:val="24"/>
          <w:szCs w:val="23"/>
          <w:lang w:val="es-PE"/>
        </w:rPr>
        <w:t>En tal sentido, al no haberse acreditado el uso de violencia o intimidación contra el asegurado</w:t>
      </w:r>
      <w:r w:rsidR="00943E72" w:rsidRPr="007206B0">
        <w:rPr>
          <w:rFonts w:ascii="Times New Roman" w:hAnsi="Times New Roman" w:cs="Times New Roman"/>
          <w:sz w:val="24"/>
          <w:szCs w:val="23"/>
          <w:lang w:val="es-PE"/>
        </w:rPr>
        <w:t xml:space="preserve"> ni consumos en establecimientos comerciales,</w:t>
      </w:r>
      <w:r w:rsidRPr="007206B0">
        <w:rPr>
          <w:rFonts w:ascii="Times New Roman" w:hAnsi="Times New Roman" w:cs="Times New Roman"/>
          <w:sz w:val="24"/>
          <w:szCs w:val="23"/>
          <w:lang w:val="es-PE"/>
        </w:rPr>
        <w:t xml:space="preserve"> el evento denunciado no configura un siniestro cubierto, correspondiendo</w:t>
      </w:r>
      <w:r w:rsidR="00C3350F" w:rsidRPr="007206B0">
        <w:rPr>
          <w:rFonts w:ascii="Times New Roman" w:hAnsi="Times New Roman" w:cs="Times New Roman"/>
          <w:sz w:val="24"/>
          <w:szCs w:val="23"/>
          <w:lang w:val="es-PE"/>
        </w:rPr>
        <w:t xml:space="preserve"> a un hurto con retiros de dinero y solicitud de </w:t>
      </w:r>
      <w:r w:rsidR="007F461C" w:rsidRPr="007206B0">
        <w:rPr>
          <w:rFonts w:ascii="Times New Roman" w:hAnsi="Times New Roman" w:cs="Times New Roman"/>
          <w:sz w:val="24"/>
          <w:szCs w:val="23"/>
          <w:lang w:val="es-PE"/>
        </w:rPr>
        <w:t>préstamos</w:t>
      </w:r>
      <w:r w:rsidRPr="007206B0">
        <w:rPr>
          <w:rFonts w:ascii="Times New Roman" w:hAnsi="Times New Roman" w:cs="Times New Roman"/>
          <w:sz w:val="24"/>
          <w:szCs w:val="23"/>
          <w:lang w:val="es-PE"/>
        </w:rPr>
        <w:t>, lo cual se encuentra fuera del ámbito de cobertura previsto por la póliza.</w:t>
      </w:r>
    </w:p>
    <w:p w14:paraId="0EC2747A" w14:textId="77777777" w:rsidR="00C3350F" w:rsidRPr="007206B0" w:rsidRDefault="0045535C" w:rsidP="00A84D51">
      <w:pPr>
        <w:spacing w:line="240" w:lineRule="auto"/>
        <w:jc w:val="both"/>
        <w:rPr>
          <w:rFonts w:ascii="Times New Roman" w:hAnsi="Times New Roman" w:cs="Times New Roman"/>
          <w:b/>
          <w:bCs/>
          <w:sz w:val="23"/>
          <w:szCs w:val="23"/>
          <w:u w:val="single"/>
          <w:lang w:val="es-PE"/>
        </w:rPr>
      </w:pPr>
      <w:r w:rsidRPr="007206B0">
        <w:rPr>
          <w:rFonts w:ascii="Times New Roman" w:hAnsi="Times New Roman" w:cs="Times New Roman"/>
          <w:b/>
          <w:bCs/>
          <w:sz w:val="24"/>
          <w:szCs w:val="23"/>
          <w:u w:val="single"/>
          <w:lang w:val="es-PE"/>
        </w:rPr>
        <w:t>Sobre la configuración del siniestro consentido.</w:t>
      </w:r>
    </w:p>
    <w:p w14:paraId="2BAF5363" w14:textId="258F8A89" w:rsidR="00A84D51" w:rsidRPr="007206B0" w:rsidRDefault="0045535C" w:rsidP="00A84D51">
      <w:pPr>
        <w:spacing w:line="240" w:lineRule="auto"/>
        <w:jc w:val="both"/>
        <w:rPr>
          <w:rFonts w:ascii="Times New Roman" w:hAnsi="Times New Roman" w:cs="Times New Roman"/>
          <w:b/>
          <w:bCs/>
          <w:sz w:val="23"/>
          <w:szCs w:val="23"/>
          <w:u w:val="single"/>
          <w:lang w:val="es-PE"/>
        </w:rPr>
      </w:pPr>
      <w:r w:rsidRPr="007206B0">
        <w:rPr>
          <w:rFonts w:ascii="Times New Roman" w:hAnsi="Times New Roman" w:cs="Times New Roman"/>
          <w:bCs/>
          <w:sz w:val="24"/>
          <w:szCs w:val="23"/>
          <w:lang w:val="es-PE"/>
        </w:rPr>
        <w:br/>
      </w:r>
      <w:r w:rsidR="00A84D51" w:rsidRPr="007206B0">
        <w:rPr>
          <w:rFonts w:ascii="Times New Roman" w:hAnsi="Times New Roman" w:cs="Times New Roman"/>
          <w:bCs/>
          <w:sz w:val="24"/>
          <w:szCs w:val="23"/>
          <w:lang w:val="es-PE"/>
        </w:rPr>
        <w:t>Respecto a la alegación del reclamante de que la Compañía no emitió pronunciamiento dentro del plazo de treinta (30) días, cabe precisar que la figura del siniestro consentido presupone la existencia de un evento comprendido dentro de la cobertura.</w:t>
      </w:r>
    </w:p>
    <w:p w14:paraId="350D0D95" w14:textId="462864B0" w:rsidR="0041625E" w:rsidRPr="007206B0" w:rsidRDefault="00A84D51" w:rsidP="0045535C">
      <w:pPr>
        <w:spacing w:line="240" w:lineRule="auto"/>
        <w:jc w:val="both"/>
        <w:rPr>
          <w:rFonts w:ascii="Times New Roman" w:hAnsi="Times New Roman" w:cs="Times New Roman"/>
          <w:bCs/>
          <w:sz w:val="23"/>
          <w:szCs w:val="23"/>
          <w:lang w:val="es-PE"/>
        </w:rPr>
      </w:pPr>
      <w:r w:rsidRPr="007206B0">
        <w:rPr>
          <w:rFonts w:ascii="Times New Roman" w:hAnsi="Times New Roman" w:cs="Times New Roman"/>
          <w:bCs/>
          <w:sz w:val="24"/>
          <w:szCs w:val="23"/>
          <w:lang w:val="es-PE"/>
        </w:rPr>
        <w:t>En consecuencia, cuando el siniestro se refiere a un hecho que no constituye un riesgo amparado, la omisión o el retraso en el pronunciamiento no genera obligación de indemnizar. Así lo ha sostenido reiteradamente esta Defensoría, en el sentido de que el consentimiento del siniestro no puede operar sobre un hecho ajeno al riesgo asegurado.</w:t>
      </w:r>
    </w:p>
    <w:p w14:paraId="0E5F0017" w14:textId="2862249E" w:rsidR="008F6175" w:rsidRPr="007206B0" w:rsidRDefault="00A67190" w:rsidP="008F6175">
      <w:pPr>
        <w:spacing w:line="240" w:lineRule="auto"/>
        <w:jc w:val="both"/>
        <w:rPr>
          <w:rFonts w:ascii="Times New Roman" w:hAnsi="Times New Roman" w:cs="Times New Roman"/>
          <w:sz w:val="23"/>
          <w:szCs w:val="23"/>
          <w:lang w:val="es-PE"/>
        </w:rPr>
      </w:pPr>
      <w:r w:rsidRPr="007206B0">
        <w:rPr>
          <w:rFonts w:ascii="Times New Roman" w:hAnsi="Times New Roman" w:cs="Times New Roman"/>
          <w:b/>
          <w:sz w:val="24"/>
          <w:szCs w:val="23"/>
          <w:u w:val="single"/>
          <w:lang w:val="es-PE"/>
        </w:rPr>
        <w:t>SEXTO</w:t>
      </w:r>
      <w:r w:rsidR="008F6175" w:rsidRPr="007206B0">
        <w:rPr>
          <w:rFonts w:ascii="Times New Roman" w:hAnsi="Times New Roman" w:cs="Times New Roman"/>
          <w:b/>
          <w:sz w:val="24"/>
          <w:szCs w:val="23"/>
          <w:lang w:val="es-PE"/>
        </w:rPr>
        <w:t>:</w:t>
      </w:r>
      <w:r w:rsidR="008F6175" w:rsidRPr="007206B0">
        <w:rPr>
          <w:rFonts w:ascii="Times New Roman" w:hAnsi="Times New Roman" w:cs="Times New Roman"/>
          <w:sz w:val="24"/>
          <w:szCs w:val="23"/>
          <w:lang w:val="es-PE"/>
        </w:rPr>
        <w:t xml:space="preserve">  </w:t>
      </w:r>
      <w:r w:rsidR="008C11C5" w:rsidRPr="007206B0">
        <w:rPr>
          <w:rFonts w:ascii="Times New Roman" w:hAnsi="Times New Roman" w:cs="Times New Roman"/>
          <w:sz w:val="24"/>
          <w:szCs w:val="23"/>
          <w:lang w:val="es-PE"/>
        </w:rPr>
        <w:t>Por lo expuesto, este Colegiado aprecia finalmente que no se ha aportado suficiente prueba que conlleve a conclusiones distintas a las establecidas en la resolución materia de impugnación, por lo que no existe mérito ni razón objetiva para revocarla.</w:t>
      </w:r>
    </w:p>
    <w:p w14:paraId="42726A4B" w14:textId="77777777" w:rsidR="008F6175" w:rsidRPr="007206B0" w:rsidRDefault="008F6175" w:rsidP="008F6175">
      <w:pPr>
        <w:spacing w:line="240" w:lineRule="auto"/>
        <w:jc w:val="both"/>
        <w:rPr>
          <w:rFonts w:ascii="Times New Roman" w:hAnsi="Times New Roman" w:cs="Times New Roman"/>
          <w:b/>
          <w:sz w:val="23"/>
          <w:szCs w:val="23"/>
          <w:lang w:val="es-PE"/>
        </w:rPr>
      </w:pPr>
      <w:r w:rsidRPr="007206B0">
        <w:rPr>
          <w:rFonts w:ascii="Times New Roman" w:hAnsi="Times New Roman" w:cs="Times New Roman"/>
          <w:b/>
          <w:sz w:val="24"/>
          <w:szCs w:val="23"/>
          <w:lang w:val="es-PE"/>
        </w:rPr>
        <w:t>ATENDIENDO A LO EXPRESADO, CONFORME A SU REGLAMENTO, ESTE COLEGIADO RESUELVE:</w:t>
      </w:r>
    </w:p>
    <w:p w14:paraId="04AB0140" w14:textId="6FCE6830" w:rsidR="005D0F66" w:rsidRPr="007206B0" w:rsidRDefault="005D0F66" w:rsidP="005D0F66">
      <w:pPr>
        <w:pStyle w:val="Default"/>
        <w:spacing w:line="240" w:lineRule="auto"/>
        <w:jc w:val="both"/>
        <w:rPr>
          <w:rFonts w:ascii="Times New Roman" w:hAnsi="Times New Roman" w:cs="Times New Roman"/>
          <w:b/>
          <w:sz w:val="23"/>
          <w:szCs w:val="23"/>
        </w:rPr>
      </w:pPr>
      <w:r>
        <w:rPr>
          <w:rFonts w:ascii="Times New Roman" w:hAnsi="Times New Roman"/>
          <w:sz w:val="24"/>
        </w:rPr>
        <w:t xml:space="preserve">DECLARAR INFUNDADO el Recurso de Impugnación interpuesto por ………………… y, por consiguiente, CONFIRMAR la Resolución N° 214/24.</w:t>
      </w:r>
    </w:p>
    <w:p w14:paraId="066E0C16" w14:textId="77777777" w:rsidR="0000335D" w:rsidRPr="007206B0" w:rsidRDefault="0000335D" w:rsidP="0000335D">
      <w:pPr>
        <w:spacing w:after="0" w:line="240" w:lineRule="auto"/>
        <w:jc w:val="both"/>
        <w:rPr>
          <w:rFonts w:ascii="Times New Roman" w:eastAsia="Times New Roman" w:hAnsi="Times New Roman" w:cs="Times New Roman"/>
          <w:sz w:val="23"/>
          <w:szCs w:val="23"/>
          <w:lang w:val="es-PE" w:eastAsia="ar-SA"/>
        </w:rPr>
      </w:pPr>
    </w:p>
    <w:p w14:paraId="78A39B5B" w14:textId="12F5BA93" w:rsidR="00077B6F" w:rsidRPr="007206B0" w:rsidRDefault="0091528B" w:rsidP="00C671F5">
      <w:pPr>
        <w:suppressAutoHyphens/>
        <w:spacing w:after="0" w:line="240" w:lineRule="auto"/>
        <w:jc w:val="right"/>
        <w:outlineLvl w:val="0"/>
        <w:rPr>
          <w:rFonts w:ascii="Times New Roman" w:eastAsia="Arial Unicode MS" w:hAnsi="Times New Roman" w:cs="Times New Roman"/>
          <w:sz w:val="23"/>
          <w:szCs w:val="23"/>
          <w:lang w:val="es-PE" w:eastAsia="ar-SA"/>
        </w:rPr>
      </w:pPr>
      <w:r w:rsidRPr="007206B0">
        <w:rPr>
          <w:rFonts w:ascii="Times New Roman" w:eastAsia="Arial Unicode MS" w:hAnsi="Times New Roman" w:cs="Times New Roman"/>
          <w:sz w:val="24"/>
          <w:szCs w:val="23"/>
          <w:lang w:val="es-PE" w:eastAsia="ar-SA"/>
        </w:rPr>
        <w:t xml:space="preserve">Lima, </w:t>
      </w:r>
      <w:r w:rsidR="00F32B53" w:rsidRPr="007206B0">
        <w:rPr>
          <w:rFonts w:ascii="Times New Roman" w:eastAsia="Arial Unicode MS" w:hAnsi="Times New Roman" w:cs="Times New Roman"/>
          <w:sz w:val="24"/>
          <w:szCs w:val="23"/>
          <w:lang w:val="es-PE" w:eastAsia="ar-SA"/>
        </w:rPr>
        <w:t>11</w:t>
      </w:r>
      <w:r w:rsidR="00707C99" w:rsidRPr="007206B0">
        <w:rPr>
          <w:rFonts w:ascii="Times New Roman" w:eastAsia="Arial Unicode MS" w:hAnsi="Times New Roman" w:cs="Times New Roman"/>
          <w:sz w:val="24"/>
          <w:szCs w:val="23"/>
          <w:lang w:val="es-PE" w:eastAsia="ar-SA"/>
        </w:rPr>
        <w:t xml:space="preserve"> </w:t>
      </w:r>
      <w:proofErr w:type="gramStart"/>
      <w:r w:rsidR="00383AE6" w:rsidRPr="007206B0">
        <w:rPr>
          <w:rFonts w:ascii="Times New Roman" w:eastAsia="Arial Unicode MS" w:hAnsi="Times New Roman" w:cs="Times New Roman"/>
          <w:sz w:val="24"/>
          <w:szCs w:val="23"/>
          <w:lang w:val="es-PE" w:eastAsia="ar-SA"/>
        </w:rPr>
        <w:t xml:space="preserve">de </w:t>
      </w:r>
      <w:r w:rsidR="00A5182E" w:rsidRPr="007206B0">
        <w:rPr>
          <w:rFonts w:ascii="Times New Roman" w:eastAsia="Arial Unicode MS" w:hAnsi="Times New Roman" w:cs="Times New Roman"/>
          <w:sz w:val="24"/>
          <w:szCs w:val="23"/>
          <w:lang w:val="es-PE" w:eastAsia="ar-SA"/>
        </w:rPr>
        <w:t xml:space="preserve"> </w:t>
      </w:r>
      <w:r w:rsidR="007033F8" w:rsidRPr="007206B0">
        <w:rPr>
          <w:rFonts w:ascii="Times New Roman" w:eastAsia="Arial Unicode MS" w:hAnsi="Times New Roman" w:cs="Times New Roman"/>
          <w:sz w:val="24"/>
          <w:szCs w:val="23"/>
          <w:lang w:val="es-PE" w:eastAsia="ar-SA"/>
        </w:rPr>
        <w:t>noviembre</w:t>
      </w:r>
      <w:proofErr w:type="gramEnd"/>
      <w:r w:rsidR="00FC3FF7" w:rsidRPr="007206B0">
        <w:rPr>
          <w:rFonts w:ascii="Times New Roman" w:eastAsia="Arial Unicode MS" w:hAnsi="Times New Roman" w:cs="Times New Roman"/>
          <w:sz w:val="24"/>
          <w:szCs w:val="23"/>
          <w:lang w:val="es-PE" w:eastAsia="ar-SA"/>
        </w:rPr>
        <w:t xml:space="preserve"> </w:t>
      </w:r>
      <w:r w:rsidR="00F06498" w:rsidRPr="007206B0">
        <w:rPr>
          <w:rFonts w:ascii="Times New Roman" w:eastAsia="Arial Unicode MS" w:hAnsi="Times New Roman" w:cs="Times New Roman"/>
          <w:sz w:val="24"/>
          <w:szCs w:val="23"/>
          <w:lang w:val="es-PE" w:eastAsia="ar-SA"/>
        </w:rPr>
        <w:t>de 202</w:t>
      </w:r>
      <w:r w:rsidR="00A5182E" w:rsidRPr="007206B0">
        <w:rPr>
          <w:rFonts w:ascii="Times New Roman" w:eastAsia="Arial Unicode MS" w:hAnsi="Times New Roman" w:cs="Times New Roman"/>
          <w:sz w:val="24"/>
          <w:szCs w:val="23"/>
          <w:lang w:val="es-PE" w:eastAsia="ar-SA"/>
        </w:rPr>
        <w:t>5</w:t>
      </w:r>
    </w:p>
    <w:p w14:paraId="486C3F46" w14:textId="3443E457" w:rsidR="00C671F5" w:rsidRPr="007206B0" w:rsidRDefault="00C671F5" w:rsidP="00C671F5">
      <w:pPr>
        <w:suppressAutoHyphens/>
        <w:spacing w:after="0" w:line="240" w:lineRule="auto"/>
        <w:outlineLvl w:val="0"/>
        <w:rPr>
          <w:rFonts w:ascii="Times New Roman" w:eastAsia="Arial Unicode MS" w:hAnsi="Times New Roman" w:cs="Times New Roman"/>
          <w:sz w:val="23"/>
          <w:szCs w:val="23"/>
          <w:lang w:val="es-PE" w:eastAsia="ar-SA"/>
        </w:rPr>
      </w:pPr>
    </w:p>
    <w:p w14:paraId="2B9BAAC8" w14:textId="77777777" w:rsidR="00231C58" w:rsidRPr="007206B0" w:rsidRDefault="00231C58" w:rsidP="00C671F5">
      <w:pPr>
        <w:suppressAutoHyphens/>
        <w:spacing w:after="0" w:line="240" w:lineRule="auto"/>
        <w:outlineLvl w:val="0"/>
        <w:rPr>
          <w:rFonts w:ascii="Times New Roman" w:eastAsia="Times New Roman" w:hAnsi="Times New Roman" w:cs="Times New Roman"/>
          <w:sz w:val="23"/>
          <w:szCs w:val="23"/>
          <w:lang w:val="es-PE" w:eastAsia="ar-SA"/>
        </w:rPr>
      </w:pPr>
    </w:p>
    <w:p w14:paraId="562B45CE" w14:textId="77777777" w:rsidR="003C276A" w:rsidRPr="007206B0" w:rsidRDefault="003C276A" w:rsidP="003C276A">
      <w:pPr>
        <w:spacing w:after="0" w:line="240" w:lineRule="auto"/>
        <w:jc w:val="both"/>
        <w:rPr>
          <w:rFonts w:ascii="Times New Roman" w:hAnsi="Times New Roman" w:cs="Times New Roman"/>
          <w:b/>
          <w:bCs/>
          <w:i/>
          <w:iCs/>
          <w:sz w:val="23"/>
          <w:szCs w:val="23"/>
          <w:lang w:val="es-PE"/>
        </w:rPr>
      </w:pPr>
      <w:r w:rsidRPr="007206B0">
        <w:rPr>
          <w:rFonts w:ascii="Times New Roman" w:hAnsi="Times New Roman" w:cs="Times New Roman"/>
          <w:b/>
          <w:bCs/>
          <w:i/>
          <w:iCs/>
          <w:sz w:val="24"/>
          <w:szCs w:val="23"/>
          <w:lang w:val="es-PE"/>
        </w:rPr>
        <w:t>La Secretaría Técnica certifica que la presente resolución cuenta con el voto de los vocales cuyos nombres figuran en el presente documento.</w:t>
      </w:r>
    </w:p>
    <w:p w14:paraId="099C4B41" w14:textId="77777777" w:rsidR="002A0130" w:rsidRPr="007206B0" w:rsidRDefault="002A0130" w:rsidP="003C276A">
      <w:pPr>
        <w:spacing w:after="0" w:line="360" w:lineRule="auto"/>
        <w:jc w:val="both"/>
        <w:rPr>
          <w:rFonts w:ascii="Times New Roman" w:hAnsi="Times New Roman" w:cs="Times New Roman"/>
          <w:b/>
          <w:bCs/>
          <w:i/>
          <w:iCs/>
          <w:sz w:val="23"/>
          <w:szCs w:val="23"/>
          <w:lang w:val="es-PE"/>
        </w:rPr>
      </w:pPr>
    </w:p>
    <w:p w14:paraId="7455414B" w14:textId="12877BEC" w:rsidR="002A0130" w:rsidRPr="007206B0" w:rsidRDefault="007033F8" w:rsidP="002A0130">
      <w:pPr>
        <w:spacing w:line="360" w:lineRule="auto" w:after="0"/>
        <w:jc w:val="center"/>
        <w:rPr>
          <w:rFonts w:ascii="Times New Roman" w:hAnsi="Times New Roman" w:cs="Times New Roman"/>
          <w:b/>
          <w:bCs/>
          <w:sz w:val="23"/>
          <w:szCs w:val="23"/>
          <w:lang w:val="es-PE"/>
        </w:rPr>
      </w:pPr>
      <w:r w:rsidRPr="007206B0">
        <w:rPr>
          <w:rFonts w:ascii="Times New Roman" w:hAnsi="Times New Roman" w:cs="Times New Roman"/>
          <w:b/>
          <w:bCs/>
          <w:sz w:val="24"/>
          <w:szCs w:val="23"/>
          <w:lang w:val="es-PE"/>
        </w:rPr>
        <w:t xml:space="preserve">Antonio Rodríguez </w:t>
      </w:r>
      <w:proofErr w:type="spellStart"/>
      <w:r w:rsidRPr="007206B0">
        <w:rPr>
          <w:rFonts w:ascii="Times New Roman" w:hAnsi="Times New Roman" w:cs="Times New Roman"/>
          <w:b/>
          <w:bCs/>
          <w:sz w:val="24"/>
          <w:szCs w:val="23"/>
          <w:lang w:val="es-PE"/>
        </w:rPr>
        <w:t>Lobaton</w:t>
      </w:r>
      <w:proofErr w:type="spellEnd"/>
      <w:r w:rsidR="00FC3FF7" w:rsidRPr="007206B0">
        <w:rPr>
          <w:rFonts w:ascii="Times New Roman" w:hAnsi="Times New Roman" w:cs="Times New Roman"/>
          <w:b/>
          <w:bCs/>
          <w:sz w:val="24"/>
          <w:szCs w:val="23"/>
          <w:lang w:val="es-PE"/>
        </w:rPr>
        <w:t xml:space="preserve"> – </w:t>
      </w:r>
      <w:proofErr w:type="gramStart"/>
      <w:r w:rsidR="00830BA3" w:rsidRPr="007206B0">
        <w:rPr>
          <w:rFonts w:ascii="Times New Roman" w:hAnsi="Times New Roman" w:cs="Times New Roman"/>
          <w:b/>
          <w:bCs/>
          <w:sz w:val="24"/>
          <w:szCs w:val="23"/>
          <w:lang w:val="es-PE"/>
        </w:rPr>
        <w:t>Presidente</w:t>
      </w:r>
      <w:proofErr w:type="gramEnd"/>
    </w:p>
    <w:p w14:paraId="6F88F614" w14:textId="6711A622" w:rsidR="002A0130" w:rsidRPr="007206B0" w:rsidRDefault="002A0130" w:rsidP="002A0130">
      <w:pPr>
        <w:spacing w:line="360" w:lineRule="auto" w:after="0"/>
        <w:jc w:val="center"/>
        <w:rPr>
          <w:rFonts w:ascii="Times New Roman" w:hAnsi="Times New Roman" w:cs="Times New Roman"/>
          <w:b/>
          <w:bCs/>
          <w:sz w:val="23"/>
          <w:szCs w:val="23"/>
          <w:lang w:val="es-PE"/>
        </w:rPr>
      </w:pPr>
      <w:r w:rsidRPr="007206B0">
        <w:rPr>
          <w:rFonts w:ascii="Times New Roman" w:hAnsi="Times New Roman" w:cs="Times New Roman"/>
          <w:b/>
          <w:bCs/>
          <w:sz w:val="24"/>
          <w:szCs w:val="23"/>
          <w:lang w:val="es-PE"/>
        </w:rPr>
        <w:t xml:space="preserve">María Eugenia Valdez Fernández Baca – </w:t>
      </w:r>
      <w:r w:rsidR="00830BA3" w:rsidRPr="007206B0">
        <w:rPr>
          <w:rFonts w:ascii="Times New Roman" w:hAnsi="Times New Roman" w:cs="Times New Roman"/>
          <w:b/>
          <w:bCs/>
          <w:sz w:val="24"/>
          <w:szCs w:val="23"/>
          <w:lang w:val="es-PE"/>
        </w:rPr>
        <w:t>Vocal</w:t>
      </w:r>
    </w:p>
    <w:p w14:paraId="633FF2E1" w14:textId="54839A4A" w:rsidR="003C276A" w:rsidRPr="007206B0" w:rsidRDefault="007033F8" w:rsidP="003C276A">
      <w:pPr>
        <w:spacing w:line="360" w:lineRule="auto" w:after="0"/>
        <w:jc w:val="center"/>
        <w:rPr>
          <w:rFonts w:ascii="Times New Roman" w:hAnsi="Times New Roman" w:cs="Times New Roman"/>
          <w:sz w:val="23"/>
          <w:szCs w:val="23"/>
          <w:lang w:val="es-MX"/>
        </w:rPr>
      </w:pPr>
      <w:r w:rsidRPr="007206B0">
        <w:rPr>
          <w:rFonts w:ascii="Times New Roman" w:hAnsi="Times New Roman" w:cs="Times New Roman"/>
          <w:b/>
          <w:bCs/>
          <w:sz w:val="24"/>
          <w:szCs w:val="23"/>
          <w:lang w:val="es-PE"/>
        </w:rPr>
        <w:t xml:space="preserve">Rolando Eyzaguirre </w:t>
      </w:r>
      <w:proofErr w:type="spellStart"/>
      <w:r w:rsidRPr="007206B0">
        <w:rPr>
          <w:rFonts w:ascii="Times New Roman" w:hAnsi="Times New Roman" w:cs="Times New Roman"/>
          <w:b/>
          <w:bCs/>
          <w:sz w:val="24"/>
          <w:szCs w:val="23"/>
          <w:lang w:val="es-PE"/>
        </w:rPr>
        <w:t>Maccan</w:t>
      </w:r>
      <w:proofErr w:type="spellEnd"/>
      <w:r w:rsidRPr="007206B0">
        <w:rPr>
          <w:rFonts w:ascii="Times New Roman" w:hAnsi="Times New Roman" w:cs="Times New Roman"/>
          <w:b/>
          <w:bCs/>
          <w:sz w:val="24"/>
          <w:szCs w:val="23"/>
          <w:lang w:val="es-PE"/>
        </w:rPr>
        <w:t xml:space="preserve"> </w:t>
      </w:r>
      <w:r w:rsidR="003C276A" w:rsidRPr="007206B0">
        <w:rPr>
          <w:rFonts w:ascii="Times New Roman" w:hAnsi="Times New Roman" w:cs="Times New Roman"/>
          <w:b/>
          <w:bCs/>
          <w:sz w:val="24"/>
          <w:szCs w:val="23"/>
          <w:lang w:val="es-PE"/>
        </w:rPr>
        <w:t>- Vocal</w:t>
      </w:r>
    </w:p>
    <w:p w14:paraId="33E0FAB8" w14:textId="77777777" w:rsidR="00C671F5" w:rsidRPr="007206B0" w:rsidRDefault="00C671F5" w:rsidP="00C671F5">
      <w:pPr>
        <w:suppressAutoHyphens/>
        <w:spacing w:after="0" w:line="240" w:lineRule="auto"/>
        <w:outlineLvl w:val="0"/>
        <w:rPr>
          <w:rFonts w:ascii="Times New Roman" w:eastAsia="Arial Unicode MS" w:hAnsi="Times New Roman" w:cs="Times New Roman"/>
          <w:sz w:val="23"/>
          <w:szCs w:val="23"/>
          <w:lang w:val="es-MX" w:eastAsia="ar-SA"/>
        </w:rPr>
      </w:pPr>
    </w:p>
    <w:p w14:paraId="2C3A0205" w14:textId="77777777" w:rsidR="00C671F5" w:rsidRPr="008F6175" w:rsidRDefault="00C671F5" w:rsidP="00C671F5">
      <w:pPr>
        <w:spacing w:line="240" w:lineRule="auto"/>
        <w:rPr>
          <w:rFonts w:ascii="Times New Roman" w:eastAsia="Arial Unicode MS" w:hAnsi="Times New Roman" w:cs="Times New Roman"/>
          <w:sz w:val="24"/>
          <w:szCs w:val="24"/>
          <w:lang w:val="es-ES" w:eastAsia="ar-SA"/>
        </w:rPr>
      </w:pPr>
    </w:p>
    <w:sectPr w:rsidR="00C671F5" w:rsidRPr="008F617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B6B8D" w14:textId="77777777" w:rsidR="00565083" w:rsidRDefault="00565083" w:rsidP="00784355">
      <w:pPr>
        <w:spacing w:after="0" w:line="240" w:lineRule="auto"/>
      </w:pPr>
      <w:r>
        <w:separator/>
      </w:r>
    </w:p>
  </w:endnote>
  <w:endnote w:type="continuationSeparator" w:id="0">
    <w:p w14:paraId="441BC6C5" w14:textId="77777777" w:rsidR="00565083" w:rsidRDefault="00565083"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9225DD" w:rsidRDefault="00C671F5">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14:paraId="3BA05C52" w14:textId="77777777" w:rsidR="00784355" w:rsidRPr="009225DD"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FF386" w14:textId="77777777" w:rsidR="00565083" w:rsidRDefault="00565083" w:rsidP="00784355">
      <w:pPr>
        <w:spacing w:after="0" w:line="240" w:lineRule="auto"/>
      </w:pPr>
      <w:r>
        <w:separator/>
      </w:r>
    </w:p>
  </w:footnote>
  <w:footnote w:type="continuationSeparator" w:id="0">
    <w:p w14:paraId="4879FD0E" w14:textId="77777777" w:rsidR="00565083" w:rsidRDefault="00565083"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204C41"/>
    <w:multiLevelType w:val="multilevel"/>
    <w:tmpl w:val="3758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F22B0"/>
    <w:multiLevelType w:val="hybridMultilevel"/>
    <w:tmpl w:val="62361152"/>
    <w:lvl w:ilvl="0" w:tplc="49E09A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E547CB"/>
    <w:multiLevelType w:val="hybridMultilevel"/>
    <w:tmpl w:val="6D223018"/>
    <w:lvl w:ilvl="0" w:tplc="6810848C">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69B053D"/>
    <w:multiLevelType w:val="hybridMultilevel"/>
    <w:tmpl w:val="6ECE2FB8"/>
    <w:lvl w:ilvl="0" w:tplc="6A6E9CF8">
      <w:start w:val="1"/>
      <w:numFmt w:val="lowerRoman"/>
      <w:lvlText w:val="(%1)"/>
      <w:lvlJc w:val="left"/>
      <w:pPr>
        <w:ind w:left="1440" w:hanging="108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2F44E88"/>
    <w:multiLevelType w:val="hybridMultilevel"/>
    <w:tmpl w:val="80CA68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4BD41E5"/>
    <w:multiLevelType w:val="multilevel"/>
    <w:tmpl w:val="3C48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85066C5"/>
    <w:multiLevelType w:val="hybridMultilevel"/>
    <w:tmpl w:val="7DA6D3C6"/>
    <w:lvl w:ilvl="0" w:tplc="E5C68F0E">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73485288"/>
    <w:multiLevelType w:val="hybridMultilevel"/>
    <w:tmpl w:val="16DEA4AC"/>
    <w:lvl w:ilvl="0" w:tplc="43BA9F06">
      <w:start w:val="1"/>
      <w:numFmt w:val="lowerRoman"/>
      <w:lvlText w:val="(%1)"/>
      <w:lvlJc w:val="left"/>
      <w:pPr>
        <w:ind w:left="1080" w:hanging="720"/>
      </w:pPr>
      <w:rPr>
        <w:rFonts w:ascii="Times New Roman" w:hAnsi="Times New Roman" w:cs="Times New Roman"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088623508">
    <w:abstractNumId w:val="1"/>
  </w:num>
  <w:num w:numId="2" w16cid:durableId="314064985">
    <w:abstractNumId w:val="12"/>
  </w:num>
  <w:num w:numId="3" w16cid:durableId="852691207">
    <w:abstractNumId w:val="9"/>
  </w:num>
  <w:num w:numId="4" w16cid:durableId="28268131">
    <w:abstractNumId w:val="8"/>
  </w:num>
  <w:num w:numId="5" w16cid:durableId="110785780">
    <w:abstractNumId w:val="11"/>
  </w:num>
  <w:num w:numId="6" w16cid:durableId="443963034">
    <w:abstractNumId w:val="0"/>
  </w:num>
  <w:num w:numId="7" w16cid:durableId="581913718">
    <w:abstractNumId w:val="13"/>
  </w:num>
  <w:num w:numId="8" w16cid:durableId="1704209520">
    <w:abstractNumId w:val="14"/>
  </w:num>
  <w:num w:numId="9" w16cid:durableId="247988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435177">
    <w:abstractNumId w:val="5"/>
  </w:num>
  <w:num w:numId="11" w16cid:durableId="878511064">
    <w:abstractNumId w:val="2"/>
  </w:num>
  <w:num w:numId="12" w16cid:durableId="334504384">
    <w:abstractNumId w:val="10"/>
  </w:num>
  <w:num w:numId="13" w16cid:durableId="1638532284">
    <w:abstractNumId w:val="6"/>
  </w:num>
  <w:num w:numId="14" w16cid:durableId="675235113">
    <w:abstractNumId w:val="7"/>
  </w:num>
  <w:num w:numId="15" w16cid:durableId="387655436">
    <w:abstractNumId w:val="3"/>
  </w:num>
  <w:num w:numId="16" w16cid:durableId="177871646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5FF"/>
    <w:rsid w:val="00010987"/>
    <w:rsid w:val="00012612"/>
    <w:rsid w:val="00013057"/>
    <w:rsid w:val="000159CC"/>
    <w:rsid w:val="00015C22"/>
    <w:rsid w:val="000167E0"/>
    <w:rsid w:val="0002274F"/>
    <w:rsid w:val="000235E9"/>
    <w:rsid w:val="00025DEB"/>
    <w:rsid w:val="0002637D"/>
    <w:rsid w:val="0002733C"/>
    <w:rsid w:val="00027978"/>
    <w:rsid w:val="00035B80"/>
    <w:rsid w:val="0004480C"/>
    <w:rsid w:val="00047261"/>
    <w:rsid w:val="00050034"/>
    <w:rsid w:val="00050659"/>
    <w:rsid w:val="00053D16"/>
    <w:rsid w:val="0005504D"/>
    <w:rsid w:val="00055193"/>
    <w:rsid w:val="00056B81"/>
    <w:rsid w:val="00056D9F"/>
    <w:rsid w:val="00062BD6"/>
    <w:rsid w:val="00063183"/>
    <w:rsid w:val="00064A99"/>
    <w:rsid w:val="0006548C"/>
    <w:rsid w:val="0006754B"/>
    <w:rsid w:val="000678D8"/>
    <w:rsid w:val="00070DB6"/>
    <w:rsid w:val="00071A25"/>
    <w:rsid w:val="00076E73"/>
    <w:rsid w:val="00077B6F"/>
    <w:rsid w:val="00080A9A"/>
    <w:rsid w:val="000822C7"/>
    <w:rsid w:val="000835CB"/>
    <w:rsid w:val="00083D69"/>
    <w:rsid w:val="00083F50"/>
    <w:rsid w:val="00084148"/>
    <w:rsid w:val="00092684"/>
    <w:rsid w:val="00097A6F"/>
    <w:rsid w:val="000A5666"/>
    <w:rsid w:val="000A5921"/>
    <w:rsid w:val="000A5CAA"/>
    <w:rsid w:val="000B06DD"/>
    <w:rsid w:val="000B19A0"/>
    <w:rsid w:val="000B24D9"/>
    <w:rsid w:val="000B3DA1"/>
    <w:rsid w:val="000B4A6A"/>
    <w:rsid w:val="000B58D8"/>
    <w:rsid w:val="000B5CDC"/>
    <w:rsid w:val="000B6F96"/>
    <w:rsid w:val="000C0734"/>
    <w:rsid w:val="000E0D38"/>
    <w:rsid w:val="000E33D6"/>
    <w:rsid w:val="000E49FC"/>
    <w:rsid w:val="000F6340"/>
    <w:rsid w:val="00103D74"/>
    <w:rsid w:val="0010485B"/>
    <w:rsid w:val="00107167"/>
    <w:rsid w:val="00112DA8"/>
    <w:rsid w:val="00112E4C"/>
    <w:rsid w:val="0011308C"/>
    <w:rsid w:val="001143D4"/>
    <w:rsid w:val="001169F9"/>
    <w:rsid w:val="001233F2"/>
    <w:rsid w:val="00125B9B"/>
    <w:rsid w:val="0013120D"/>
    <w:rsid w:val="001320DF"/>
    <w:rsid w:val="00133085"/>
    <w:rsid w:val="001347AE"/>
    <w:rsid w:val="00136E12"/>
    <w:rsid w:val="0013714D"/>
    <w:rsid w:val="001373AF"/>
    <w:rsid w:val="001377EF"/>
    <w:rsid w:val="00141827"/>
    <w:rsid w:val="00150874"/>
    <w:rsid w:val="001508BC"/>
    <w:rsid w:val="001529FE"/>
    <w:rsid w:val="001625DE"/>
    <w:rsid w:val="001626F3"/>
    <w:rsid w:val="00164739"/>
    <w:rsid w:val="00165B3A"/>
    <w:rsid w:val="001703D8"/>
    <w:rsid w:val="00170E39"/>
    <w:rsid w:val="00174918"/>
    <w:rsid w:val="00174DA5"/>
    <w:rsid w:val="001757E3"/>
    <w:rsid w:val="001767EE"/>
    <w:rsid w:val="00181908"/>
    <w:rsid w:val="00181DCE"/>
    <w:rsid w:val="00182B4A"/>
    <w:rsid w:val="00185B32"/>
    <w:rsid w:val="00187BFD"/>
    <w:rsid w:val="0019649B"/>
    <w:rsid w:val="001966B6"/>
    <w:rsid w:val="001A008A"/>
    <w:rsid w:val="001A3395"/>
    <w:rsid w:val="001A44E1"/>
    <w:rsid w:val="001B1E59"/>
    <w:rsid w:val="001B58A3"/>
    <w:rsid w:val="001C2F48"/>
    <w:rsid w:val="001C4628"/>
    <w:rsid w:val="001D0EED"/>
    <w:rsid w:val="001D24DA"/>
    <w:rsid w:val="001D59D9"/>
    <w:rsid w:val="001D6136"/>
    <w:rsid w:val="001E119C"/>
    <w:rsid w:val="001E3B18"/>
    <w:rsid w:val="001E4337"/>
    <w:rsid w:val="001E4554"/>
    <w:rsid w:val="001E5E1A"/>
    <w:rsid w:val="001E64B0"/>
    <w:rsid w:val="001E65C9"/>
    <w:rsid w:val="001E673E"/>
    <w:rsid w:val="001E72CE"/>
    <w:rsid w:val="001F1B02"/>
    <w:rsid w:val="001F29A6"/>
    <w:rsid w:val="00201C0D"/>
    <w:rsid w:val="00202BE5"/>
    <w:rsid w:val="00204407"/>
    <w:rsid w:val="0020749F"/>
    <w:rsid w:val="002108AD"/>
    <w:rsid w:val="00211172"/>
    <w:rsid w:val="00211977"/>
    <w:rsid w:val="002130B0"/>
    <w:rsid w:val="0021627D"/>
    <w:rsid w:val="00220941"/>
    <w:rsid w:val="00221FEF"/>
    <w:rsid w:val="0022459C"/>
    <w:rsid w:val="00225288"/>
    <w:rsid w:val="00227D02"/>
    <w:rsid w:val="002300E1"/>
    <w:rsid w:val="00231C58"/>
    <w:rsid w:val="002331C3"/>
    <w:rsid w:val="00233857"/>
    <w:rsid w:val="00241719"/>
    <w:rsid w:val="00243F57"/>
    <w:rsid w:val="00243F6B"/>
    <w:rsid w:val="0024471E"/>
    <w:rsid w:val="00253752"/>
    <w:rsid w:val="002547E1"/>
    <w:rsid w:val="00254D07"/>
    <w:rsid w:val="002616A2"/>
    <w:rsid w:val="00266105"/>
    <w:rsid w:val="00270F86"/>
    <w:rsid w:val="0027261F"/>
    <w:rsid w:val="00272F4F"/>
    <w:rsid w:val="0027301E"/>
    <w:rsid w:val="00274985"/>
    <w:rsid w:val="002768C6"/>
    <w:rsid w:val="00276A92"/>
    <w:rsid w:val="00277667"/>
    <w:rsid w:val="00280CE6"/>
    <w:rsid w:val="00290CA4"/>
    <w:rsid w:val="002924B1"/>
    <w:rsid w:val="00292DF9"/>
    <w:rsid w:val="002A0130"/>
    <w:rsid w:val="002A31D3"/>
    <w:rsid w:val="002A7519"/>
    <w:rsid w:val="002A7E2E"/>
    <w:rsid w:val="002B474B"/>
    <w:rsid w:val="002B726E"/>
    <w:rsid w:val="002C0041"/>
    <w:rsid w:val="002C0286"/>
    <w:rsid w:val="002C2800"/>
    <w:rsid w:val="002C2A0F"/>
    <w:rsid w:val="002C4801"/>
    <w:rsid w:val="002D0DB0"/>
    <w:rsid w:val="002D1FCD"/>
    <w:rsid w:val="002D3B01"/>
    <w:rsid w:val="002E1221"/>
    <w:rsid w:val="002E17F9"/>
    <w:rsid w:val="002E2E7B"/>
    <w:rsid w:val="002E332F"/>
    <w:rsid w:val="002E47EA"/>
    <w:rsid w:val="002F09CA"/>
    <w:rsid w:val="002F0B71"/>
    <w:rsid w:val="002F35F0"/>
    <w:rsid w:val="00300116"/>
    <w:rsid w:val="003028AF"/>
    <w:rsid w:val="003045E3"/>
    <w:rsid w:val="00316103"/>
    <w:rsid w:val="0032132E"/>
    <w:rsid w:val="003253DA"/>
    <w:rsid w:val="0032580B"/>
    <w:rsid w:val="00331DA3"/>
    <w:rsid w:val="00333EA2"/>
    <w:rsid w:val="0033413E"/>
    <w:rsid w:val="00340E4B"/>
    <w:rsid w:val="00340EDA"/>
    <w:rsid w:val="00341989"/>
    <w:rsid w:val="00342A1C"/>
    <w:rsid w:val="00345DF0"/>
    <w:rsid w:val="00345F7F"/>
    <w:rsid w:val="00347D7E"/>
    <w:rsid w:val="003501B2"/>
    <w:rsid w:val="00350A6F"/>
    <w:rsid w:val="00353092"/>
    <w:rsid w:val="003544B1"/>
    <w:rsid w:val="00357D70"/>
    <w:rsid w:val="00362449"/>
    <w:rsid w:val="00364E0F"/>
    <w:rsid w:val="00365F9D"/>
    <w:rsid w:val="00366842"/>
    <w:rsid w:val="00367292"/>
    <w:rsid w:val="00367746"/>
    <w:rsid w:val="00371A30"/>
    <w:rsid w:val="003732C7"/>
    <w:rsid w:val="00373C06"/>
    <w:rsid w:val="0038290F"/>
    <w:rsid w:val="00383262"/>
    <w:rsid w:val="00383AE6"/>
    <w:rsid w:val="0038751C"/>
    <w:rsid w:val="00391F72"/>
    <w:rsid w:val="00392259"/>
    <w:rsid w:val="00395395"/>
    <w:rsid w:val="003A2B40"/>
    <w:rsid w:val="003A3F8C"/>
    <w:rsid w:val="003A50C3"/>
    <w:rsid w:val="003A6451"/>
    <w:rsid w:val="003A6A43"/>
    <w:rsid w:val="003B348C"/>
    <w:rsid w:val="003B3512"/>
    <w:rsid w:val="003B3A93"/>
    <w:rsid w:val="003B41F7"/>
    <w:rsid w:val="003B798E"/>
    <w:rsid w:val="003C168C"/>
    <w:rsid w:val="003C23C4"/>
    <w:rsid w:val="003C276A"/>
    <w:rsid w:val="003C27C8"/>
    <w:rsid w:val="003C7CFB"/>
    <w:rsid w:val="003C7FAE"/>
    <w:rsid w:val="003D09A9"/>
    <w:rsid w:val="003D4684"/>
    <w:rsid w:val="003D4687"/>
    <w:rsid w:val="003D64A9"/>
    <w:rsid w:val="003D69C2"/>
    <w:rsid w:val="003E0CC2"/>
    <w:rsid w:val="003E14F8"/>
    <w:rsid w:val="003E450C"/>
    <w:rsid w:val="003F0C97"/>
    <w:rsid w:val="003F0CD8"/>
    <w:rsid w:val="003F1149"/>
    <w:rsid w:val="003F1B5F"/>
    <w:rsid w:val="003F229E"/>
    <w:rsid w:val="003F3254"/>
    <w:rsid w:val="004009B2"/>
    <w:rsid w:val="004018F8"/>
    <w:rsid w:val="00403814"/>
    <w:rsid w:val="00403B81"/>
    <w:rsid w:val="004049B9"/>
    <w:rsid w:val="00413707"/>
    <w:rsid w:val="00415D80"/>
    <w:rsid w:val="0041625E"/>
    <w:rsid w:val="00417E23"/>
    <w:rsid w:val="004255C4"/>
    <w:rsid w:val="00425D74"/>
    <w:rsid w:val="00425F75"/>
    <w:rsid w:val="004332B6"/>
    <w:rsid w:val="00434D9C"/>
    <w:rsid w:val="0043702D"/>
    <w:rsid w:val="00440145"/>
    <w:rsid w:val="00440BC2"/>
    <w:rsid w:val="00442DCB"/>
    <w:rsid w:val="00444232"/>
    <w:rsid w:val="0044549D"/>
    <w:rsid w:val="00445BDB"/>
    <w:rsid w:val="00446A96"/>
    <w:rsid w:val="00450392"/>
    <w:rsid w:val="0045535C"/>
    <w:rsid w:val="00460C30"/>
    <w:rsid w:val="00465FB9"/>
    <w:rsid w:val="00466302"/>
    <w:rsid w:val="0047370C"/>
    <w:rsid w:val="0047522D"/>
    <w:rsid w:val="00476BA1"/>
    <w:rsid w:val="00481AFA"/>
    <w:rsid w:val="00484E55"/>
    <w:rsid w:val="00485F43"/>
    <w:rsid w:val="00490F9F"/>
    <w:rsid w:val="00496A1A"/>
    <w:rsid w:val="004A0CED"/>
    <w:rsid w:val="004A1330"/>
    <w:rsid w:val="004A3E25"/>
    <w:rsid w:val="004A5D6D"/>
    <w:rsid w:val="004A6E75"/>
    <w:rsid w:val="004B1CA1"/>
    <w:rsid w:val="004B51ED"/>
    <w:rsid w:val="004B7193"/>
    <w:rsid w:val="004C51EC"/>
    <w:rsid w:val="004C5A91"/>
    <w:rsid w:val="004C5F6B"/>
    <w:rsid w:val="004E1493"/>
    <w:rsid w:val="004E49CA"/>
    <w:rsid w:val="004E65DD"/>
    <w:rsid w:val="004E74E9"/>
    <w:rsid w:val="004E79A7"/>
    <w:rsid w:val="004E7B47"/>
    <w:rsid w:val="004E7E3D"/>
    <w:rsid w:val="004F549E"/>
    <w:rsid w:val="004F6C8B"/>
    <w:rsid w:val="00500EE1"/>
    <w:rsid w:val="005025EA"/>
    <w:rsid w:val="005038D1"/>
    <w:rsid w:val="00504C79"/>
    <w:rsid w:val="00505C8C"/>
    <w:rsid w:val="00513C19"/>
    <w:rsid w:val="005147C4"/>
    <w:rsid w:val="00517F35"/>
    <w:rsid w:val="005201E9"/>
    <w:rsid w:val="00521B4C"/>
    <w:rsid w:val="00522E2A"/>
    <w:rsid w:val="005259E7"/>
    <w:rsid w:val="00525AFB"/>
    <w:rsid w:val="005265A5"/>
    <w:rsid w:val="00527B27"/>
    <w:rsid w:val="00531365"/>
    <w:rsid w:val="005316B2"/>
    <w:rsid w:val="00531BEE"/>
    <w:rsid w:val="005323A2"/>
    <w:rsid w:val="0053470F"/>
    <w:rsid w:val="00535473"/>
    <w:rsid w:val="00536F1C"/>
    <w:rsid w:val="00537DBF"/>
    <w:rsid w:val="0054073A"/>
    <w:rsid w:val="00540F01"/>
    <w:rsid w:val="00540F89"/>
    <w:rsid w:val="00544BFC"/>
    <w:rsid w:val="005479AC"/>
    <w:rsid w:val="00547EE5"/>
    <w:rsid w:val="00550CD6"/>
    <w:rsid w:val="005565A5"/>
    <w:rsid w:val="00560916"/>
    <w:rsid w:val="00561520"/>
    <w:rsid w:val="00562238"/>
    <w:rsid w:val="00565083"/>
    <w:rsid w:val="00565113"/>
    <w:rsid w:val="00566021"/>
    <w:rsid w:val="00567DEC"/>
    <w:rsid w:val="0057035B"/>
    <w:rsid w:val="0057089D"/>
    <w:rsid w:val="00574FD0"/>
    <w:rsid w:val="00577C29"/>
    <w:rsid w:val="005818E3"/>
    <w:rsid w:val="00582D26"/>
    <w:rsid w:val="0058358B"/>
    <w:rsid w:val="00583A87"/>
    <w:rsid w:val="00585261"/>
    <w:rsid w:val="00585D65"/>
    <w:rsid w:val="0059150F"/>
    <w:rsid w:val="00591C3C"/>
    <w:rsid w:val="00592D3C"/>
    <w:rsid w:val="00594564"/>
    <w:rsid w:val="005948EF"/>
    <w:rsid w:val="00597430"/>
    <w:rsid w:val="005A0B70"/>
    <w:rsid w:val="005A26A6"/>
    <w:rsid w:val="005A782D"/>
    <w:rsid w:val="005A7E5B"/>
    <w:rsid w:val="005B2924"/>
    <w:rsid w:val="005B3DFF"/>
    <w:rsid w:val="005C524E"/>
    <w:rsid w:val="005C5AB9"/>
    <w:rsid w:val="005D0081"/>
    <w:rsid w:val="005D02F1"/>
    <w:rsid w:val="005D0F66"/>
    <w:rsid w:val="005D1D7B"/>
    <w:rsid w:val="005D1EBE"/>
    <w:rsid w:val="005D3E68"/>
    <w:rsid w:val="005D58DA"/>
    <w:rsid w:val="005D7D46"/>
    <w:rsid w:val="005E0EC2"/>
    <w:rsid w:val="005E21D2"/>
    <w:rsid w:val="005E2CBE"/>
    <w:rsid w:val="005E4870"/>
    <w:rsid w:val="005F1F2D"/>
    <w:rsid w:val="005F3C55"/>
    <w:rsid w:val="005F4C97"/>
    <w:rsid w:val="005F4FF1"/>
    <w:rsid w:val="00604606"/>
    <w:rsid w:val="0060496E"/>
    <w:rsid w:val="00604EAC"/>
    <w:rsid w:val="00605902"/>
    <w:rsid w:val="00606105"/>
    <w:rsid w:val="006118FF"/>
    <w:rsid w:val="00612C36"/>
    <w:rsid w:val="00613A39"/>
    <w:rsid w:val="006228E6"/>
    <w:rsid w:val="00622ABC"/>
    <w:rsid w:val="00623204"/>
    <w:rsid w:val="0062402F"/>
    <w:rsid w:val="00624034"/>
    <w:rsid w:val="00627E35"/>
    <w:rsid w:val="00640BA4"/>
    <w:rsid w:val="0064134A"/>
    <w:rsid w:val="006442E0"/>
    <w:rsid w:val="0064607A"/>
    <w:rsid w:val="00652672"/>
    <w:rsid w:val="0065542B"/>
    <w:rsid w:val="0065594D"/>
    <w:rsid w:val="00655A90"/>
    <w:rsid w:val="00655BA3"/>
    <w:rsid w:val="006560C7"/>
    <w:rsid w:val="00657AD2"/>
    <w:rsid w:val="00660BD9"/>
    <w:rsid w:val="00660E35"/>
    <w:rsid w:val="00660FD2"/>
    <w:rsid w:val="00663AAE"/>
    <w:rsid w:val="00663E76"/>
    <w:rsid w:val="00671DB5"/>
    <w:rsid w:val="00676137"/>
    <w:rsid w:val="00680D8A"/>
    <w:rsid w:val="0068142C"/>
    <w:rsid w:val="0068228B"/>
    <w:rsid w:val="006844EF"/>
    <w:rsid w:val="00685214"/>
    <w:rsid w:val="006862C9"/>
    <w:rsid w:val="00686BB2"/>
    <w:rsid w:val="00687555"/>
    <w:rsid w:val="006878E1"/>
    <w:rsid w:val="0069304A"/>
    <w:rsid w:val="00697D6C"/>
    <w:rsid w:val="006A1FC6"/>
    <w:rsid w:val="006B5CAE"/>
    <w:rsid w:val="006B76A4"/>
    <w:rsid w:val="006C1A65"/>
    <w:rsid w:val="006C1A7D"/>
    <w:rsid w:val="006C29A7"/>
    <w:rsid w:val="006C6261"/>
    <w:rsid w:val="006C6F36"/>
    <w:rsid w:val="006C71F6"/>
    <w:rsid w:val="006D2BA9"/>
    <w:rsid w:val="006D397E"/>
    <w:rsid w:val="006E0527"/>
    <w:rsid w:val="006E08BC"/>
    <w:rsid w:val="006E0DF8"/>
    <w:rsid w:val="006E2366"/>
    <w:rsid w:val="006E4547"/>
    <w:rsid w:val="006E605A"/>
    <w:rsid w:val="006F2E7E"/>
    <w:rsid w:val="006F36EF"/>
    <w:rsid w:val="006F47A8"/>
    <w:rsid w:val="006F4986"/>
    <w:rsid w:val="006F6F34"/>
    <w:rsid w:val="0070030F"/>
    <w:rsid w:val="00701598"/>
    <w:rsid w:val="00701893"/>
    <w:rsid w:val="007033F8"/>
    <w:rsid w:val="00703430"/>
    <w:rsid w:val="00704A95"/>
    <w:rsid w:val="00706392"/>
    <w:rsid w:val="00706EB2"/>
    <w:rsid w:val="00707C99"/>
    <w:rsid w:val="007176E0"/>
    <w:rsid w:val="0072050F"/>
    <w:rsid w:val="007206B0"/>
    <w:rsid w:val="00720DBC"/>
    <w:rsid w:val="00721B59"/>
    <w:rsid w:val="0072240A"/>
    <w:rsid w:val="00724C9A"/>
    <w:rsid w:val="007261FD"/>
    <w:rsid w:val="00726664"/>
    <w:rsid w:val="007300C4"/>
    <w:rsid w:val="00732CF0"/>
    <w:rsid w:val="00733A60"/>
    <w:rsid w:val="007434BA"/>
    <w:rsid w:val="00744447"/>
    <w:rsid w:val="007473E5"/>
    <w:rsid w:val="0075080D"/>
    <w:rsid w:val="007514AD"/>
    <w:rsid w:val="00754DAC"/>
    <w:rsid w:val="00755C2C"/>
    <w:rsid w:val="0075750E"/>
    <w:rsid w:val="007703E9"/>
    <w:rsid w:val="007708AB"/>
    <w:rsid w:val="00771625"/>
    <w:rsid w:val="00772232"/>
    <w:rsid w:val="00772DDB"/>
    <w:rsid w:val="00781235"/>
    <w:rsid w:val="00782721"/>
    <w:rsid w:val="00784355"/>
    <w:rsid w:val="007906AF"/>
    <w:rsid w:val="00794424"/>
    <w:rsid w:val="007950DD"/>
    <w:rsid w:val="00795458"/>
    <w:rsid w:val="007955BD"/>
    <w:rsid w:val="007965C0"/>
    <w:rsid w:val="007A09BB"/>
    <w:rsid w:val="007A4108"/>
    <w:rsid w:val="007A4EA9"/>
    <w:rsid w:val="007A7CDD"/>
    <w:rsid w:val="007A7D8A"/>
    <w:rsid w:val="007A7F95"/>
    <w:rsid w:val="007B1018"/>
    <w:rsid w:val="007C14D0"/>
    <w:rsid w:val="007C213D"/>
    <w:rsid w:val="007C41EA"/>
    <w:rsid w:val="007C69FE"/>
    <w:rsid w:val="007D13E3"/>
    <w:rsid w:val="007D13F3"/>
    <w:rsid w:val="007D153A"/>
    <w:rsid w:val="007D39D3"/>
    <w:rsid w:val="007D5AE6"/>
    <w:rsid w:val="007D5BB1"/>
    <w:rsid w:val="007D7213"/>
    <w:rsid w:val="007E0338"/>
    <w:rsid w:val="007E1EBE"/>
    <w:rsid w:val="007E5917"/>
    <w:rsid w:val="007E670D"/>
    <w:rsid w:val="007F461C"/>
    <w:rsid w:val="007F74F1"/>
    <w:rsid w:val="008010D0"/>
    <w:rsid w:val="008020A1"/>
    <w:rsid w:val="008032C7"/>
    <w:rsid w:val="008138F8"/>
    <w:rsid w:val="00816B3F"/>
    <w:rsid w:val="0081754D"/>
    <w:rsid w:val="008177B9"/>
    <w:rsid w:val="00821801"/>
    <w:rsid w:val="00821DED"/>
    <w:rsid w:val="00822EBF"/>
    <w:rsid w:val="00830BA3"/>
    <w:rsid w:val="00834478"/>
    <w:rsid w:val="00836831"/>
    <w:rsid w:val="00836C72"/>
    <w:rsid w:val="00837DDE"/>
    <w:rsid w:val="00840953"/>
    <w:rsid w:val="0084119E"/>
    <w:rsid w:val="008465B5"/>
    <w:rsid w:val="008523F5"/>
    <w:rsid w:val="008548F9"/>
    <w:rsid w:val="0085503C"/>
    <w:rsid w:val="0085575C"/>
    <w:rsid w:val="008557A3"/>
    <w:rsid w:val="0085791F"/>
    <w:rsid w:val="00857988"/>
    <w:rsid w:val="00860AB8"/>
    <w:rsid w:val="008622B5"/>
    <w:rsid w:val="0086244F"/>
    <w:rsid w:val="00863FCE"/>
    <w:rsid w:val="00871F40"/>
    <w:rsid w:val="00874F7E"/>
    <w:rsid w:val="00880B61"/>
    <w:rsid w:val="00883121"/>
    <w:rsid w:val="0088343A"/>
    <w:rsid w:val="008837D0"/>
    <w:rsid w:val="0088392F"/>
    <w:rsid w:val="00883B7E"/>
    <w:rsid w:val="00883D6E"/>
    <w:rsid w:val="00884426"/>
    <w:rsid w:val="00886D60"/>
    <w:rsid w:val="00887814"/>
    <w:rsid w:val="008916FF"/>
    <w:rsid w:val="00891DB3"/>
    <w:rsid w:val="00891E82"/>
    <w:rsid w:val="00895A85"/>
    <w:rsid w:val="008A1D12"/>
    <w:rsid w:val="008A3A47"/>
    <w:rsid w:val="008B0DE4"/>
    <w:rsid w:val="008C11C5"/>
    <w:rsid w:val="008C5B7C"/>
    <w:rsid w:val="008D0B62"/>
    <w:rsid w:val="008D4FAC"/>
    <w:rsid w:val="008D6DDF"/>
    <w:rsid w:val="008D6FF4"/>
    <w:rsid w:val="008E4614"/>
    <w:rsid w:val="008F1161"/>
    <w:rsid w:val="008F256D"/>
    <w:rsid w:val="008F479E"/>
    <w:rsid w:val="008F6175"/>
    <w:rsid w:val="008F7C83"/>
    <w:rsid w:val="009011F1"/>
    <w:rsid w:val="009016A5"/>
    <w:rsid w:val="009037E8"/>
    <w:rsid w:val="00903D7D"/>
    <w:rsid w:val="009127A6"/>
    <w:rsid w:val="0091528B"/>
    <w:rsid w:val="009157B1"/>
    <w:rsid w:val="00917CAF"/>
    <w:rsid w:val="009225DD"/>
    <w:rsid w:val="009272D7"/>
    <w:rsid w:val="009319B6"/>
    <w:rsid w:val="00933532"/>
    <w:rsid w:val="00935901"/>
    <w:rsid w:val="00935DF2"/>
    <w:rsid w:val="00943343"/>
    <w:rsid w:val="00943E72"/>
    <w:rsid w:val="00946694"/>
    <w:rsid w:val="00950A9B"/>
    <w:rsid w:val="00951B99"/>
    <w:rsid w:val="009539C9"/>
    <w:rsid w:val="00955C03"/>
    <w:rsid w:val="00964237"/>
    <w:rsid w:val="00966813"/>
    <w:rsid w:val="00966AEB"/>
    <w:rsid w:val="00967B16"/>
    <w:rsid w:val="0097301B"/>
    <w:rsid w:val="00974D2D"/>
    <w:rsid w:val="009754DD"/>
    <w:rsid w:val="00986A55"/>
    <w:rsid w:val="00987B8B"/>
    <w:rsid w:val="00987C4D"/>
    <w:rsid w:val="00994234"/>
    <w:rsid w:val="00997863"/>
    <w:rsid w:val="009A18E5"/>
    <w:rsid w:val="009A5B27"/>
    <w:rsid w:val="009A6404"/>
    <w:rsid w:val="009A701F"/>
    <w:rsid w:val="009A7E68"/>
    <w:rsid w:val="009B0538"/>
    <w:rsid w:val="009B29C9"/>
    <w:rsid w:val="009B4291"/>
    <w:rsid w:val="009C1066"/>
    <w:rsid w:val="009C1372"/>
    <w:rsid w:val="009C5373"/>
    <w:rsid w:val="009C6404"/>
    <w:rsid w:val="009D3B98"/>
    <w:rsid w:val="009D6055"/>
    <w:rsid w:val="009E5F11"/>
    <w:rsid w:val="009E7994"/>
    <w:rsid w:val="009F143B"/>
    <w:rsid w:val="009F299E"/>
    <w:rsid w:val="009F2EEB"/>
    <w:rsid w:val="00A02270"/>
    <w:rsid w:val="00A0362B"/>
    <w:rsid w:val="00A077D2"/>
    <w:rsid w:val="00A16942"/>
    <w:rsid w:val="00A1708E"/>
    <w:rsid w:val="00A17A72"/>
    <w:rsid w:val="00A25BA2"/>
    <w:rsid w:val="00A25F51"/>
    <w:rsid w:val="00A272DC"/>
    <w:rsid w:val="00A30393"/>
    <w:rsid w:val="00A30563"/>
    <w:rsid w:val="00A30FE6"/>
    <w:rsid w:val="00A32246"/>
    <w:rsid w:val="00A328C0"/>
    <w:rsid w:val="00A3714C"/>
    <w:rsid w:val="00A427D6"/>
    <w:rsid w:val="00A44564"/>
    <w:rsid w:val="00A44E53"/>
    <w:rsid w:val="00A46044"/>
    <w:rsid w:val="00A46E96"/>
    <w:rsid w:val="00A5080E"/>
    <w:rsid w:val="00A5182E"/>
    <w:rsid w:val="00A52030"/>
    <w:rsid w:val="00A57F06"/>
    <w:rsid w:val="00A62BEC"/>
    <w:rsid w:val="00A658C1"/>
    <w:rsid w:val="00A67190"/>
    <w:rsid w:val="00A723F1"/>
    <w:rsid w:val="00A734AD"/>
    <w:rsid w:val="00A80844"/>
    <w:rsid w:val="00A837A0"/>
    <w:rsid w:val="00A84972"/>
    <w:rsid w:val="00A84D51"/>
    <w:rsid w:val="00A90926"/>
    <w:rsid w:val="00A97287"/>
    <w:rsid w:val="00AA2099"/>
    <w:rsid w:val="00AA2DED"/>
    <w:rsid w:val="00AA33C3"/>
    <w:rsid w:val="00AB1C66"/>
    <w:rsid w:val="00AB1D56"/>
    <w:rsid w:val="00AC574B"/>
    <w:rsid w:val="00AC58C2"/>
    <w:rsid w:val="00AC5A9E"/>
    <w:rsid w:val="00AD1FEC"/>
    <w:rsid w:val="00AD2DF1"/>
    <w:rsid w:val="00AE4125"/>
    <w:rsid w:val="00AE6AA6"/>
    <w:rsid w:val="00AF0122"/>
    <w:rsid w:val="00AF0855"/>
    <w:rsid w:val="00AF5E87"/>
    <w:rsid w:val="00B00552"/>
    <w:rsid w:val="00B02BEE"/>
    <w:rsid w:val="00B03AEE"/>
    <w:rsid w:val="00B048DD"/>
    <w:rsid w:val="00B11C1C"/>
    <w:rsid w:val="00B17BD8"/>
    <w:rsid w:val="00B212BF"/>
    <w:rsid w:val="00B2293D"/>
    <w:rsid w:val="00B230EF"/>
    <w:rsid w:val="00B27933"/>
    <w:rsid w:val="00B30B53"/>
    <w:rsid w:val="00B313E9"/>
    <w:rsid w:val="00B32325"/>
    <w:rsid w:val="00B32FEC"/>
    <w:rsid w:val="00B33049"/>
    <w:rsid w:val="00B340A4"/>
    <w:rsid w:val="00B36EFA"/>
    <w:rsid w:val="00B45C2D"/>
    <w:rsid w:val="00B473C7"/>
    <w:rsid w:val="00B56649"/>
    <w:rsid w:val="00B606D1"/>
    <w:rsid w:val="00B60A18"/>
    <w:rsid w:val="00B6171A"/>
    <w:rsid w:val="00B625F2"/>
    <w:rsid w:val="00B62886"/>
    <w:rsid w:val="00B65711"/>
    <w:rsid w:val="00B661FC"/>
    <w:rsid w:val="00B663DC"/>
    <w:rsid w:val="00B710D8"/>
    <w:rsid w:val="00B7142F"/>
    <w:rsid w:val="00B73629"/>
    <w:rsid w:val="00B7466E"/>
    <w:rsid w:val="00B74C84"/>
    <w:rsid w:val="00B779BD"/>
    <w:rsid w:val="00B8021E"/>
    <w:rsid w:val="00B8028F"/>
    <w:rsid w:val="00B833BE"/>
    <w:rsid w:val="00B855C0"/>
    <w:rsid w:val="00B87B08"/>
    <w:rsid w:val="00B928FB"/>
    <w:rsid w:val="00B93C7A"/>
    <w:rsid w:val="00B956C4"/>
    <w:rsid w:val="00BA0192"/>
    <w:rsid w:val="00BA3AD8"/>
    <w:rsid w:val="00BA3D41"/>
    <w:rsid w:val="00BB2152"/>
    <w:rsid w:val="00BB2BE0"/>
    <w:rsid w:val="00BB376A"/>
    <w:rsid w:val="00BB405B"/>
    <w:rsid w:val="00BB7D9F"/>
    <w:rsid w:val="00BC29D0"/>
    <w:rsid w:val="00BC7DBC"/>
    <w:rsid w:val="00BD076D"/>
    <w:rsid w:val="00BD4239"/>
    <w:rsid w:val="00BD797F"/>
    <w:rsid w:val="00BE1470"/>
    <w:rsid w:val="00BE33BD"/>
    <w:rsid w:val="00BE43DF"/>
    <w:rsid w:val="00BE4BAF"/>
    <w:rsid w:val="00BE79B6"/>
    <w:rsid w:val="00BE7C72"/>
    <w:rsid w:val="00BF1421"/>
    <w:rsid w:val="00BF1E0E"/>
    <w:rsid w:val="00BF3DF9"/>
    <w:rsid w:val="00BF414E"/>
    <w:rsid w:val="00BF4277"/>
    <w:rsid w:val="00BF4646"/>
    <w:rsid w:val="00BF5453"/>
    <w:rsid w:val="00BF5D7A"/>
    <w:rsid w:val="00BF78BF"/>
    <w:rsid w:val="00C00BBF"/>
    <w:rsid w:val="00C01789"/>
    <w:rsid w:val="00C02CC4"/>
    <w:rsid w:val="00C035EE"/>
    <w:rsid w:val="00C04AA4"/>
    <w:rsid w:val="00C05445"/>
    <w:rsid w:val="00C075DD"/>
    <w:rsid w:val="00C10ADF"/>
    <w:rsid w:val="00C12B50"/>
    <w:rsid w:val="00C12CBD"/>
    <w:rsid w:val="00C134DB"/>
    <w:rsid w:val="00C2105B"/>
    <w:rsid w:val="00C240C4"/>
    <w:rsid w:val="00C25B78"/>
    <w:rsid w:val="00C32068"/>
    <w:rsid w:val="00C3350F"/>
    <w:rsid w:val="00C33FEF"/>
    <w:rsid w:val="00C4163B"/>
    <w:rsid w:val="00C41F24"/>
    <w:rsid w:val="00C47619"/>
    <w:rsid w:val="00C52848"/>
    <w:rsid w:val="00C61FF5"/>
    <w:rsid w:val="00C62CAD"/>
    <w:rsid w:val="00C64AD6"/>
    <w:rsid w:val="00C671F5"/>
    <w:rsid w:val="00C67E5D"/>
    <w:rsid w:val="00C70DB9"/>
    <w:rsid w:val="00C716E3"/>
    <w:rsid w:val="00C72528"/>
    <w:rsid w:val="00C73D99"/>
    <w:rsid w:val="00C748FF"/>
    <w:rsid w:val="00C74DA7"/>
    <w:rsid w:val="00C75B93"/>
    <w:rsid w:val="00C7666A"/>
    <w:rsid w:val="00C76747"/>
    <w:rsid w:val="00C767DA"/>
    <w:rsid w:val="00C805FB"/>
    <w:rsid w:val="00C80817"/>
    <w:rsid w:val="00C81C5D"/>
    <w:rsid w:val="00C820FF"/>
    <w:rsid w:val="00C83750"/>
    <w:rsid w:val="00C85D0A"/>
    <w:rsid w:val="00C8675B"/>
    <w:rsid w:val="00C86CD7"/>
    <w:rsid w:val="00C9376B"/>
    <w:rsid w:val="00C9581A"/>
    <w:rsid w:val="00C960BE"/>
    <w:rsid w:val="00C9791B"/>
    <w:rsid w:val="00CA055E"/>
    <w:rsid w:val="00CA2BC2"/>
    <w:rsid w:val="00CA3682"/>
    <w:rsid w:val="00CA7520"/>
    <w:rsid w:val="00CA766A"/>
    <w:rsid w:val="00CB20C7"/>
    <w:rsid w:val="00CB44BB"/>
    <w:rsid w:val="00CC07CE"/>
    <w:rsid w:val="00CC3744"/>
    <w:rsid w:val="00CC4AEF"/>
    <w:rsid w:val="00CC6C0C"/>
    <w:rsid w:val="00CD1FB3"/>
    <w:rsid w:val="00CD4BE8"/>
    <w:rsid w:val="00CF55D6"/>
    <w:rsid w:val="00CF78D3"/>
    <w:rsid w:val="00D00F4E"/>
    <w:rsid w:val="00D07937"/>
    <w:rsid w:val="00D10B27"/>
    <w:rsid w:val="00D12CFF"/>
    <w:rsid w:val="00D1447F"/>
    <w:rsid w:val="00D14DDF"/>
    <w:rsid w:val="00D15560"/>
    <w:rsid w:val="00D156AF"/>
    <w:rsid w:val="00D15F02"/>
    <w:rsid w:val="00D16367"/>
    <w:rsid w:val="00D2092C"/>
    <w:rsid w:val="00D214A1"/>
    <w:rsid w:val="00D22DC3"/>
    <w:rsid w:val="00D25683"/>
    <w:rsid w:val="00D27042"/>
    <w:rsid w:val="00D30FC6"/>
    <w:rsid w:val="00D378F7"/>
    <w:rsid w:val="00D401A1"/>
    <w:rsid w:val="00D4253A"/>
    <w:rsid w:val="00D47AD5"/>
    <w:rsid w:val="00D47F07"/>
    <w:rsid w:val="00D501F1"/>
    <w:rsid w:val="00D50B42"/>
    <w:rsid w:val="00D53D43"/>
    <w:rsid w:val="00D57228"/>
    <w:rsid w:val="00D57356"/>
    <w:rsid w:val="00D60D33"/>
    <w:rsid w:val="00D61C6D"/>
    <w:rsid w:val="00D64034"/>
    <w:rsid w:val="00D7099D"/>
    <w:rsid w:val="00D73109"/>
    <w:rsid w:val="00D73128"/>
    <w:rsid w:val="00D73E60"/>
    <w:rsid w:val="00D76C43"/>
    <w:rsid w:val="00D76C6E"/>
    <w:rsid w:val="00D810EC"/>
    <w:rsid w:val="00D835B6"/>
    <w:rsid w:val="00D83C59"/>
    <w:rsid w:val="00D84464"/>
    <w:rsid w:val="00D86ED2"/>
    <w:rsid w:val="00D92C44"/>
    <w:rsid w:val="00D97211"/>
    <w:rsid w:val="00DA0540"/>
    <w:rsid w:val="00DA2840"/>
    <w:rsid w:val="00DA2EC5"/>
    <w:rsid w:val="00DA4030"/>
    <w:rsid w:val="00DA5534"/>
    <w:rsid w:val="00DA6AFA"/>
    <w:rsid w:val="00DB13D8"/>
    <w:rsid w:val="00DB15FD"/>
    <w:rsid w:val="00DB1640"/>
    <w:rsid w:val="00DB58EC"/>
    <w:rsid w:val="00DB679F"/>
    <w:rsid w:val="00DC1802"/>
    <w:rsid w:val="00DC2290"/>
    <w:rsid w:val="00DC399B"/>
    <w:rsid w:val="00DC7A89"/>
    <w:rsid w:val="00DD1B5D"/>
    <w:rsid w:val="00DD2A4A"/>
    <w:rsid w:val="00DD5E2B"/>
    <w:rsid w:val="00DD660B"/>
    <w:rsid w:val="00DE24FD"/>
    <w:rsid w:val="00DF0A25"/>
    <w:rsid w:val="00DF3781"/>
    <w:rsid w:val="00DF6E69"/>
    <w:rsid w:val="00E107CA"/>
    <w:rsid w:val="00E10B2C"/>
    <w:rsid w:val="00E1216B"/>
    <w:rsid w:val="00E1477F"/>
    <w:rsid w:val="00E16C63"/>
    <w:rsid w:val="00E20EDD"/>
    <w:rsid w:val="00E25348"/>
    <w:rsid w:val="00E25D54"/>
    <w:rsid w:val="00E30E76"/>
    <w:rsid w:val="00E341F5"/>
    <w:rsid w:val="00E43D94"/>
    <w:rsid w:val="00E47427"/>
    <w:rsid w:val="00E51C16"/>
    <w:rsid w:val="00E531B9"/>
    <w:rsid w:val="00E53BC5"/>
    <w:rsid w:val="00E53DC6"/>
    <w:rsid w:val="00E55E55"/>
    <w:rsid w:val="00E57869"/>
    <w:rsid w:val="00E61DBC"/>
    <w:rsid w:val="00E64057"/>
    <w:rsid w:val="00E66AFF"/>
    <w:rsid w:val="00E6771C"/>
    <w:rsid w:val="00E677B9"/>
    <w:rsid w:val="00E70381"/>
    <w:rsid w:val="00E70F8F"/>
    <w:rsid w:val="00E73DEF"/>
    <w:rsid w:val="00E80D65"/>
    <w:rsid w:val="00E854F1"/>
    <w:rsid w:val="00E92354"/>
    <w:rsid w:val="00EA4C4B"/>
    <w:rsid w:val="00EA77BE"/>
    <w:rsid w:val="00EB1BD2"/>
    <w:rsid w:val="00EB6ACE"/>
    <w:rsid w:val="00EC19C1"/>
    <w:rsid w:val="00EC2983"/>
    <w:rsid w:val="00EC7271"/>
    <w:rsid w:val="00ED09B6"/>
    <w:rsid w:val="00ED0C43"/>
    <w:rsid w:val="00ED38AF"/>
    <w:rsid w:val="00ED5F03"/>
    <w:rsid w:val="00ED60A1"/>
    <w:rsid w:val="00ED6123"/>
    <w:rsid w:val="00ED7216"/>
    <w:rsid w:val="00EE1C4A"/>
    <w:rsid w:val="00EE2262"/>
    <w:rsid w:val="00EE2F0A"/>
    <w:rsid w:val="00EE4110"/>
    <w:rsid w:val="00EE47A4"/>
    <w:rsid w:val="00EE6D21"/>
    <w:rsid w:val="00EE7517"/>
    <w:rsid w:val="00EF071B"/>
    <w:rsid w:val="00EF1ACC"/>
    <w:rsid w:val="00EF6024"/>
    <w:rsid w:val="00F008F5"/>
    <w:rsid w:val="00F01B55"/>
    <w:rsid w:val="00F01C31"/>
    <w:rsid w:val="00F0237B"/>
    <w:rsid w:val="00F06498"/>
    <w:rsid w:val="00F11E0A"/>
    <w:rsid w:val="00F13013"/>
    <w:rsid w:val="00F141F0"/>
    <w:rsid w:val="00F14F22"/>
    <w:rsid w:val="00F16540"/>
    <w:rsid w:val="00F16CF9"/>
    <w:rsid w:val="00F20B09"/>
    <w:rsid w:val="00F32B53"/>
    <w:rsid w:val="00F3335E"/>
    <w:rsid w:val="00F349E0"/>
    <w:rsid w:val="00F4336C"/>
    <w:rsid w:val="00F439B5"/>
    <w:rsid w:val="00F47289"/>
    <w:rsid w:val="00F52E75"/>
    <w:rsid w:val="00F54AC7"/>
    <w:rsid w:val="00F54C75"/>
    <w:rsid w:val="00F57DED"/>
    <w:rsid w:val="00F63F49"/>
    <w:rsid w:val="00F65837"/>
    <w:rsid w:val="00F72857"/>
    <w:rsid w:val="00F72D00"/>
    <w:rsid w:val="00F76BB0"/>
    <w:rsid w:val="00F76F89"/>
    <w:rsid w:val="00F80E04"/>
    <w:rsid w:val="00F81150"/>
    <w:rsid w:val="00F833B7"/>
    <w:rsid w:val="00F83A22"/>
    <w:rsid w:val="00F84CF9"/>
    <w:rsid w:val="00F85075"/>
    <w:rsid w:val="00F85727"/>
    <w:rsid w:val="00F87C6C"/>
    <w:rsid w:val="00F87E38"/>
    <w:rsid w:val="00F90F13"/>
    <w:rsid w:val="00F97EA2"/>
    <w:rsid w:val="00FA155E"/>
    <w:rsid w:val="00FA2322"/>
    <w:rsid w:val="00FB1320"/>
    <w:rsid w:val="00FB4B0C"/>
    <w:rsid w:val="00FC0D10"/>
    <w:rsid w:val="00FC1934"/>
    <w:rsid w:val="00FC3FF7"/>
    <w:rsid w:val="00FD3255"/>
    <w:rsid w:val="00FD5782"/>
    <w:rsid w:val="00FE0556"/>
    <w:rsid w:val="00FE068A"/>
    <w:rsid w:val="00FE38F0"/>
    <w:rsid w:val="00FE43A9"/>
    <w:rsid w:val="00FE4DAE"/>
    <w:rsid w:val="00FE7AEB"/>
    <w:rsid w:val="00FF3E7D"/>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CD1FB3"/>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490F9F"/>
    <w:rPr>
      <w:b/>
    </w:rPr>
  </w:style>
  <w:style w:type="character" w:customStyle="1" w:styleId="normaltextrun">
    <w:name w:val="normaltextrun"/>
    <w:basedOn w:val="Fuentedeprrafopredeter"/>
    <w:rsid w:val="004A6E75"/>
  </w:style>
  <w:style w:type="paragraph" w:styleId="NormalWeb">
    <w:name w:val="Normal (Web)"/>
    <w:basedOn w:val="Normal"/>
    <w:uiPriority w:val="99"/>
    <w:semiHidden/>
    <w:unhideWhenUsed/>
    <w:rsid w:val="00221FE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8395">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11836006">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23915243">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0123309">
      <w:bodyDiv w:val="1"/>
      <w:marLeft w:val="0"/>
      <w:marRight w:val="0"/>
      <w:marTop w:val="0"/>
      <w:marBottom w:val="0"/>
      <w:divBdr>
        <w:top w:val="none" w:sz="0" w:space="0" w:color="auto"/>
        <w:left w:val="none" w:sz="0" w:space="0" w:color="auto"/>
        <w:bottom w:val="none" w:sz="0" w:space="0" w:color="auto"/>
        <w:right w:val="none" w:sz="0" w:space="0" w:color="auto"/>
      </w:divBdr>
    </w:div>
    <w:div w:id="534466347">
      <w:bodyDiv w:val="1"/>
      <w:marLeft w:val="0"/>
      <w:marRight w:val="0"/>
      <w:marTop w:val="0"/>
      <w:marBottom w:val="0"/>
      <w:divBdr>
        <w:top w:val="none" w:sz="0" w:space="0" w:color="auto"/>
        <w:left w:val="none" w:sz="0" w:space="0" w:color="auto"/>
        <w:bottom w:val="none" w:sz="0" w:space="0" w:color="auto"/>
        <w:right w:val="none" w:sz="0" w:space="0" w:color="auto"/>
      </w:divBdr>
    </w:div>
    <w:div w:id="539125968">
      <w:bodyDiv w:val="1"/>
      <w:marLeft w:val="0"/>
      <w:marRight w:val="0"/>
      <w:marTop w:val="0"/>
      <w:marBottom w:val="0"/>
      <w:divBdr>
        <w:top w:val="none" w:sz="0" w:space="0" w:color="auto"/>
        <w:left w:val="none" w:sz="0" w:space="0" w:color="auto"/>
        <w:bottom w:val="none" w:sz="0" w:space="0" w:color="auto"/>
        <w:right w:val="none" w:sz="0" w:space="0" w:color="auto"/>
      </w:divBdr>
    </w:div>
    <w:div w:id="833643758">
      <w:bodyDiv w:val="1"/>
      <w:marLeft w:val="0"/>
      <w:marRight w:val="0"/>
      <w:marTop w:val="0"/>
      <w:marBottom w:val="0"/>
      <w:divBdr>
        <w:top w:val="none" w:sz="0" w:space="0" w:color="auto"/>
        <w:left w:val="none" w:sz="0" w:space="0" w:color="auto"/>
        <w:bottom w:val="none" w:sz="0" w:space="0" w:color="auto"/>
        <w:right w:val="none" w:sz="0" w:space="0" w:color="auto"/>
      </w:divBdr>
    </w:div>
    <w:div w:id="1167787461">
      <w:bodyDiv w:val="1"/>
      <w:marLeft w:val="0"/>
      <w:marRight w:val="0"/>
      <w:marTop w:val="0"/>
      <w:marBottom w:val="0"/>
      <w:divBdr>
        <w:top w:val="none" w:sz="0" w:space="0" w:color="auto"/>
        <w:left w:val="none" w:sz="0" w:space="0" w:color="auto"/>
        <w:bottom w:val="none" w:sz="0" w:space="0" w:color="auto"/>
        <w:right w:val="none" w:sz="0" w:space="0" w:color="auto"/>
      </w:divBdr>
    </w:div>
    <w:div w:id="1261569972">
      <w:bodyDiv w:val="1"/>
      <w:marLeft w:val="0"/>
      <w:marRight w:val="0"/>
      <w:marTop w:val="0"/>
      <w:marBottom w:val="0"/>
      <w:divBdr>
        <w:top w:val="none" w:sz="0" w:space="0" w:color="auto"/>
        <w:left w:val="none" w:sz="0" w:space="0" w:color="auto"/>
        <w:bottom w:val="none" w:sz="0" w:space="0" w:color="auto"/>
        <w:right w:val="none" w:sz="0" w:space="0" w:color="auto"/>
      </w:divBdr>
    </w:div>
    <w:div w:id="1518615378">
      <w:bodyDiv w:val="1"/>
      <w:marLeft w:val="0"/>
      <w:marRight w:val="0"/>
      <w:marTop w:val="0"/>
      <w:marBottom w:val="0"/>
      <w:divBdr>
        <w:top w:val="none" w:sz="0" w:space="0" w:color="auto"/>
        <w:left w:val="none" w:sz="0" w:space="0" w:color="auto"/>
        <w:bottom w:val="none" w:sz="0" w:space="0" w:color="auto"/>
        <w:right w:val="none" w:sz="0" w:space="0" w:color="auto"/>
      </w:divBdr>
    </w:div>
    <w:div w:id="1670864024">
      <w:bodyDiv w:val="1"/>
      <w:marLeft w:val="0"/>
      <w:marRight w:val="0"/>
      <w:marTop w:val="0"/>
      <w:marBottom w:val="0"/>
      <w:divBdr>
        <w:top w:val="none" w:sz="0" w:space="0" w:color="auto"/>
        <w:left w:val="none" w:sz="0" w:space="0" w:color="auto"/>
        <w:bottom w:val="none" w:sz="0" w:space="0" w:color="auto"/>
        <w:right w:val="none" w:sz="0" w:space="0" w:color="auto"/>
      </w:divBdr>
    </w:div>
    <w:div w:id="1735084466">
      <w:bodyDiv w:val="1"/>
      <w:marLeft w:val="0"/>
      <w:marRight w:val="0"/>
      <w:marTop w:val="0"/>
      <w:marBottom w:val="0"/>
      <w:divBdr>
        <w:top w:val="none" w:sz="0" w:space="0" w:color="auto"/>
        <w:left w:val="none" w:sz="0" w:space="0" w:color="auto"/>
        <w:bottom w:val="none" w:sz="0" w:space="0" w:color="auto"/>
        <w:right w:val="none" w:sz="0" w:space="0" w:color="auto"/>
      </w:divBdr>
    </w:div>
    <w:div w:id="1884750941">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35766890">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D9AEA9C-7C1B-4F90-BA3D-898E8B479FAC}"/>
</file>

<file path=customXml/itemProps3.xml><?xml version="1.0" encoding="utf-8"?>
<ds:datastoreItem xmlns:ds="http://schemas.openxmlformats.org/officeDocument/2006/customXml" ds:itemID="{713DAC82-DE45-4A9E-83A2-B901A5BE8899}"/>
</file>

<file path=customXml/itemProps4.xml><?xml version="1.0" encoding="utf-8"?>
<ds:datastoreItem xmlns:ds="http://schemas.openxmlformats.org/officeDocument/2006/customXml" ds:itemID="{F1594384-ACC5-4122-A7BE-D8E7DCE6ED5C}"/>
</file>

<file path=docProps/app.xml><?xml version="1.0" encoding="utf-8"?>
<Properties xmlns="http://schemas.openxmlformats.org/officeDocument/2006/extended-properties" xmlns:vt="http://schemas.openxmlformats.org/officeDocument/2006/docPropsVTypes">
  <Template>Normal</Template>
  <TotalTime>990</TotalTime>
  <Pages>4</Pages>
  <Words>2016</Words>
  <Characters>10988</Characters>
  <Application>Microsoft Office Word</Application>
  <DocSecurity>0</DocSecurity>
  <Lines>169</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497</cp:revision>
  <cp:lastPrinted>2025-11-11T21:36:00Z</cp:lastPrinted>
  <dcterms:created xsi:type="dcterms:W3CDTF">2020-12-18T20:17:00Z</dcterms:created>
  <dcterms:modified xsi:type="dcterms:W3CDTF">2025-11-11T21:36:00Z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