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ndnotes.xml" ContentType="application/vnd.openxmlformats-officedocument.wordprocessingml.endnotes+xml"/>
  <Override PartName="/word/header1.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customXml/itemProps1.xml" ContentType="application/vnd.openxmlformats-officedocument.customXmlProperties+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592BB0" w:rsidRDefault="00D12B6B" w:rsidP="00592BB0">
      <w:pPr>
        <w:spacing w:after="0" w:line="240" w:lineRule="auto"/>
        <w:jc w:val="center"/>
        <w:rPr>
          <w:rFonts w:ascii="Times New Roman" w:hAnsi="Times New Roman" w:cs="Times New Roman"/>
          <w:b/>
          <w:sz w:val="23"/>
          <w:szCs w:val="23"/>
          <w:lang w:val="es-PE" w:eastAsia="ar-SA"/>
        </w:rPr>
      </w:pPr>
    </w:p>
    <w:p w14:paraId="2E2FA649" w14:textId="12E79CBD" w:rsidR="00D12B6B" w:rsidRPr="00592BB0" w:rsidRDefault="00201C0D" w:rsidP="00592BB0">
      <w:pPr>
        <w:spacing w:after="0" w:line="240" w:lineRule="auto"/>
        <w:jc w:val="center"/>
        <w:rPr>
          <w:rFonts w:ascii="Times New Roman" w:hAnsi="Times New Roman" w:cs="Times New Roman"/>
          <w:b/>
          <w:sz w:val="23"/>
          <w:szCs w:val="23"/>
          <w:lang w:val="es-PE" w:eastAsia="ar-SA"/>
        </w:rPr>
      </w:pPr>
      <w:r w:rsidRPr="00592BB0">
        <w:rPr>
          <w:rFonts w:ascii="Times New Roman" w:hAnsi="Times New Roman" w:cs="Times New Roman"/>
          <w:b/>
          <w:sz w:val="24"/>
          <w:szCs w:val="23"/>
          <w:lang w:val="es-PE" w:eastAsia="ar-SA"/>
        </w:rPr>
        <w:t>RESOLUCIÓN</w:t>
      </w:r>
      <w:r w:rsidR="009D55E8" w:rsidRPr="00592BB0">
        <w:rPr>
          <w:rFonts w:ascii="Times New Roman" w:hAnsi="Times New Roman" w:cs="Times New Roman"/>
          <w:b/>
          <w:sz w:val="24"/>
          <w:szCs w:val="23"/>
          <w:lang w:val="es-PE" w:eastAsia="ar-SA"/>
        </w:rPr>
        <w:t xml:space="preserve"> DE IMPUGNACIÓN</w:t>
      </w:r>
      <w:r w:rsidRPr="00592BB0">
        <w:rPr>
          <w:rFonts w:ascii="Times New Roman" w:hAnsi="Times New Roman" w:cs="Times New Roman"/>
          <w:b/>
          <w:sz w:val="24"/>
          <w:szCs w:val="23"/>
          <w:lang w:val="es-PE" w:eastAsia="ar-SA"/>
        </w:rPr>
        <w:t xml:space="preserve"> </w:t>
      </w:r>
      <w:r w:rsidR="00D12B6B" w:rsidRPr="00592BB0">
        <w:rPr>
          <w:rFonts w:ascii="Times New Roman" w:hAnsi="Times New Roman" w:cs="Times New Roman"/>
          <w:b/>
          <w:sz w:val="24"/>
          <w:szCs w:val="23"/>
          <w:lang w:val="es-PE" w:eastAsia="ar-SA"/>
        </w:rPr>
        <w:t>N</w:t>
      </w:r>
      <w:r w:rsidR="00427787" w:rsidRPr="00592BB0">
        <w:rPr>
          <w:rFonts w:ascii="Times New Roman" w:hAnsi="Times New Roman" w:cs="Times New Roman"/>
          <w:b/>
          <w:sz w:val="24"/>
          <w:szCs w:val="23"/>
          <w:lang w:val="es-PE" w:eastAsia="ar-SA"/>
        </w:rPr>
        <w:t>°</w:t>
      </w:r>
      <w:r w:rsidR="00592BB0" w:rsidRPr="00592BB0">
        <w:rPr>
          <w:rFonts w:ascii="Times New Roman" w:hAnsi="Times New Roman" w:cs="Times New Roman"/>
          <w:b/>
          <w:sz w:val="24"/>
          <w:szCs w:val="23"/>
          <w:lang w:val="es-PE" w:eastAsia="ar-SA"/>
        </w:rPr>
        <w:t>0</w:t>
      </w:r>
      <w:r w:rsidR="00427787" w:rsidRPr="00592BB0">
        <w:rPr>
          <w:rFonts w:ascii="Times New Roman" w:hAnsi="Times New Roman" w:cs="Times New Roman"/>
          <w:b/>
          <w:sz w:val="24"/>
          <w:szCs w:val="23"/>
          <w:lang w:val="es-PE" w:eastAsia="ar-SA"/>
        </w:rPr>
        <w:t>69</w:t>
      </w:r>
      <w:r w:rsidR="00592BB0" w:rsidRPr="00592BB0">
        <w:rPr>
          <w:rFonts w:ascii="Times New Roman" w:hAnsi="Times New Roman" w:cs="Times New Roman"/>
          <w:b/>
          <w:sz w:val="24"/>
          <w:szCs w:val="23"/>
          <w:lang w:val="es-PE" w:eastAsia="ar-SA"/>
        </w:rPr>
        <w:t>/</w:t>
      </w:r>
      <w:r w:rsidR="00AA2AA2" w:rsidRPr="00592BB0">
        <w:rPr>
          <w:rFonts w:ascii="Times New Roman" w:hAnsi="Times New Roman" w:cs="Times New Roman"/>
          <w:b/>
          <w:sz w:val="24"/>
          <w:szCs w:val="23"/>
          <w:lang w:val="es-PE" w:eastAsia="ar-SA"/>
        </w:rPr>
        <w:t>25</w:t>
      </w:r>
    </w:p>
    <w:p w14:paraId="08DA6145" w14:textId="77777777" w:rsidR="00272BD6" w:rsidRPr="00592BB0" w:rsidRDefault="00272BD6" w:rsidP="00592BB0">
      <w:pPr>
        <w:spacing w:after="0" w:line="240" w:lineRule="auto"/>
        <w:jc w:val="center"/>
        <w:rPr>
          <w:rFonts w:ascii="Times New Roman" w:hAnsi="Times New Roman" w:cs="Times New Roman"/>
          <w:b/>
          <w:sz w:val="23"/>
          <w:szCs w:val="23"/>
          <w:lang w:val="es-PE" w:eastAsia="ar-SA"/>
        </w:rPr>
      </w:pPr>
    </w:p>
    <w:p w14:paraId="01A76CCD" w14:textId="025912B7" w:rsidR="009117F7" w:rsidRPr="00592BB0" w:rsidRDefault="009117F7" w:rsidP="00592BB0">
      <w:pPr>
        <w:spacing w:after="200" w:line="240" w:lineRule="auto"/>
        <w:jc w:val="both"/>
        <w:outlineLvl w:val="0"/>
        <w:rPr>
          <w:rFonts w:ascii="Times New Roman" w:hAnsi="Times New Roman" w:cs="Times New Roman"/>
          <w:b/>
          <w:bCs/>
          <w:sz w:val="23"/>
          <w:szCs w:val="23"/>
          <w:lang w:val="es-MX"/>
        </w:rPr>
      </w:pPr>
      <w:r w:rsidRPr="00592BB0">
        <w:rPr>
          <w:rFonts w:ascii="Times New Roman" w:hAnsi="Times New Roman" w:cs="Times New Roman"/>
          <w:b/>
          <w:bCs/>
          <w:sz w:val="24"/>
          <w:szCs w:val="23"/>
          <w:lang w:val="es-MX"/>
        </w:rPr>
        <w:t>VISTOS:</w:t>
      </w:r>
    </w:p>
    <w:p w14:paraId="2FD1E2A0" w14:textId="182C4C00" w:rsidR="007352EE" w:rsidRPr="00592BB0" w:rsidRDefault="00D12B6B"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Que, con fecha 29 de septiembre de 2025, ………………… (“…………………”) identificada con Registro Único de Contribuyente n.° ………………… y representada por el señor…………………, interpone Recurso de Impugnación ante la Defensoría del Asegurado (“…………………”) contra la Resolución n.° 139/25 (la “Resolución Impugnada”) de fecha 9 de septiembre de 2025, expedida por la Sala Colegiada a través de la cual se declaró INFUNDADO el reclamo presentado contra ………………… COMPAÑÍA DE SEGUROS (“…………………”) por la negativa a brindar cobertura de acuerdo con la Póliza Vehicular n.° ………………… (la “Póliza”), por el robo total del vehículo asegurado.</w:t>
      </w:r>
    </w:p>
    <w:bookmarkEnd w:id="0"/>
    <w:bookmarkEnd w:id="1"/>
    <w:p w14:paraId="7C2C9C68" w14:textId="43135983" w:rsidR="00E07CB1" w:rsidRPr="00592BB0" w:rsidRDefault="003D1A7E"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Que, ………………… solicita que se revoque la Resolución Impugnada y se declare fundado su reclamo sobre la base de los siguientes argumentos: a) que, el Colegiado no ha merituado varios aspectos importantes que ha señalado y precisado, así como ha cometido una serie de incongruencias en la Resolución Impugnada; b)  que, conforme lo detalla la Resolución Impugnada, ………………… interpuso un reclamo contra ………………… el 28 de marzo de 2025, siendo admitido a trámite el 6 de mayo, fecha en la que se corre traslado a …………………, la cual presentó sus descargos el día 20 de junio, es decir, 33 días hábiles después; c) que, el Reglamento de la Defensoría señala que el plazo para que la empresa ………………… incluyendo la póliza de seguro completa es de siete días hábiles, no obstante del requerimiento de ………………… para que sea declarada en rebeldía, situación que no se produjo; d) que, en la Audiencia de informe oral, el Colegiado requirió presentar una comunicación de su corredora respecto del contenido del correo electrónico a través del cual ………………… remitió a la asegurada la Póliza, documento que fue recibido por la Defensoría el 8 de julio en el cual, se describe  la forma en que se le hace conocimiento de la contratación del seguro por medio de WhatsApp, adjuntándose la Póliza vehicular correspondiente, compuesta por 5 hojas, indicando a la vez, que no ha recibido documento adicional proveniente de la empresa aseguradora; e) que, en la misma comunicación, la corredora detalló cómo es que gestionó la exoneración de la inspección del vehículo asegurado, señalando adicionalmente que, a la fecha no había recibido ninguna documentación adicional por parte de la empresa …………………, la cual es ‹…………………›; f) que, habiéndose cumplido con lo requerido por el Colegiado, el reclamo quedó para ser resuelto y no obstante haberse vencido el plazo para resolver el Reclamo, el Colegiado, sorpresivamente, el 1 de setiembre, requirió a las partes presentar una copia del correo electrónico remitido a ………………… con el asunto “Póliza N° …………………», a lo que la empresa …………………, presentando un correo electrónico en formato distinto al exhibido en su descargo del 20 de junio y con una hora de remisión distinta; g) que, para ………………… se tratarían de dos correos distintos, el presentado en sus descargos por ………………… el 20 de junio, que no contenía anexo alguno, y certificaba su entrega el día 13 de enero a las 10.09 h, pero en el escrito del 3 de septiembre, ………………… presenta otro correo electrónico remitido aparentemente a la dirección electrónica de ………………… y a otro correo de nombre ‹…………………›, que según la empresa ………………… de la asegurada, quien habría confirmado la recepción de la Póliza; h) que, tal como señaló la corredora en su comunicación remitida a la Defensoría el 8 de julio pasado, su dirección electrónica es ‹…………………› y no el que la empresa …………………, por lo que, ………………… tácitamente reconoce que no remitió el correo con el asunto “Póliza N° …………………” a la corredora de seguros conforme lo dispone el artículo 24.4 de la Resolución SBS n.°………………… (Reglamento de gestión de conducta del mercado del sistema de seguros), omisión que viola lo previsto en el artículo 36 de la citada Resolución, por lo que no se ajusta a la verdad que la corredora recibiera el correo con el asunto “Póliza N° …………………” como afirma ………………… en su escrito del 3 de setiembre;  ya citado; i) que, no se puede oponer a ………………… pactos que no han sido debidamente acreditados al sólo habérsele remitido una póliza de cinco páginas donde no se menciona la obligación de tener que contar con el dispositivo GPS; j) que, no es cierto que la empresa …………………, como ellos mismos reconocen, son una empresa ………………… de tercero de confianza, por lo que el servicio que brinda es de exclusiva responsabilidad de quien lo contrata, más aún, que objetivamente no demuestra el llamado “acuse de recibo” que podría certificar que se remitió realmente dicho correo electrónico, por lo que sorprende que el Colegiado se sienta satisfecho cuando no se demuestra que haya llegado el mismo fehacientemente, y como lo ha demostrado, menos aún a su corredora, por lo que correspondería un reexamen de los hechos para resolver como el propio Reglamento de DEFASEG señala, en Derecho; k) que, les deja perplejos, respecto del contenido del considerando Décimo cuarto, en la medida que no aparece en la Resolución materia de impugnación, además de los “errores” de redacción de la Resolución Impugnada que hace recordar el indebido “copia y pega” que algunos organismos del Estado acostumbran, restando seriedad a la redacción de la misma; y, l) que, solicita que la Defensoría reconsidere el criterio de evaluación de los hechos y declare fundado su reclamo, disponiendo que ………………… otorgue cobertura al siniestro declarado oportunamente.</w:t>
      </w:r>
    </w:p>
    <w:bookmarkEnd w:id="3"/>
    <w:p w14:paraId="7B2CEFD9" w14:textId="5EEC49A5" w:rsidR="00CB3481" w:rsidRPr="00592BB0" w:rsidRDefault="002333AB"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Que, el Recurso de Impugnación presentado por ………………… no ha sido absuelto por ………………… a pesar que se le corrió oportunamente traslado el 2 de octubre de 2025. </w:t>
      </w:r>
    </w:p>
    <w:p w14:paraId="5E5FAFD2" w14:textId="23E536A4" w:rsidR="00EF15EF" w:rsidRPr="00592BB0" w:rsidRDefault="00EF15EF" w:rsidP="00592BB0">
      <w:pPr>
        <w:spacing w:after="200" w:line="240" w:lineRule="auto"/>
        <w:jc w:val="both"/>
        <w:rPr>
          <w:rFonts w:ascii="Times New Roman" w:hAnsi="Times New Roman" w:cs="Times New Roman"/>
          <w:color w:val="000000"/>
          <w:sz w:val="23"/>
          <w:szCs w:val="23"/>
          <w:lang w:val="es-PE"/>
        </w:rPr>
      </w:pPr>
      <w:r w:rsidRPr="00592BB0">
        <w:rPr>
          <w:rFonts w:ascii="Times New Roman" w:hAnsi="Times New Roman" w:cs="Times New Roman"/>
          <w:sz w:val="24"/>
          <w:szCs w:val="23"/>
          <w:lang w:val="es-PE"/>
        </w:rPr>
        <w:t>Al resolver, este Colegiado ha tomado en cuenta las argumentaciones de las partes expresadas a lo largo del procedimiento.</w:t>
      </w:r>
    </w:p>
    <w:p w14:paraId="7441012C" w14:textId="682DBE99" w:rsidR="00A90707" w:rsidRPr="00592BB0" w:rsidRDefault="00E07CB1" w:rsidP="00592BB0">
      <w:pPr>
        <w:spacing w:after="200" w:line="240" w:lineRule="auto"/>
        <w:jc w:val="both"/>
        <w:outlineLvl w:val="0"/>
        <w:rPr>
          <w:rFonts w:ascii="Times New Roman" w:hAnsi="Times New Roman" w:cs="Times New Roman"/>
          <w:b/>
          <w:bCs/>
          <w:sz w:val="23"/>
          <w:szCs w:val="23"/>
          <w:lang w:val="es-MX"/>
        </w:rPr>
      </w:pPr>
      <w:r w:rsidRPr="00592BB0">
        <w:rPr>
          <w:rFonts w:ascii="Times New Roman" w:hAnsi="Times New Roman" w:cs="Times New Roman"/>
          <w:b/>
          <w:bCs/>
          <w:sz w:val="24"/>
          <w:szCs w:val="23"/>
          <w:lang w:val="es-MX"/>
        </w:rPr>
        <w:t>C</w:t>
      </w:r>
      <w:r w:rsidR="00A90707" w:rsidRPr="00592BB0">
        <w:rPr>
          <w:rFonts w:ascii="Times New Roman" w:hAnsi="Times New Roman" w:cs="Times New Roman"/>
          <w:b/>
          <w:bCs/>
          <w:sz w:val="24"/>
          <w:szCs w:val="23"/>
          <w:lang w:val="es-MX"/>
        </w:rPr>
        <w:t>ONSIDERANDO:</w:t>
      </w:r>
    </w:p>
    <w:p w14:paraId="5B38040C" w14:textId="25F4C37E" w:rsidR="00142F5B" w:rsidRPr="00592BB0" w:rsidRDefault="00A90707"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del Reglamento de la DEFASEG (el “Reglamento”) establece que cualquiera de las partes que no se encuentre de acuerdo con la decisión adoptada por la Sala Colegiada sobre la materia reclamada, podrá cuestionarla, interponiendo el correspondiente Recurso de Impugnación. </w:t>
      </w:r>
    </w:p>
    <w:p w14:paraId="7918B6A4" w14:textId="693C2524" w:rsidR="00142F5B" w:rsidRPr="00592BB0" w:rsidRDefault="00142F5B"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su Recurso de Impugnación la asegurada ha ejercido formalmente su derecho a contradecir lo resuelto por la Sala Colegiada de esta Defensoría.</w:t>
      </w:r>
    </w:p>
    <w:p w14:paraId="1F2ECC52" w14:textId="143F918F" w:rsidR="00084BA0" w:rsidRPr="00592BB0" w:rsidRDefault="00084BA0"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SEGUNDO: Que, como cuestión previa este Colegiado se pronunciará respecto de lo alegado por la asegurada, con relación al estado de incertidumbre en el que se encontraría con relación del posible contenido del considerando Décimo cuarto de la Resolución Impugnada, el cual no aparecería en la misma; asimismo, de la mención de una empresa …………………. </w:t>
      </w:r>
    </w:p>
    <w:p w14:paraId="660E3027" w14:textId="535F0936" w:rsidR="00BC6B65" w:rsidRPr="00592BB0" w:rsidRDefault="009479EA"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Es claro que nos encontramos ante dos errores materiales, que no enervan ni desvirtúan lo resuelto en la Resolución Impugnada, los cuales pueden ser rectificados con efecto retroactivo en cualquier momento, adoptando las formas y modalidades de comunicación que corresponda para el acto original.</w:t>
      </w:r>
    </w:p>
    <w:p w14:paraId="79343A07" w14:textId="6590C818" w:rsidR="009479EA" w:rsidRPr="00592BB0" w:rsidRDefault="00D6513C"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En este instrumento, este Colegiado corrige los errores materiales incurridos en la Resolución Impugnada al consignar erradamente el nombre de la empresa ………………… la parte expositiva, debiendo decir …………………. Por otro lado, dónde dice considerando Décimo quinto, debe decir Décimo cuarto.</w:t>
      </w:r>
    </w:p>
    <w:p w14:paraId="5F616428" w14:textId="27916197" w:rsidR="00A11B13" w:rsidRPr="00592BB0" w:rsidRDefault="00A11B13"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TERCERO: ………………… señala en su recurso impugnativo, que ………………… absolvió su reclamo luego de 33 días hábiles de corrérsele traslado, en virtud de lo cual -según el Reglamento-, debió ser declarada en rebeldía, situación que no se produjo. </w:t>
      </w:r>
    </w:p>
    <w:p w14:paraId="1FBF57D2" w14:textId="0A198989" w:rsidR="003B11E0" w:rsidRPr="00592BB0" w:rsidRDefault="00733004"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Es correcto lo señalado por …………………, en el sentido que, de acuerdo con el numeral 10 del Reglamento, luego de correrse traslado del reclamo a la empresa aseguradora, ésta tiene 7 días hábiles para remitir el expediente completo, en caso esto no ocurra, se seguirá el procedimiento en rebeldía. Sin embargo, como es de conocimiento de la apelante, el propio numeral 10 señala a renglón seguido, que la declaración de rebeldía no impide a la empresa ………………… éste se encuentre, así como tampoco se le puede privar de su derecho de defensa.</w:t>
      </w:r>
    </w:p>
    <w:p w14:paraId="084C261D" w14:textId="0B687EF7" w:rsidR="003B11E0" w:rsidRPr="00592BB0" w:rsidRDefault="006556AC"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De lo señalado</w:t>
      </w:r>
      <w:r w:rsidR="00591286"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 xml:space="preserve"> se colige que el Reglamento se adscribe a la posición, </w:t>
      </w:r>
      <w:r w:rsidR="00591286"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en virtud del principio de informalismo</w:t>
      </w:r>
      <w:r w:rsidR="00591286"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 xml:space="preserve">, </w:t>
      </w:r>
      <w:r w:rsidR="00591286" w:rsidRPr="00592BB0">
        <w:rPr>
          <w:rFonts w:ascii="Times New Roman" w:hAnsi="Times New Roman" w:cs="Times New Roman"/>
          <w:sz w:val="24"/>
          <w:szCs w:val="23"/>
          <w:lang w:val="es-PE"/>
        </w:rPr>
        <w:t xml:space="preserve">respecto </w:t>
      </w:r>
      <w:r w:rsidRPr="00592BB0">
        <w:rPr>
          <w:rFonts w:ascii="Times New Roman" w:hAnsi="Times New Roman" w:cs="Times New Roman"/>
          <w:sz w:val="24"/>
          <w:szCs w:val="23"/>
          <w:lang w:val="es-PE"/>
        </w:rPr>
        <w:t>que los derechos e intereses de las partes no se vean afectad</w:t>
      </w:r>
      <w:r w:rsidR="00423BDE" w:rsidRPr="00592BB0">
        <w:rPr>
          <w:rFonts w:ascii="Times New Roman" w:hAnsi="Times New Roman" w:cs="Times New Roman"/>
          <w:sz w:val="24"/>
          <w:szCs w:val="23"/>
          <w:lang w:val="es-PE"/>
        </w:rPr>
        <w:t>o</w:t>
      </w:r>
      <w:r w:rsidRPr="00592BB0">
        <w:rPr>
          <w:rFonts w:ascii="Times New Roman" w:hAnsi="Times New Roman" w:cs="Times New Roman"/>
          <w:sz w:val="24"/>
          <w:szCs w:val="23"/>
          <w:lang w:val="es-PE"/>
        </w:rPr>
        <w:t>s por exigencias formales que puedan ser subsanad</w:t>
      </w:r>
      <w:r w:rsidR="00423BDE" w:rsidRPr="00592BB0">
        <w:rPr>
          <w:rFonts w:ascii="Times New Roman" w:hAnsi="Times New Roman" w:cs="Times New Roman"/>
          <w:sz w:val="24"/>
          <w:szCs w:val="23"/>
          <w:lang w:val="es-PE"/>
        </w:rPr>
        <w:t>a</w:t>
      </w:r>
      <w:r w:rsidRPr="00592BB0">
        <w:rPr>
          <w:rFonts w:ascii="Times New Roman" w:hAnsi="Times New Roman" w:cs="Times New Roman"/>
          <w:sz w:val="24"/>
          <w:szCs w:val="23"/>
          <w:lang w:val="es-PE"/>
        </w:rPr>
        <w:t>s dentro del</w:t>
      </w:r>
      <w:r w:rsidR="00423BDE" w:rsidRPr="00592BB0">
        <w:rPr>
          <w:rFonts w:ascii="Times New Roman" w:hAnsi="Times New Roman" w:cs="Times New Roman"/>
          <w:sz w:val="24"/>
          <w:szCs w:val="23"/>
          <w:lang w:val="es-PE"/>
        </w:rPr>
        <w:t xml:space="preserve"> propio</w:t>
      </w:r>
      <w:r w:rsidRPr="00592BB0">
        <w:rPr>
          <w:rFonts w:ascii="Times New Roman" w:hAnsi="Times New Roman" w:cs="Times New Roman"/>
          <w:sz w:val="24"/>
          <w:szCs w:val="23"/>
          <w:lang w:val="es-PE"/>
        </w:rPr>
        <w:t xml:space="preserve"> procedimiento. Es por ello que</w:t>
      </w:r>
      <w:r w:rsidR="00423BDE"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 xml:space="preserve"> la institución de la rebeldía </w:t>
      </w:r>
      <w:r w:rsidR="00B51E54"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típica del ordenamiento procesal civil</w:t>
      </w:r>
      <w:r w:rsidR="00B51E54"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 xml:space="preserve">, no se traslada de manera </w:t>
      </w:r>
      <w:r w:rsidR="00423BDE" w:rsidRPr="00592BB0">
        <w:rPr>
          <w:rFonts w:ascii="Times New Roman" w:hAnsi="Times New Roman" w:cs="Times New Roman"/>
          <w:sz w:val="24"/>
          <w:szCs w:val="23"/>
          <w:lang w:val="es-PE"/>
        </w:rPr>
        <w:t xml:space="preserve">integral </w:t>
      </w:r>
      <w:r w:rsidRPr="00592BB0">
        <w:rPr>
          <w:rFonts w:ascii="Times New Roman" w:hAnsi="Times New Roman" w:cs="Times New Roman"/>
          <w:sz w:val="24"/>
          <w:szCs w:val="23"/>
          <w:lang w:val="es-PE"/>
        </w:rPr>
        <w:t xml:space="preserve">al presente procedimiento voluntario. Incluso, en otros ordenamientos, que cuentan con </w:t>
      </w:r>
      <w:r w:rsidR="00366F29" w:rsidRPr="00592BB0">
        <w:rPr>
          <w:rFonts w:ascii="Times New Roman" w:hAnsi="Times New Roman" w:cs="Times New Roman"/>
          <w:sz w:val="24"/>
          <w:szCs w:val="23"/>
          <w:lang w:val="es-PE"/>
        </w:rPr>
        <w:t>una</w:t>
      </w:r>
      <w:r w:rsidRPr="00592BB0">
        <w:rPr>
          <w:rFonts w:ascii="Times New Roman" w:hAnsi="Times New Roman" w:cs="Times New Roman"/>
          <w:sz w:val="24"/>
          <w:szCs w:val="23"/>
          <w:lang w:val="es-PE"/>
        </w:rPr>
        <w:t xml:space="preserve"> regulación de la rebeldía </w:t>
      </w:r>
      <w:r w:rsidR="00366F29" w:rsidRPr="00592BB0">
        <w:rPr>
          <w:rFonts w:ascii="Times New Roman" w:hAnsi="Times New Roman" w:cs="Times New Roman"/>
          <w:sz w:val="24"/>
          <w:szCs w:val="23"/>
          <w:lang w:val="es-PE"/>
        </w:rPr>
        <w:t xml:space="preserve">más estricta que la </w:t>
      </w:r>
      <w:r w:rsidRPr="00592BB0">
        <w:rPr>
          <w:rFonts w:ascii="Times New Roman" w:hAnsi="Times New Roman" w:cs="Times New Roman"/>
          <w:sz w:val="24"/>
          <w:szCs w:val="23"/>
          <w:lang w:val="es-PE"/>
        </w:rPr>
        <w:t>contempla</w:t>
      </w:r>
      <w:r w:rsidR="00366F29" w:rsidRPr="00592BB0">
        <w:rPr>
          <w:rFonts w:ascii="Times New Roman" w:hAnsi="Times New Roman" w:cs="Times New Roman"/>
          <w:sz w:val="24"/>
          <w:szCs w:val="23"/>
          <w:lang w:val="es-PE"/>
        </w:rPr>
        <w:t>da</w:t>
      </w:r>
      <w:r w:rsidRPr="00592BB0">
        <w:rPr>
          <w:rFonts w:ascii="Times New Roman" w:hAnsi="Times New Roman" w:cs="Times New Roman"/>
          <w:sz w:val="24"/>
          <w:szCs w:val="23"/>
          <w:lang w:val="es-PE"/>
        </w:rPr>
        <w:t xml:space="preserve"> </w:t>
      </w:r>
      <w:r w:rsidR="00366F29" w:rsidRPr="00592BB0">
        <w:rPr>
          <w:rFonts w:ascii="Times New Roman" w:hAnsi="Times New Roman" w:cs="Times New Roman"/>
          <w:sz w:val="24"/>
          <w:szCs w:val="23"/>
          <w:lang w:val="es-PE"/>
        </w:rPr>
        <w:t xml:space="preserve">en </w:t>
      </w:r>
      <w:r w:rsidRPr="00592BB0">
        <w:rPr>
          <w:rFonts w:ascii="Times New Roman" w:hAnsi="Times New Roman" w:cs="Times New Roman"/>
          <w:sz w:val="24"/>
          <w:szCs w:val="23"/>
          <w:lang w:val="es-PE"/>
        </w:rPr>
        <w:t>el</w:t>
      </w:r>
      <w:r w:rsidR="00B51E54" w:rsidRPr="00592BB0">
        <w:rPr>
          <w:rFonts w:ascii="Times New Roman" w:hAnsi="Times New Roman" w:cs="Times New Roman"/>
          <w:sz w:val="24"/>
          <w:szCs w:val="23"/>
          <w:lang w:val="es-PE"/>
        </w:rPr>
        <w:t xml:space="preserve"> </w:t>
      </w:r>
      <w:r w:rsidRPr="00592BB0">
        <w:rPr>
          <w:rFonts w:ascii="Times New Roman" w:hAnsi="Times New Roman" w:cs="Times New Roman"/>
          <w:sz w:val="24"/>
          <w:szCs w:val="23"/>
          <w:lang w:val="es-PE"/>
        </w:rPr>
        <w:t>Reglamento, se permite que los demandados presenten su contestación luego de venci</w:t>
      </w:r>
      <w:r w:rsidR="00B51E54" w:rsidRPr="00592BB0">
        <w:rPr>
          <w:rFonts w:ascii="Times New Roman" w:hAnsi="Times New Roman" w:cs="Times New Roman"/>
          <w:sz w:val="24"/>
          <w:szCs w:val="23"/>
          <w:lang w:val="es-PE"/>
        </w:rPr>
        <w:t xml:space="preserve">do </w:t>
      </w:r>
      <w:r w:rsidRPr="00592BB0">
        <w:rPr>
          <w:rFonts w:ascii="Times New Roman" w:hAnsi="Times New Roman" w:cs="Times New Roman"/>
          <w:sz w:val="24"/>
          <w:szCs w:val="23"/>
          <w:lang w:val="es-PE"/>
        </w:rPr>
        <w:t>el plazo establecido</w:t>
      </w:r>
      <w:r w:rsidR="00A22B41" w:rsidRPr="00592BB0">
        <w:rPr>
          <w:rFonts w:ascii="Times New Roman" w:hAnsi="Times New Roman" w:cs="Times New Roman"/>
          <w:sz w:val="24"/>
          <w:szCs w:val="23"/>
          <w:lang w:val="es-PE"/>
        </w:rPr>
        <w:t xml:space="preserve"> para tal efecto</w:t>
      </w:r>
      <w:r w:rsidRPr="00592BB0">
        <w:rPr>
          <w:rFonts w:ascii="Times New Roman" w:hAnsi="Times New Roman" w:cs="Times New Roman"/>
          <w:sz w:val="24"/>
          <w:szCs w:val="23"/>
          <w:lang w:val="es-PE"/>
        </w:rPr>
        <w:t>.</w:t>
      </w:r>
      <w:r w:rsidRPr="00592BB0">
        <w:rPr>
          <w:rStyle w:val="Refdenotaalpie"/>
          <w:rFonts w:ascii="Times New Roman" w:hAnsi="Times New Roman" w:cs="Times New Roman"/>
          <w:sz w:val="24"/>
          <w:szCs w:val="23"/>
          <w:lang w:val="es-PE"/>
        </w:rPr>
        <w:footnoteReference w:id="5"/>
      </w:r>
    </w:p>
    <w:p w14:paraId="5DAE57FD" w14:textId="6F06B2D8" w:rsidR="00B51E54" w:rsidRPr="00592BB0" w:rsidRDefault="00B51E54"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De acuerdo con el expuesto, este Colegiado actuó de acuerdo a derecho cuando permitió a ………………… participar en el procedimiento, a pesar de haber absuelto el reclamo presentado por la asegurada de forma extemporánea. </w:t>
      </w:r>
    </w:p>
    <w:p w14:paraId="5967B75C" w14:textId="565224A9" w:rsidR="00733004" w:rsidRPr="00592BB0" w:rsidRDefault="00733004"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CUARTO: Adicionalmente, ………………… parece cuestionar el hecho que esta Defensoría solicitara a las partes documentación adicional luego de realizada la Audiencia de informe oral. </w:t>
      </w:r>
    </w:p>
    <w:p w14:paraId="6A2C906C" w14:textId="17300E4F" w:rsidR="00733004" w:rsidRPr="00592BB0" w:rsidRDefault="00DD6DB6"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 xml:space="preserve">Sobre el particular, la asegurada </w:t>
      </w:r>
      <w:r w:rsidR="00670183" w:rsidRPr="00592BB0">
        <w:rPr>
          <w:rFonts w:ascii="Times New Roman" w:hAnsi="Times New Roman" w:cs="Times New Roman"/>
          <w:sz w:val="24"/>
          <w:szCs w:val="23"/>
          <w:lang w:val="es-PE"/>
        </w:rPr>
        <w:t xml:space="preserve">parece </w:t>
      </w:r>
      <w:r w:rsidR="008C70D4" w:rsidRPr="00592BB0">
        <w:rPr>
          <w:rFonts w:ascii="Times New Roman" w:hAnsi="Times New Roman" w:cs="Times New Roman"/>
          <w:sz w:val="24"/>
          <w:szCs w:val="23"/>
          <w:lang w:val="es-PE"/>
        </w:rPr>
        <w:t xml:space="preserve">entender </w:t>
      </w:r>
      <w:r w:rsidRPr="00592BB0">
        <w:rPr>
          <w:rFonts w:ascii="Times New Roman" w:hAnsi="Times New Roman" w:cs="Times New Roman"/>
          <w:sz w:val="24"/>
          <w:szCs w:val="23"/>
          <w:lang w:val="es-PE"/>
        </w:rPr>
        <w:t>que el presente procedimiento</w:t>
      </w:r>
      <w:r w:rsidR="00207461" w:rsidRPr="00592BB0">
        <w:rPr>
          <w:rFonts w:ascii="Times New Roman" w:hAnsi="Times New Roman" w:cs="Times New Roman"/>
          <w:sz w:val="24"/>
          <w:szCs w:val="23"/>
          <w:lang w:val="es-PE"/>
        </w:rPr>
        <w:t xml:space="preserve"> voluntario</w:t>
      </w:r>
      <w:r w:rsidRPr="00592BB0">
        <w:rPr>
          <w:rFonts w:ascii="Times New Roman" w:hAnsi="Times New Roman" w:cs="Times New Roman"/>
          <w:sz w:val="24"/>
          <w:szCs w:val="23"/>
          <w:lang w:val="es-PE"/>
        </w:rPr>
        <w:t xml:space="preserve"> se desarrolla a partir de etapas independientes, </w:t>
      </w:r>
      <w:r w:rsidR="000F55CC" w:rsidRPr="00592BB0">
        <w:rPr>
          <w:rFonts w:ascii="Times New Roman" w:hAnsi="Times New Roman" w:cs="Times New Roman"/>
          <w:sz w:val="24"/>
          <w:szCs w:val="23"/>
          <w:lang w:val="es-PE"/>
        </w:rPr>
        <w:t>l</w:t>
      </w:r>
      <w:r w:rsidRPr="00592BB0">
        <w:rPr>
          <w:rFonts w:ascii="Times New Roman" w:hAnsi="Times New Roman" w:cs="Times New Roman"/>
          <w:sz w:val="24"/>
          <w:szCs w:val="23"/>
          <w:lang w:val="es-PE"/>
        </w:rPr>
        <w:t xml:space="preserve">o que determina que </w:t>
      </w:r>
      <w:r w:rsidR="00733004" w:rsidRPr="00592BB0">
        <w:rPr>
          <w:rFonts w:ascii="Times New Roman" w:hAnsi="Times New Roman" w:cs="Times New Roman"/>
          <w:sz w:val="24"/>
          <w:szCs w:val="23"/>
          <w:lang w:val="es-PE"/>
        </w:rPr>
        <w:t xml:space="preserve">pasada una etapa, ya no </w:t>
      </w:r>
      <w:r w:rsidR="00AB0989" w:rsidRPr="00592BB0">
        <w:rPr>
          <w:rFonts w:ascii="Times New Roman" w:hAnsi="Times New Roman" w:cs="Times New Roman"/>
          <w:sz w:val="24"/>
          <w:szCs w:val="23"/>
          <w:lang w:val="es-PE"/>
        </w:rPr>
        <w:t>es</w:t>
      </w:r>
      <w:r w:rsidRPr="00592BB0">
        <w:rPr>
          <w:rFonts w:ascii="Times New Roman" w:hAnsi="Times New Roman" w:cs="Times New Roman"/>
          <w:sz w:val="24"/>
          <w:szCs w:val="23"/>
          <w:lang w:val="es-PE"/>
        </w:rPr>
        <w:t xml:space="preserve"> posible volver sobre la anterior</w:t>
      </w:r>
      <w:r w:rsidR="000F55CC" w:rsidRPr="00592BB0">
        <w:rPr>
          <w:rFonts w:ascii="Times New Roman" w:hAnsi="Times New Roman" w:cs="Times New Roman"/>
          <w:sz w:val="24"/>
          <w:szCs w:val="23"/>
          <w:lang w:val="es-PE"/>
        </w:rPr>
        <w:t>, tal como ocurre en el proceso civil</w:t>
      </w:r>
      <w:r w:rsidR="00733004"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 xml:space="preserve"> Este efecto de clausura de las distintas etapas </w:t>
      </w:r>
      <w:r w:rsidR="000F55CC" w:rsidRPr="00592BB0">
        <w:rPr>
          <w:rFonts w:ascii="Times New Roman" w:hAnsi="Times New Roman" w:cs="Times New Roman"/>
          <w:sz w:val="24"/>
          <w:szCs w:val="23"/>
          <w:lang w:val="es-PE"/>
        </w:rPr>
        <w:t xml:space="preserve">del procedimiento es lo que se llama </w:t>
      </w:r>
      <w:r w:rsidR="00733004" w:rsidRPr="00592BB0">
        <w:rPr>
          <w:rFonts w:ascii="Times New Roman" w:hAnsi="Times New Roman" w:cs="Times New Roman"/>
          <w:sz w:val="24"/>
          <w:szCs w:val="23"/>
          <w:lang w:val="es-PE"/>
        </w:rPr>
        <w:t xml:space="preserve">preclusión procesal. </w:t>
      </w:r>
      <w:r w:rsidR="000F55CC" w:rsidRPr="00592BB0">
        <w:rPr>
          <w:rFonts w:ascii="Times New Roman" w:hAnsi="Times New Roman" w:cs="Times New Roman"/>
          <w:sz w:val="24"/>
          <w:szCs w:val="23"/>
          <w:lang w:val="es-PE"/>
        </w:rPr>
        <w:t xml:space="preserve">Sin embargo, </w:t>
      </w:r>
      <w:r w:rsidR="00670183" w:rsidRPr="00592BB0">
        <w:rPr>
          <w:rFonts w:ascii="Times New Roman" w:hAnsi="Times New Roman" w:cs="Times New Roman"/>
          <w:sz w:val="24"/>
          <w:szCs w:val="23"/>
          <w:lang w:val="es-PE"/>
        </w:rPr>
        <w:t xml:space="preserve">el presente </w:t>
      </w:r>
      <w:r w:rsidR="000F55CC" w:rsidRPr="00592BB0">
        <w:rPr>
          <w:rFonts w:ascii="Times New Roman" w:hAnsi="Times New Roman" w:cs="Times New Roman"/>
          <w:sz w:val="24"/>
          <w:szCs w:val="23"/>
          <w:lang w:val="es-PE"/>
        </w:rPr>
        <w:t xml:space="preserve">procedimiento voluntario, tal como se puede observar en el Reglamento, se adscribe al sistema de </w:t>
      </w:r>
      <w:r w:rsidR="00733004" w:rsidRPr="00592BB0">
        <w:rPr>
          <w:rFonts w:ascii="Times New Roman" w:hAnsi="Times New Roman" w:cs="Times New Roman"/>
          <w:sz w:val="24"/>
          <w:szCs w:val="23"/>
          <w:lang w:val="es-PE"/>
        </w:rPr>
        <w:t xml:space="preserve">unidad de vista, </w:t>
      </w:r>
      <w:r w:rsidR="000F55CC" w:rsidRPr="00592BB0">
        <w:rPr>
          <w:rFonts w:ascii="Times New Roman" w:hAnsi="Times New Roman" w:cs="Times New Roman"/>
          <w:sz w:val="24"/>
          <w:szCs w:val="23"/>
          <w:lang w:val="es-PE"/>
        </w:rPr>
        <w:t xml:space="preserve">lo que significa que </w:t>
      </w:r>
      <w:r w:rsidR="00733004" w:rsidRPr="00592BB0">
        <w:rPr>
          <w:rFonts w:ascii="Times New Roman" w:hAnsi="Times New Roman" w:cs="Times New Roman"/>
          <w:sz w:val="24"/>
          <w:szCs w:val="23"/>
          <w:lang w:val="es-PE"/>
        </w:rPr>
        <w:t>el proce</w:t>
      </w:r>
      <w:r w:rsidR="00AB0989" w:rsidRPr="00592BB0">
        <w:rPr>
          <w:rFonts w:ascii="Times New Roman" w:hAnsi="Times New Roman" w:cs="Times New Roman"/>
          <w:sz w:val="24"/>
          <w:szCs w:val="23"/>
          <w:lang w:val="es-PE"/>
        </w:rPr>
        <w:t xml:space="preserve">dimiento </w:t>
      </w:r>
      <w:r w:rsidR="00733004" w:rsidRPr="00592BB0">
        <w:rPr>
          <w:rFonts w:ascii="Times New Roman" w:hAnsi="Times New Roman" w:cs="Times New Roman"/>
          <w:sz w:val="24"/>
          <w:szCs w:val="23"/>
          <w:lang w:val="es-PE"/>
        </w:rPr>
        <w:t xml:space="preserve">no se </w:t>
      </w:r>
      <w:r w:rsidR="00AB0989" w:rsidRPr="00592BB0">
        <w:rPr>
          <w:rFonts w:ascii="Times New Roman" w:hAnsi="Times New Roman" w:cs="Times New Roman"/>
          <w:sz w:val="24"/>
          <w:szCs w:val="23"/>
          <w:lang w:val="es-PE"/>
        </w:rPr>
        <w:t>desarrolla</w:t>
      </w:r>
      <w:r w:rsidRPr="00592BB0">
        <w:rPr>
          <w:rFonts w:ascii="Times New Roman" w:hAnsi="Times New Roman" w:cs="Times New Roman"/>
          <w:sz w:val="24"/>
          <w:szCs w:val="23"/>
          <w:lang w:val="es-PE"/>
        </w:rPr>
        <w:t xml:space="preserve"> </w:t>
      </w:r>
      <w:r w:rsidR="00733004" w:rsidRPr="00592BB0">
        <w:rPr>
          <w:rFonts w:ascii="Times New Roman" w:hAnsi="Times New Roman" w:cs="Times New Roman"/>
          <w:sz w:val="24"/>
          <w:szCs w:val="23"/>
          <w:lang w:val="es-PE"/>
        </w:rPr>
        <w:t>por</w:t>
      </w:r>
      <w:r w:rsidR="000F55CC" w:rsidRPr="00592BB0">
        <w:rPr>
          <w:rFonts w:ascii="Times New Roman" w:hAnsi="Times New Roman" w:cs="Times New Roman"/>
          <w:sz w:val="24"/>
          <w:szCs w:val="23"/>
          <w:lang w:val="es-PE"/>
        </w:rPr>
        <w:t xml:space="preserve"> etapas independientes sino como un todo, lo que </w:t>
      </w:r>
      <w:r w:rsidR="00AB0989" w:rsidRPr="00592BB0">
        <w:rPr>
          <w:rFonts w:ascii="Times New Roman" w:hAnsi="Times New Roman" w:cs="Times New Roman"/>
          <w:sz w:val="24"/>
          <w:szCs w:val="23"/>
          <w:lang w:val="es-PE"/>
        </w:rPr>
        <w:t xml:space="preserve">implica </w:t>
      </w:r>
      <w:r w:rsidR="000F55CC" w:rsidRPr="00592BB0">
        <w:rPr>
          <w:rFonts w:ascii="Times New Roman" w:hAnsi="Times New Roman" w:cs="Times New Roman"/>
          <w:sz w:val="24"/>
          <w:szCs w:val="23"/>
          <w:lang w:val="es-PE"/>
        </w:rPr>
        <w:t xml:space="preserve">que las partes </w:t>
      </w:r>
      <w:r w:rsidR="00733004" w:rsidRPr="00592BB0">
        <w:rPr>
          <w:rFonts w:ascii="Times New Roman" w:hAnsi="Times New Roman" w:cs="Times New Roman"/>
          <w:sz w:val="24"/>
          <w:szCs w:val="23"/>
          <w:lang w:val="es-PE"/>
        </w:rPr>
        <w:t>p</w:t>
      </w:r>
      <w:r w:rsidR="000F55CC" w:rsidRPr="00592BB0">
        <w:rPr>
          <w:rFonts w:ascii="Times New Roman" w:hAnsi="Times New Roman" w:cs="Times New Roman"/>
          <w:sz w:val="24"/>
          <w:szCs w:val="23"/>
          <w:lang w:val="es-PE"/>
        </w:rPr>
        <w:t xml:space="preserve">ueden presentar alegaciones, </w:t>
      </w:r>
      <w:r w:rsidR="00733004" w:rsidRPr="00592BB0">
        <w:rPr>
          <w:rFonts w:ascii="Times New Roman" w:hAnsi="Times New Roman" w:cs="Times New Roman"/>
          <w:sz w:val="24"/>
          <w:szCs w:val="23"/>
          <w:lang w:val="es-PE"/>
        </w:rPr>
        <w:t>ofrecer y actuar pruebas de toda clase hasta que</w:t>
      </w:r>
      <w:r w:rsidRPr="00592BB0">
        <w:rPr>
          <w:rFonts w:ascii="Times New Roman" w:hAnsi="Times New Roman" w:cs="Times New Roman"/>
          <w:sz w:val="24"/>
          <w:szCs w:val="23"/>
          <w:lang w:val="es-PE"/>
        </w:rPr>
        <w:t xml:space="preserve"> </w:t>
      </w:r>
      <w:r w:rsidR="008F202B" w:rsidRPr="00592BB0">
        <w:rPr>
          <w:rFonts w:ascii="Times New Roman" w:hAnsi="Times New Roman" w:cs="Times New Roman"/>
          <w:sz w:val="24"/>
          <w:szCs w:val="23"/>
          <w:lang w:val="es-PE"/>
        </w:rPr>
        <w:t>el</w:t>
      </w:r>
      <w:r w:rsidR="000F55CC" w:rsidRPr="00592BB0">
        <w:rPr>
          <w:rFonts w:ascii="Times New Roman" w:hAnsi="Times New Roman" w:cs="Times New Roman"/>
          <w:sz w:val="24"/>
          <w:szCs w:val="23"/>
          <w:lang w:val="es-PE"/>
        </w:rPr>
        <w:t xml:space="preserve"> mismo sea resuelto</w:t>
      </w:r>
      <w:r w:rsidR="00733004" w:rsidRPr="00592BB0">
        <w:rPr>
          <w:rFonts w:ascii="Times New Roman" w:hAnsi="Times New Roman" w:cs="Times New Roman"/>
          <w:sz w:val="24"/>
          <w:szCs w:val="23"/>
          <w:lang w:val="es-PE"/>
        </w:rPr>
        <w:t>.</w:t>
      </w:r>
      <w:r w:rsidR="000F55CC" w:rsidRPr="00592BB0">
        <w:rPr>
          <w:rStyle w:val="Refdenotaalpie"/>
          <w:rFonts w:ascii="Times New Roman" w:hAnsi="Times New Roman" w:cs="Times New Roman"/>
          <w:sz w:val="24"/>
          <w:szCs w:val="23"/>
          <w:lang w:val="es-PE"/>
        </w:rPr>
        <w:footnoteReference w:id="6"/>
      </w:r>
      <w:r w:rsidR="00733004" w:rsidRPr="00592BB0">
        <w:rPr>
          <w:rFonts w:ascii="Times New Roman" w:hAnsi="Times New Roman" w:cs="Times New Roman"/>
          <w:sz w:val="24"/>
          <w:szCs w:val="23"/>
          <w:lang w:val="es-PE"/>
        </w:rPr>
        <w:t xml:space="preserve"> </w:t>
      </w:r>
    </w:p>
    <w:p w14:paraId="0528D472" w14:textId="4317C0AC" w:rsidR="000F55CC" w:rsidRPr="00592BB0" w:rsidRDefault="000F55CC"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En la medida que</w:t>
      </w:r>
      <w:r w:rsidR="00F33570" w:rsidRPr="00592BB0">
        <w:rPr>
          <w:rFonts w:ascii="Times New Roman" w:hAnsi="Times New Roman" w:cs="Times New Roman"/>
          <w:sz w:val="24"/>
          <w:szCs w:val="23"/>
          <w:lang w:val="es-PE"/>
        </w:rPr>
        <w:t xml:space="preserve">, para resolver la materia controvertida, </w:t>
      </w:r>
      <w:r w:rsidR="000D4AFC" w:rsidRPr="00592BB0">
        <w:rPr>
          <w:rFonts w:ascii="Times New Roman" w:hAnsi="Times New Roman" w:cs="Times New Roman"/>
          <w:sz w:val="24"/>
          <w:szCs w:val="23"/>
          <w:lang w:val="es-PE"/>
        </w:rPr>
        <w:t xml:space="preserve">el Reglamento habilita a este Colegiado a requerir información a las partes </w:t>
      </w:r>
      <w:r w:rsidR="00F52FDD" w:rsidRPr="00592BB0">
        <w:rPr>
          <w:rFonts w:ascii="Times New Roman" w:hAnsi="Times New Roman" w:cs="Times New Roman"/>
          <w:sz w:val="24"/>
          <w:szCs w:val="23"/>
          <w:lang w:val="es-PE"/>
        </w:rPr>
        <w:t>-por intermedio de la Secretaría Técnica</w:t>
      </w:r>
      <w:r w:rsidR="00F33570" w:rsidRPr="00592BB0">
        <w:rPr>
          <w:rFonts w:ascii="Times New Roman" w:hAnsi="Times New Roman" w:cs="Times New Roman"/>
          <w:sz w:val="24"/>
          <w:szCs w:val="23"/>
          <w:lang w:val="es-PE"/>
        </w:rPr>
        <w:t>-,</w:t>
      </w:r>
      <w:r w:rsidR="00F52FDD" w:rsidRPr="00592BB0">
        <w:rPr>
          <w:rFonts w:ascii="Times New Roman" w:hAnsi="Times New Roman" w:cs="Times New Roman"/>
          <w:sz w:val="24"/>
          <w:szCs w:val="23"/>
          <w:lang w:val="es-PE"/>
        </w:rPr>
        <w:t xml:space="preserve"> cada </w:t>
      </w:r>
      <w:r w:rsidR="000D4AFC" w:rsidRPr="00592BB0">
        <w:rPr>
          <w:rFonts w:ascii="Times New Roman" w:hAnsi="Times New Roman" w:cs="Times New Roman"/>
          <w:sz w:val="24"/>
          <w:szCs w:val="23"/>
          <w:lang w:val="es-PE"/>
        </w:rPr>
        <w:t xml:space="preserve">vez que </w:t>
      </w:r>
      <w:r w:rsidR="00F52FDD" w:rsidRPr="00592BB0">
        <w:rPr>
          <w:rFonts w:ascii="Times New Roman" w:hAnsi="Times New Roman" w:cs="Times New Roman"/>
          <w:sz w:val="24"/>
          <w:szCs w:val="23"/>
          <w:lang w:val="es-PE"/>
        </w:rPr>
        <w:t xml:space="preserve">lo considere </w:t>
      </w:r>
      <w:r w:rsidR="00670183" w:rsidRPr="00592BB0">
        <w:rPr>
          <w:rFonts w:ascii="Times New Roman" w:hAnsi="Times New Roman" w:cs="Times New Roman"/>
          <w:sz w:val="24"/>
          <w:szCs w:val="23"/>
          <w:lang w:val="es-PE"/>
        </w:rPr>
        <w:t>pertinente</w:t>
      </w:r>
      <w:r w:rsidR="008C70D4" w:rsidRPr="00592BB0">
        <w:rPr>
          <w:rStyle w:val="Refdenotaalpie"/>
          <w:rFonts w:ascii="Times New Roman" w:hAnsi="Times New Roman" w:cs="Times New Roman"/>
          <w:sz w:val="24"/>
          <w:szCs w:val="23"/>
          <w:lang w:val="es-PE"/>
        </w:rPr>
        <w:footnoteReference w:id="7"/>
      </w:r>
      <w:r w:rsidR="00F52FDD" w:rsidRPr="00592BB0">
        <w:rPr>
          <w:rFonts w:ascii="Times New Roman" w:hAnsi="Times New Roman" w:cs="Times New Roman"/>
          <w:sz w:val="24"/>
          <w:szCs w:val="23"/>
          <w:lang w:val="es-PE"/>
        </w:rPr>
        <w:t>, el requerimiento de información realizado el 1 de septiembre de 2025</w:t>
      </w:r>
      <w:r w:rsidR="00670183" w:rsidRPr="00592BB0">
        <w:rPr>
          <w:rFonts w:ascii="Times New Roman" w:hAnsi="Times New Roman" w:cs="Times New Roman"/>
          <w:sz w:val="24"/>
          <w:szCs w:val="23"/>
          <w:lang w:val="es-PE"/>
        </w:rPr>
        <w:t xml:space="preserve"> </w:t>
      </w:r>
      <w:r w:rsidR="00F52FDD" w:rsidRPr="00592BB0">
        <w:rPr>
          <w:rFonts w:ascii="Times New Roman" w:hAnsi="Times New Roman" w:cs="Times New Roman"/>
          <w:sz w:val="24"/>
          <w:szCs w:val="23"/>
          <w:lang w:val="es-PE"/>
        </w:rPr>
        <w:t>se encuentr</w:t>
      </w:r>
      <w:r w:rsidR="00AB0989" w:rsidRPr="00592BB0">
        <w:rPr>
          <w:rFonts w:ascii="Times New Roman" w:hAnsi="Times New Roman" w:cs="Times New Roman"/>
          <w:sz w:val="24"/>
          <w:szCs w:val="23"/>
          <w:lang w:val="es-PE"/>
        </w:rPr>
        <w:t>a</w:t>
      </w:r>
      <w:r w:rsidR="00F52FDD" w:rsidRPr="00592BB0">
        <w:rPr>
          <w:rFonts w:ascii="Times New Roman" w:hAnsi="Times New Roman" w:cs="Times New Roman"/>
          <w:sz w:val="24"/>
          <w:szCs w:val="23"/>
          <w:lang w:val="es-PE"/>
        </w:rPr>
        <w:t xml:space="preserve"> ajustado a derecho.   </w:t>
      </w:r>
    </w:p>
    <w:p w14:paraId="640AB218" w14:textId="5940CA4A" w:rsidR="00366F29" w:rsidRPr="00592BB0" w:rsidRDefault="00F52FDD"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QUINTO: A través de su recurso impugnativo, la asegurada discrepa con lo resuelto por la Sala Colegiada básicamente por los siguientes argumentos: i) que, ………………… habría presentado dos correos electrónicos distintos, el primero con ocasión de su absolución de reclamo, el 20 de junio, que aún cuando no contenía anexo alguno, se certificaba su entrega el día 13 de enero a las 10.09 h; y, otro, el 3 de septiembre, remitido aparentemente a la dirección electrónica de ………………… y a una dirección electrónica que no corresponde a la de su corredora de seguros; ii) que, presentó un escrito de su corredora en el cual se detalla la forma en que se le informó de la contratación del seguro por parte de la empresa aseguradora, por medio de WhatsApp, adjuntando la Póliza vehicular correspondiente, compuesta por cinco hojas; iii) que, no se le pueden oponer pactos que no han sido debidamente comunicados; y, iv) que, no es cierto que Evicertia sea un notario digital.</w:t>
      </w:r>
    </w:p>
    <w:p w14:paraId="753B99A2" w14:textId="3E9AA0DD" w:rsidR="00F52FDD" w:rsidRPr="00592BB0" w:rsidRDefault="00F52FDD"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SEXTO: Tal como hemos resumido en el considerando precedente, …………………, además de negar la recepción de la Póliza vía correo electrónico, pone en duda la veracidad de su entrega por parte de …………………, en la medida que la empresa …………………, no sólo un correo electrónico, sino dos.</w:t>
      </w:r>
    </w:p>
    <w:bookmarkEnd w:id="8"/>
    <w:p w14:paraId="1F693B39" w14:textId="69AF83C9" w:rsidR="00420399" w:rsidRPr="00592BB0" w:rsidRDefault="00420399"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El primero de estos correos se habría presentado con ocasión de la absolución del reclamo de ………………… el 20 de junio de 2025, certificándose que fue remitido el día 13 de enero a las 10.09 h; y el segundo, en el escrito de ………………… del 3 de septiembre, el cual se habría remitido a la dirección electrónica de ………………… y a otro correo electrónico con la dirección: ‹…………………›, que no correspondería con la de su corredora de seguros.</w:t>
      </w:r>
    </w:p>
    <w:p w14:paraId="22089849" w14:textId="6A240BD3" w:rsidR="00207461" w:rsidRPr="00592BB0" w:rsidRDefault="00207461"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En su escrito de absolución de reclamo del 20 de junio de 2025, ………………… incorpora una imagen de su gestor del correo electrónico, en el cual se aprecia que el 13 de enero de 2025, envió un correo electrónico a las 10.09 h, a dos direcciones: ‹…………………› y ‹…………………›.</w:t>
      </w:r>
    </w:p>
    <w:p w14:paraId="7639A522" w14:textId="7CDBB197" w:rsidR="004C0D35" w:rsidRPr="00592BB0" w:rsidRDefault="004C0D35" w:rsidP="00592BB0">
      <w:pPr>
        <w:spacing w:after="200" w:line="240" w:lineRule="auto"/>
        <w:jc w:val="center"/>
        <w:rPr>
          <w:rFonts w:ascii="Times New Roman" w:hAnsi="Times New Roman" w:cs="Times New Roman"/>
          <w:sz w:val="23"/>
          <w:szCs w:val="23"/>
          <w:lang w:val="es-PE"/>
        </w:rPr>
      </w:pPr>
      <w:r>
        <w:rPr>
          <w:rFonts w:ascii="Times New Roman" w:hAnsi="Times New Roman"/>
          <w:sz w:val="24"/>
        </w:rPr>
        <w:t xml:space="preserve">…………………</w:t>
      </w:r>
    </w:p>
    <w:p w14:paraId="0530CC3F" w14:textId="07A7D2DD" w:rsidR="00B74AA1" w:rsidRPr="00592BB0" w:rsidRDefault="00207461"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Sin embargo, como ha señalado este Colegiado recientemente, una imagen insertada en un mensaje de correo electrónico, donde se advierte solo parte del contenido del correo electrónico o del gestor de correo de la empresa aseguradora, no genera convicción respecto del cumplimiento de la obligación legal de entregar la Póliza al asegurado, tal como lo dispone el artículo 26 de la Ley del Contrato de Seguro y el artículo 24 de la Resolución SBS n.° 4143-2019 (Reglamento de gestión de conducta del mercado del sistema de seguros).</w:t>
      </w:r>
    </w:p>
    <w:bookmarkEnd w:id="9"/>
    <w:p w14:paraId="063CBE80" w14:textId="235557E1" w:rsidR="00B74AA1" w:rsidRPr="00592BB0" w:rsidRDefault="00B74AA1" w:rsidP="00592BB0">
      <w:pPr>
        <w:spacing w:after="120" w:line="240" w:lineRule="auto"/>
        <w:jc w:val="both"/>
        <w:rPr>
          <w:rFonts w:ascii="Times New Roman" w:hAnsi="Times New Roman" w:cs="Times New Roman"/>
          <w:sz w:val="23"/>
          <w:szCs w:val="23"/>
          <w:lang w:val="es-PE"/>
        </w:rPr>
      </w:pPr>
      <w:r>
        <w:rPr>
          <w:rFonts w:ascii="Times New Roman" w:hAnsi="Times New Roman"/>
          <w:sz w:val="24"/>
        </w:rPr>
        <w:t xml:space="preserve">Adicionalmente, ………………… adjuntó con su escrito de absolución de reclamo, una serie de Certificados emitidos por Evicertia, a partir de los cuales se dejaría constancia, que el día lunes, 13 de enero de 2025 a las 15:09:37 (hora UTC), se envió un correo electrónico desde la dirección electrónica ‹…………………›, dirigido a ‹…………………›, con el título “Poliza N° ………………… …………………” y el siguiente mensaje: </w:t>
      </w:r>
    </w:p>
    <w:p w14:paraId="4AB8EF39" w14:textId="235A7025" w:rsidR="003B6892" w:rsidRPr="00592BB0" w:rsidRDefault="003B6892"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«Estimado Cliente,</w:t>
      </w:r>
    </w:p>
    <w:p w14:paraId="33BE39CC" w14:textId="77777777" w:rsidR="003B6892" w:rsidRPr="00592BB0" w:rsidRDefault="003B6892" w:rsidP="00592BB0">
      <w:pPr>
        <w:spacing w:after="60" w:line="240" w:lineRule="auto"/>
        <w:ind w:left="2268"/>
        <w:jc w:val="both"/>
        <w:rPr>
          <w:rFonts w:ascii="Times New Roman" w:hAnsi="Times New Roman" w:cs="Times New Roman"/>
          <w:i/>
          <w:iCs/>
          <w:sz w:val="23"/>
          <w:szCs w:val="23"/>
          <w:lang w:val="es-PE"/>
        </w:rPr>
      </w:pPr>
      <w:r>
        <w:rPr>
          <w:rFonts w:ascii="Times New Roman" w:hAnsi="Times New Roman"/>
          <w:sz w:val="24"/>
        </w:rPr>
        <w:t xml:space="preserve">Adjuntamos información importante sobre su póliza de Seguro con ………………… Compañía de Seguros.</w:t>
      </w:r>
    </w:p>
    <w:p w14:paraId="23BC03A7" w14:textId="77777777" w:rsidR="003B6892" w:rsidRPr="00592BB0" w:rsidRDefault="003B6892"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Estamos enviando copia de la póliza a su bróker de confianza, quien podrá explicarle a detalle las condiciones de la misma.</w:t>
      </w:r>
    </w:p>
    <w:p w14:paraId="7EE4EE83" w14:textId="77777777" w:rsidR="003B6892" w:rsidRPr="00592BB0" w:rsidRDefault="003B6892"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Buzón Desatendido, por favor no responder</w:t>
      </w:r>
    </w:p>
    <w:p w14:paraId="3AD70EAE" w14:textId="09173787" w:rsidR="003B6892" w:rsidRPr="00592BB0" w:rsidRDefault="003B6892" w:rsidP="00592BB0">
      <w:pPr>
        <w:spacing w:after="200" w:line="240" w:lineRule="auto"/>
        <w:ind w:left="2268"/>
        <w:jc w:val="both"/>
        <w:rPr>
          <w:rFonts w:ascii="Times New Roman" w:hAnsi="Times New Roman" w:cs="Times New Roman"/>
          <w:i/>
          <w:iCs/>
          <w:sz w:val="23"/>
          <w:szCs w:val="23"/>
          <w:lang w:val="es-PE"/>
        </w:rPr>
      </w:pPr>
      <w:r>
        <w:rPr>
          <w:rFonts w:ascii="Times New Roman" w:hAnsi="Times New Roman"/>
          <w:sz w:val="24"/>
        </w:rPr>
        <w:t xml:space="preserve">En caso tengas dudas o consultas, envíanos un correo a ………………… o comunicate (sic) con tu corredor de seguros.»</w:t>
      </w:r>
    </w:p>
    <w:p w14:paraId="77B93F6C" w14:textId="4C51165E" w:rsidR="0007459F" w:rsidRPr="00592BB0" w:rsidRDefault="009E5446" w:rsidP="00592BB0">
      <w:pPr>
        <w:spacing w:after="12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Por otro lado</w:t>
      </w:r>
      <w:r w:rsidR="0007459F" w:rsidRPr="00592BB0">
        <w:rPr>
          <w:rFonts w:ascii="Times New Roman" w:hAnsi="Times New Roman" w:cs="Times New Roman"/>
          <w:sz w:val="24"/>
          <w:szCs w:val="23"/>
          <w:lang w:val="es-PE"/>
        </w:rPr>
        <w:t>,</w:t>
      </w:r>
      <w:r w:rsidR="000B71A2" w:rsidRPr="00592BB0">
        <w:rPr>
          <w:rFonts w:ascii="Times New Roman" w:hAnsi="Times New Roman" w:cs="Times New Roman"/>
          <w:sz w:val="24"/>
          <w:szCs w:val="23"/>
          <w:lang w:val="es-PE"/>
        </w:rPr>
        <w:t xml:space="preserve"> </w:t>
      </w:r>
      <w:r w:rsidRPr="00592BB0">
        <w:rPr>
          <w:rFonts w:ascii="Times New Roman" w:hAnsi="Times New Roman" w:cs="Times New Roman"/>
          <w:sz w:val="24"/>
          <w:szCs w:val="23"/>
          <w:lang w:val="es-PE"/>
        </w:rPr>
        <w:t>e</w:t>
      </w:r>
      <w:r w:rsidR="0007459F" w:rsidRPr="00592BB0">
        <w:rPr>
          <w:rFonts w:ascii="Times New Roman" w:hAnsi="Times New Roman" w:cs="Times New Roman"/>
          <w:sz w:val="24"/>
          <w:szCs w:val="23"/>
          <w:lang w:val="es-PE"/>
        </w:rPr>
        <w:t xml:space="preserve">l </w:t>
      </w:r>
      <w:r w:rsidR="000B71A2" w:rsidRPr="00592BB0">
        <w:rPr>
          <w:rFonts w:ascii="Times New Roman" w:hAnsi="Times New Roman" w:cs="Times New Roman"/>
          <w:sz w:val="24"/>
          <w:szCs w:val="23"/>
          <w:lang w:val="es-PE"/>
        </w:rPr>
        <w:t>“</w:t>
      </w:r>
      <w:r w:rsidR="0007459F" w:rsidRPr="00592BB0">
        <w:rPr>
          <w:rFonts w:ascii="Times New Roman" w:hAnsi="Times New Roman" w:cs="Times New Roman"/>
          <w:sz w:val="24"/>
          <w:szCs w:val="23"/>
          <w:lang w:val="es-PE"/>
        </w:rPr>
        <w:t>Certificado</w:t>
      </w:r>
      <w:r w:rsidR="000B71A2" w:rsidRPr="00592BB0">
        <w:rPr>
          <w:rFonts w:ascii="Times New Roman" w:hAnsi="Times New Roman" w:cs="Times New Roman"/>
          <w:sz w:val="24"/>
          <w:szCs w:val="23"/>
          <w:lang w:val="es-PE"/>
        </w:rPr>
        <w:t xml:space="preserve"> de admisión del email certificado”</w:t>
      </w:r>
      <w:r w:rsidR="0007459F" w:rsidRPr="00592BB0">
        <w:rPr>
          <w:rFonts w:ascii="Times New Roman" w:hAnsi="Times New Roman" w:cs="Times New Roman"/>
          <w:sz w:val="24"/>
          <w:szCs w:val="23"/>
          <w:lang w:val="es-PE"/>
        </w:rPr>
        <w:t xml:space="preserve">, </w:t>
      </w:r>
      <w:r w:rsidRPr="00592BB0">
        <w:rPr>
          <w:rFonts w:ascii="Times New Roman" w:hAnsi="Times New Roman" w:cs="Times New Roman"/>
          <w:sz w:val="24"/>
          <w:szCs w:val="23"/>
          <w:lang w:val="es-PE"/>
        </w:rPr>
        <w:t>señala que se encuentran ane</w:t>
      </w:r>
      <w:r w:rsidR="008F202B" w:rsidRPr="00592BB0">
        <w:rPr>
          <w:rFonts w:ascii="Times New Roman" w:hAnsi="Times New Roman" w:cs="Times New Roman"/>
          <w:sz w:val="24"/>
          <w:szCs w:val="23"/>
          <w:lang w:val="es-PE"/>
        </w:rPr>
        <w:t>x</w:t>
      </w:r>
      <w:r w:rsidRPr="00592BB0">
        <w:rPr>
          <w:rFonts w:ascii="Times New Roman" w:hAnsi="Times New Roman" w:cs="Times New Roman"/>
          <w:sz w:val="24"/>
          <w:szCs w:val="23"/>
          <w:lang w:val="es-PE"/>
        </w:rPr>
        <w:t xml:space="preserve">os al correo recibido </w:t>
      </w:r>
      <w:r w:rsidR="0007459F" w:rsidRPr="00592BB0">
        <w:rPr>
          <w:rFonts w:ascii="Times New Roman" w:hAnsi="Times New Roman" w:cs="Times New Roman"/>
          <w:sz w:val="24"/>
          <w:szCs w:val="23"/>
          <w:lang w:val="es-PE"/>
        </w:rPr>
        <w:t xml:space="preserve">los siguientes documentos: </w:t>
      </w:r>
    </w:p>
    <w:p w14:paraId="63041B64" w14:textId="468A903C" w:rsidR="0007459F" w:rsidRPr="00592BB0" w:rsidRDefault="0007459F"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«Nombre del fichero: Universal000080019663000000.pdf</w:t>
      </w:r>
    </w:p>
    <w:p w14:paraId="2F9BB3DB" w14:textId="77777777" w:rsidR="0007459F" w:rsidRPr="00592BB0" w:rsidRDefault="0007459F" w:rsidP="00592BB0">
      <w:pPr>
        <w:spacing w:after="60" w:line="240" w:lineRule="auto"/>
        <w:ind w:left="2268"/>
        <w:jc w:val="both"/>
        <w:rPr>
          <w:rFonts w:ascii="Times New Roman" w:hAnsi="Times New Roman" w:cs="Times New Roman"/>
          <w:i/>
          <w:iCs/>
          <w:sz w:val="23"/>
          <w:szCs w:val="23"/>
          <w:lang w:val="es-PE"/>
        </w:rPr>
      </w:pPr>
      <w:r>
        <w:rPr>
          <w:rFonts w:ascii="Times New Roman" w:hAnsi="Times New Roman"/>
          <w:sz w:val="24"/>
        </w:rPr>
        <w:t xml:space="preserve">Detalles: …………………:f6ea8f97909bd35446c765c89c2adbbc0cef83eae9098f8a8dee42b33e153fdd (Bytes: 750142)</w:t>
      </w:r>
    </w:p>
    <w:p w14:paraId="034F9AF3" w14:textId="77777777" w:rsidR="0007459F" w:rsidRPr="00592BB0" w:rsidRDefault="0007459F"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Nombre del fichero: CondicionesGeneralesLivianos.pdf</w:t>
      </w:r>
    </w:p>
    <w:p w14:paraId="1FF80D35" w14:textId="4CCC3AF8" w:rsidR="0007459F" w:rsidRPr="00592BB0" w:rsidRDefault="0007459F" w:rsidP="00592BB0">
      <w:pPr>
        <w:spacing w:after="200" w:line="240" w:lineRule="auto"/>
        <w:ind w:left="2268"/>
        <w:jc w:val="both"/>
        <w:rPr>
          <w:rFonts w:ascii="Times New Roman" w:hAnsi="Times New Roman" w:cs="Times New Roman"/>
          <w:i/>
          <w:iCs/>
          <w:sz w:val="23"/>
          <w:szCs w:val="23"/>
          <w:lang w:val="es-PE"/>
        </w:rPr>
      </w:pPr>
      <w:r>
        <w:rPr>
          <w:rFonts w:ascii="Times New Roman" w:hAnsi="Times New Roman"/>
          <w:sz w:val="24"/>
        </w:rPr>
        <w:t xml:space="preserve">Detalles: …………………:91bd5ce89204a64c92dac02278130812cf2f903267fd094f391d38cfe7b5f5fb (Bytes: 1519112)»</w:t>
      </w:r>
    </w:p>
    <w:p w14:paraId="376EBADE" w14:textId="3B742C7D" w:rsidR="005D17D1" w:rsidRPr="00592BB0" w:rsidRDefault="00B74AA1"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Asimismo, en el denominado “Certificación de resultado de transmisión del email certificado” se observa que el correo con la Póliza se envió a la dirección de correo electrónico de la asegurada ‹…………………› el 13 de enero de 2025 a las 15:09:50 (UTC).</w:t>
      </w:r>
    </w:p>
    <w:p w14:paraId="12D8036F" w14:textId="2BD4489E" w:rsidR="002F57BF" w:rsidRPr="00592BB0" w:rsidRDefault="002F57BF"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 a requerimiento de esta Defensoría, presentó, en formato “.msg”, una copia del correo electrónico remitido a la dirección de la asegurada el día 3 de enero de 2025. Este mensaje fue enviado a las 10:09 h, con el asunto: “Poliza N° ………………… …………………” y contiene dos anexos con los nombres: ‹Universal000080019663000000› y ‹CondicionesGeneralesLivianos›, ambos en formato “.pdf”. Dicho mensaje electrónico contiene el siguiente mensaje: </w:t>
      </w:r>
    </w:p>
    <w:p w14:paraId="36B3D6E0" w14:textId="77777777" w:rsidR="00BE2EDB" w:rsidRPr="00592BB0" w:rsidRDefault="00BE2EDB"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«Estimado Cliente,</w:t>
      </w:r>
    </w:p>
    <w:p w14:paraId="2C472FBC" w14:textId="77777777" w:rsidR="00BE2EDB" w:rsidRPr="00592BB0" w:rsidRDefault="00BE2EDB" w:rsidP="00592BB0">
      <w:pPr>
        <w:spacing w:after="60" w:line="240" w:lineRule="auto"/>
        <w:ind w:left="2268"/>
        <w:jc w:val="both"/>
        <w:rPr>
          <w:rFonts w:ascii="Times New Roman" w:hAnsi="Times New Roman" w:cs="Times New Roman"/>
          <w:i/>
          <w:iCs/>
          <w:sz w:val="23"/>
          <w:szCs w:val="23"/>
          <w:lang w:val="es-PE"/>
        </w:rPr>
      </w:pPr>
      <w:r>
        <w:rPr>
          <w:rFonts w:ascii="Times New Roman" w:hAnsi="Times New Roman"/>
          <w:sz w:val="24"/>
        </w:rPr>
        <w:t xml:space="preserve">Adjuntamos información importante sobre su póliza de Seguro con ………………… Compañía de Seguros.</w:t>
      </w:r>
    </w:p>
    <w:p w14:paraId="41FF0967" w14:textId="77777777" w:rsidR="00BE2EDB" w:rsidRPr="00592BB0" w:rsidRDefault="00BE2EDB"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Estamos enviando copia de la póliza a su bróker de confianza, quien podrá explicarle a detalle las condiciones de la misma.</w:t>
      </w:r>
    </w:p>
    <w:p w14:paraId="7018808B" w14:textId="77777777" w:rsidR="00BE2EDB" w:rsidRPr="00592BB0" w:rsidRDefault="00BE2EDB" w:rsidP="00592BB0">
      <w:pPr>
        <w:spacing w:after="60" w:line="240" w:lineRule="auto"/>
        <w:ind w:left="2268"/>
        <w:jc w:val="both"/>
        <w:rPr>
          <w:rFonts w:ascii="Times New Roman" w:hAnsi="Times New Roman" w:cs="Times New Roman"/>
          <w:i/>
          <w:iCs/>
          <w:sz w:val="23"/>
          <w:szCs w:val="23"/>
          <w:lang w:val="es-PE"/>
        </w:rPr>
      </w:pPr>
      <w:r w:rsidRPr="00592BB0">
        <w:rPr>
          <w:rFonts w:ascii="Times New Roman" w:hAnsi="Times New Roman" w:cs="Times New Roman"/>
          <w:i/>
          <w:iCs/>
          <w:sz w:val="24"/>
          <w:szCs w:val="23"/>
          <w:lang w:val="es-PE"/>
        </w:rPr>
        <w:t>Buzón Desatendido, por favor no responder</w:t>
      </w:r>
    </w:p>
    <w:p w14:paraId="77084350" w14:textId="4D85D0AE" w:rsidR="00BE2EDB" w:rsidRPr="00592BB0" w:rsidRDefault="00BE2EDB" w:rsidP="00592BB0">
      <w:pPr>
        <w:spacing w:after="200" w:line="240" w:lineRule="auto"/>
        <w:ind w:left="2268"/>
        <w:jc w:val="both"/>
        <w:rPr>
          <w:rFonts w:ascii="Times New Roman" w:hAnsi="Times New Roman" w:cs="Times New Roman"/>
          <w:i/>
          <w:iCs/>
          <w:sz w:val="23"/>
          <w:szCs w:val="23"/>
          <w:lang w:val="es-PE"/>
        </w:rPr>
      </w:pPr>
      <w:r>
        <w:rPr>
          <w:rFonts w:ascii="Times New Roman" w:hAnsi="Times New Roman"/>
          <w:sz w:val="24"/>
        </w:rPr>
        <w:t xml:space="preserve">En caso tengas dudas o consultas, envíanos un correo a ………………… o comunicate (sic) con tu corredor de seguros.»</w:t>
      </w:r>
    </w:p>
    <w:p w14:paraId="21A378C8" w14:textId="155B0A9A" w:rsidR="00BE2EDB" w:rsidRPr="00592BB0" w:rsidRDefault="00BE2EDB"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Como se puede observar de la información detallada en los párrafos anteriores, la información remitida a esta Defensoría el 3 de septiembre por ………………… -respecto del envío del correo electrónico a la asegurada adjuntando la Póliza-, es la misma que la contenida en su escrito de absolución de reclamo, el día 20 de junio de 2025, por lo que no se pude señalar -tal como hace la asegurada- que se trataría de dos mensajes distintos.</w:t>
      </w:r>
    </w:p>
    <w:p w14:paraId="3AACBF4D" w14:textId="6695408D" w:rsidR="00AB2B72" w:rsidRPr="00592BB0" w:rsidRDefault="00890096"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La asegurada cuestiona la idoneidad de los certificados presentados por Evicertia como prueba del envío de la Póliza a través de un correo electrónico el 13 de enero de 2025. Específicamente, ………………… señala que Evicertia no tiene la condición de notario digital, sino que es una empresa ………………… de tercero de confianza, por lo que el servicio que brinda es de exclusiva responsabilidad de quien lo contrata. </w:t>
      </w:r>
    </w:p>
    <w:p w14:paraId="24C66DC2" w14:textId="49B58FCF" w:rsidR="00A11E57" w:rsidRPr="00592BB0" w:rsidRDefault="00AB2B72"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Este Colegiado no comparte la apreciación de …………………. En primer lugar, la Resolución Impugnada no indica que Evicertia sea un “notario digital”, puesto que la misma constituye una nomenclatura ajena a nuestra legislación. </w:t>
      </w:r>
    </w:p>
    <w:p w14:paraId="413454CB" w14:textId="12D1CBCE" w:rsidR="00AB2B72" w:rsidRPr="00592BB0" w:rsidRDefault="00890096"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Por otro lado, d</w:t>
      </w:r>
      <w:r w:rsidR="00A11E57" w:rsidRPr="00592BB0">
        <w:rPr>
          <w:rFonts w:ascii="Times New Roman" w:hAnsi="Times New Roman" w:cs="Times New Roman"/>
          <w:sz w:val="24"/>
          <w:szCs w:val="23"/>
          <w:lang w:val="es-PE"/>
        </w:rPr>
        <w:t xml:space="preserve">e acuerdo con la información que provee la propia empresa, </w:t>
      </w:r>
      <w:r w:rsidR="00AB2B72" w:rsidRPr="00592BB0">
        <w:rPr>
          <w:rFonts w:ascii="Times New Roman" w:hAnsi="Times New Roman" w:cs="Times New Roman"/>
          <w:sz w:val="24"/>
          <w:szCs w:val="23"/>
          <w:lang w:val="es-PE"/>
        </w:rPr>
        <w:t xml:space="preserve">Evicertia </w:t>
      </w:r>
      <w:r w:rsidR="00D21076" w:rsidRPr="00592BB0">
        <w:rPr>
          <w:rFonts w:ascii="Times New Roman" w:hAnsi="Times New Roman" w:cs="Times New Roman"/>
          <w:sz w:val="24"/>
          <w:szCs w:val="23"/>
          <w:lang w:val="es-PE"/>
        </w:rPr>
        <w:t xml:space="preserve">brinda </w:t>
      </w:r>
      <w:r w:rsidR="00AB2B72" w:rsidRPr="00592BB0">
        <w:rPr>
          <w:rFonts w:ascii="Times New Roman" w:hAnsi="Times New Roman" w:cs="Times New Roman"/>
          <w:sz w:val="24"/>
          <w:szCs w:val="23"/>
          <w:lang w:val="es-PE"/>
        </w:rPr>
        <w:t>servicio</w:t>
      </w:r>
      <w:r w:rsidR="00D21076" w:rsidRPr="00592BB0">
        <w:rPr>
          <w:rFonts w:ascii="Times New Roman" w:hAnsi="Times New Roman" w:cs="Times New Roman"/>
          <w:sz w:val="24"/>
          <w:szCs w:val="23"/>
          <w:lang w:val="es-PE"/>
        </w:rPr>
        <w:t>s</w:t>
      </w:r>
      <w:r w:rsidR="00AB2B72" w:rsidRPr="00592BB0">
        <w:rPr>
          <w:rFonts w:ascii="Times New Roman" w:hAnsi="Times New Roman" w:cs="Times New Roman"/>
          <w:sz w:val="24"/>
          <w:szCs w:val="23"/>
          <w:lang w:val="es-PE"/>
        </w:rPr>
        <w:t xml:space="preserve"> especializado</w:t>
      </w:r>
      <w:r w:rsidR="00D21076" w:rsidRPr="00592BB0">
        <w:rPr>
          <w:rFonts w:ascii="Times New Roman" w:hAnsi="Times New Roman" w:cs="Times New Roman"/>
          <w:sz w:val="24"/>
          <w:szCs w:val="23"/>
          <w:lang w:val="es-PE"/>
        </w:rPr>
        <w:t>s</w:t>
      </w:r>
      <w:r w:rsidR="00AB2B72" w:rsidRPr="00592BB0">
        <w:rPr>
          <w:rFonts w:ascii="Times New Roman" w:hAnsi="Times New Roman" w:cs="Times New Roman"/>
          <w:sz w:val="24"/>
          <w:szCs w:val="23"/>
          <w:lang w:val="es-PE"/>
        </w:rPr>
        <w:t xml:space="preserve"> en comunicaciones certificadas, que actúa como un tercero de confianza, </w:t>
      </w:r>
      <w:r w:rsidR="00D21076" w:rsidRPr="00592BB0">
        <w:rPr>
          <w:rFonts w:ascii="Times New Roman" w:hAnsi="Times New Roman" w:cs="Times New Roman"/>
          <w:sz w:val="24"/>
          <w:szCs w:val="23"/>
          <w:lang w:val="es-PE"/>
        </w:rPr>
        <w:t xml:space="preserve">en sintonía </w:t>
      </w:r>
      <w:r w:rsidR="00AB2B72" w:rsidRPr="00592BB0">
        <w:rPr>
          <w:rFonts w:ascii="Times New Roman" w:hAnsi="Times New Roman" w:cs="Times New Roman"/>
          <w:sz w:val="24"/>
          <w:szCs w:val="23"/>
          <w:lang w:val="es-PE"/>
        </w:rPr>
        <w:t>con las normas de la Unión Europea y diversas legislaciones hispanoamericanas</w:t>
      </w:r>
      <w:r w:rsidR="00AB2B72" w:rsidRPr="00592BB0">
        <w:rPr>
          <w:rFonts w:ascii="Times New Roman" w:hAnsi="Times New Roman" w:cs="Times New Roman"/>
          <w:sz w:val="24"/>
          <w:szCs w:val="23"/>
          <w:vertAlign w:val="superscript"/>
        </w:rPr>
        <w:footnoteReference w:id="16"/>
      </w:r>
      <w:r w:rsidR="00507877" w:rsidRPr="00592BB0">
        <w:rPr>
          <w:rFonts w:ascii="Times New Roman" w:hAnsi="Times New Roman" w:cs="Times New Roman"/>
          <w:sz w:val="24"/>
          <w:szCs w:val="23"/>
          <w:lang w:val="es-PE"/>
        </w:rPr>
        <w:t xml:space="preserve"> entre las que se encuentra la peruana</w:t>
      </w:r>
      <w:r w:rsidR="00AB2B72" w:rsidRPr="00592BB0">
        <w:rPr>
          <w:rFonts w:ascii="Times New Roman" w:hAnsi="Times New Roman" w:cs="Times New Roman"/>
          <w:sz w:val="24"/>
          <w:szCs w:val="23"/>
          <w:lang w:val="es-PE"/>
        </w:rPr>
        <w:t>. En el caso de la Unión Europea</w:t>
      </w:r>
      <w:r w:rsidR="00A11E57" w:rsidRPr="00592BB0">
        <w:rPr>
          <w:rFonts w:ascii="Times New Roman" w:hAnsi="Times New Roman" w:cs="Times New Roman"/>
          <w:sz w:val="24"/>
          <w:szCs w:val="23"/>
          <w:lang w:val="es-PE"/>
        </w:rPr>
        <w:t xml:space="preserve">, sus actividades </w:t>
      </w:r>
      <w:r w:rsidR="00AB2B72" w:rsidRPr="00592BB0">
        <w:rPr>
          <w:rFonts w:ascii="Times New Roman" w:hAnsi="Times New Roman" w:cs="Times New Roman"/>
          <w:sz w:val="24"/>
          <w:szCs w:val="23"/>
          <w:lang w:val="es-PE"/>
        </w:rPr>
        <w:t>se rige</w:t>
      </w:r>
      <w:r w:rsidR="00A11E57" w:rsidRPr="00592BB0">
        <w:rPr>
          <w:rFonts w:ascii="Times New Roman" w:hAnsi="Times New Roman" w:cs="Times New Roman"/>
          <w:sz w:val="24"/>
          <w:szCs w:val="23"/>
          <w:lang w:val="es-PE"/>
        </w:rPr>
        <w:t>n</w:t>
      </w:r>
      <w:r w:rsidR="00AB2B72" w:rsidRPr="00592BB0">
        <w:rPr>
          <w:rFonts w:ascii="Times New Roman" w:hAnsi="Times New Roman" w:cs="Times New Roman"/>
          <w:sz w:val="24"/>
          <w:szCs w:val="23"/>
          <w:lang w:val="es-PE"/>
        </w:rPr>
        <w:t xml:space="preserve"> por el Reglamento n.° 910/2014 del Parlamento Europeo y del Consejo de</w:t>
      </w:r>
      <w:r w:rsidR="00A11E57" w:rsidRPr="00592BB0">
        <w:rPr>
          <w:rFonts w:ascii="Times New Roman" w:hAnsi="Times New Roman" w:cs="Times New Roman"/>
          <w:sz w:val="24"/>
          <w:szCs w:val="23"/>
          <w:lang w:val="es-PE"/>
        </w:rPr>
        <w:t>l</w:t>
      </w:r>
      <w:r w:rsidR="00AB2B72" w:rsidRPr="00592BB0">
        <w:rPr>
          <w:rFonts w:ascii="Times New Roman" w:hAnsi="Times New Roman" w:cs="Times New Roman"/>
          <w:sz w:val="24"/>
          <w:szCs w:val="23"/>
          <w:lang w:val="es-PE"/>
        </w:rPr>
        <w:t xml:space="preserve"> 23 de julio de 2014, conocido como Reglamento eIDAS (</w:t>
      </w:r>
      <w:r w:rsidR="00AB2B72" w:rsidRPr="00592BB0">
        <w:rPr>
          <w:rFonts w:ascii="Times New Roman" w:hAnsi="Times New Roman" w:cs="Times New Roman"/>
          <w:i/>
          <w:iCs/>
          <w:sz w:val="24"/>
          <w:szCs w:val="23"/>
          <w:lang w:val="es-PE"/>
        </w:rPr>
        <w:t>Electronic IDentification, Authentication and trust Services</w:t>
      </w:r>
      <w:r w:rsidR="00AB2B72" w:rsidRPr="00592BB0">
        <w:rPr>
          <w:rFonts w:ascii="Times New Roman" w:hAnsi="Times New Roman" w:cs="Times New Roman"/>
          <w:sz w:val="24"/>
          <w:szCs w:val="23"/>
          <w:lang w:val="es-PE"/>
        </w:rPr>
        <w:t xml:space="preserve"> - Servicios de identificación electrónica, autenticación y confianza), que entre otr</w:t>
      </w:r>
      <w:r w:rsidR="00A11E57" w:rsidRPr="00592BB0">
        <w:rPr>
          <w:rFonts w:ascii="Times New Roman" w:hAnsi="Times New Roman" w:cs="Times New Roman"/>
          <w:sz w:val="24"/>
          <w:szCs w:val="23"/>
          <w:lang w:val="es-PE"/>
        </w:rPr>
        <w:t>o</w:t>
      </w:r>
      <w:r w:rsidR="00AB2B72" w:rsidRPr="00592BB0">
        <w:rPr>
          <w:rFonts w:ascii="Times New Roman" w:hAnsi="Times New Roman" w:cs="Times New Roman"/>
          <w:sz w:val="24"/>
          <w:szCs w:val="23"/>
          <w:lang w:val="es-PE"/>
        </w:rPr>
        <w:t>s aspectos regula el</w:t>
      </w:r>
      <w:r w:rsidR="00507877" w:rsidRPr="00592BB0">
        <w:rPr>
          <w:rFonts w:ascii="Times New Roman" w:hAnsi="Times New Roman" w:cs="Times New Roman"/>
          <w:sz w:val="24"/>
          <w:szCs w:val="23"/>
          <w:lang w:val="es-PE"/>
        </w:rPr>
        <w:t xml:space="preserve"> denominado</w:t>
      </w:r>
      <w:r w:rsidR="00AB2B72" w:rsidRPr="00592BB0">
        <w:rPr>
          <w:rFonts w:ascii="Times New Roman" w:hAnsi="Times New Roman" w:cs="Times New Roman"/>
          <w:sz w:val="24"/>
          <w:szCs w:val="23"/>
          <w:lang w:val="es-PE"/>
        </w:rPr>
        <w:t xml:space="preserve"> “servicio de entrega electrónica certificada”, que permite transmitir datos entre partes terceras por medios electrónicos y aporta pruebas relacionadas con la gestión de los datos transmitidos, incluida la prueba del envío y recepción de los datos y protege los datos transmitidos frente a los riesgos de pérdida, robo, deterioro o alteración no autorizada. </w:t>
      </w:r>
      <w:r w:rsidR="00593730" w:rsidRPr="00592BB0">
        <w:rPr>
          <w:rFonts w:ascii="Times New Roman" w:hAnsi="Times New Roman" w:cs="Times New Roman"/>
          <w:sz w:val="24"/>
          <w:szCs w:val="23"/>
          <w:lang w:val="es-PE"/>
        </w:rPr>
        <w:t>De acuerdo con la mencionada regulación, los datos enviados o recibidos mediante este servicio t</w:t>
      </w:r>
      <w:r w:rsidR="00507877" w:rsidRPr="00592BB0">
        <w:rPr>
          <w:rFonts w:ascii="Times New Roman" w:hAnsi="Times New Roman" w:cs="Times New Roman"/>
          <w:sz w:val="24"/>
          <w:szCs w:val="23"/>
          <w:lang w:val="es-PE"/>
        </w:rPr>
        <w:t xml:space="preserve">ienen </w:t>
      </w:r>
      <w:r w:rsidR="00593730" w:rsidRPr="00592BB0">
        <w:rPr>
          <w:rFonts w:ascii="Times New Roman" w:hAnsi="Times New Roman" w:cs="Times New Roman"/>
          <w:sz w:val="24"/>
          <w:szCs w:val="23"/>
          <w:lang w:val="es-PE"/>
        </w:rPr>
        <w:t>plenos efectos jurídicos y s</w:t>
      </w:r>
      <w:r w:rsidR="00C05CE1" w:rsidRPr="00592BB0">
        <w:rPr>
          <w:rFonts w:ascii="Times New Roman" w:hAnsi="Times New Roman" w:cs="Times New Roman"/>
          <w:sz w:val="24"/>
          <w:szCs w:val="23"/>
          <w:lang w:val="es-PE"/>
        </w:rPr>
        <w:t>on</w:t>
      </w:r>
      <w:r w:rsidR="00593730" w:rsidRPr="00592BB0">
        <w:rPr>
          <w:rFonts w:ascii="Times New Roman" w:hAnsi="Times New Roman" w:cs="Times New Roman"/>
          <w:sz w:val="24"/>
          <w:szCs w:val="23"/>
          <w:lang w:val="es-PE"/>
        </w:rPr>
        <w:t xml:space="preserve"> admitidos como prueba en procedimientos judiciales.</w:t>
      </w:r>
      <w:r w:rsidR="00593730" w:rsidRPr="00592BB0">
        <w:rPr>
          <w:rStyle w:val="Refdenotaalpie"/>
          <w:rFonts w:ascii="Times New Roman" w:hAnsi="Times New Roman" w:cs="Times New Roman"/>
          <w:sz w:val="24"/>
          <w:szCs w:val="23"/>
          <w:lang w:val="es-PE"/>
        </w:rPr>
        <w:footnoteReference w:id="17"/>
      </w:r>
      <w:r w:rsidR="00593730" w:rsidRPr="00592BB0">
        <w:rPr>
          <w:rFonts w:ascii="Times New Roman" w:hAnsi="Times New Roman" w:cs="Times New Roman"/>
          <w:sz w:val="24"/>
          <w:szCs w:val="23"/>
          <w:lang w:val="es-PE"/>
        </w:rPr>
        <w:t xml:space="preserve"> </w:t>
      </w:r>
    </w:p>
    <w:p w14:paraId="7EBCE6B2" w14:textId="1A4F32A3" w:rsidR="00F3551B" w:rsidRPr="00592BB0" w:rsidRDefault="00593730"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lastRenderedPageBreak/>
        <w:t xml:space="preserve">En el Perú, estos servicios se encuentran regulados </w:t>
      </w:r>
      <w:r w:rsidR="000C61C8" w:rsidRPr="00592BB0">
        <w:rPr>
          <w:rFonts w:ascii="Times New Roman" w:hAnsi="Times New Roman" w:cs="Times New Roman"/>
          <w:sz w:val="24"/>
          <w:szCs w:val="23"/>
          <w:lang w:val="es-PE"/>
        </w:rPr>
        <w:t xml:space="preserve">por </w:t>
      </w:r>
      <w:r w:rsidRPr="00592BB0">
        <w:rPr>
          <w:rFonts w:ascii="Times New Roman" w:hAnsi="Times New Roman" w:cs="Times New Roman"/>
          <w:sz w:val="24"/>
          <w:szCs w:val="23"/>
          <w:lang w:val="es-PE"/>
        </w:rPr>
        <w:t>la Ley n.° 27269 (Ley de firmas y certificados digitales) y el Decreto Supremo n.° 52-2008-PCM (Reglamento de la Ley de firmas y certificados digitales). Concretamente, de acuerdo con las normas nacionales</w:t>
      </w:r>
      <w:r w:rsidR="00507877" w:rsidRPr="00592BB0">
        <w:rPr>
          <w:rFonts w:ascii="Times New Roman" w:hAnsi="Times New Roman" w:cs="Times New Roman"/>
          <w:sz w:val="24"/>
          <w:szCs w:val="23"/>
          <w:lang w:val="es-PE"/>
        </w:rPr>
        <w:t xml:space="preserve"> señaladas</w:t>
      </w:r>
      <w:r w:rsidR="00A11E57" w:rsidRPr="00592BB0">
        <w:rPr>
          <w:rFonts w:ascii="Times New Roman" w:hAnsi="Times New Roman" w:cs="Times New Roman"/>
          <w:sz w:val="24"/>
          <w:szCs w:val="23"/>
          <w:lang w:val="es-PE"/>
        </w:rPr>
        <w:t>,</w:t>
      </w:r>
      <w:r w:rsidRPr="00592BB0">
        <w:rPr>
          <w:rFonts w:ascii="Times New Roman" w:hAnsi="Times New Roman" w:cs="Times New Roman"/>
          <w:sz w:val="24"/>
          <w:szCs w:val="23"/>
          <w:lang w:val="es-PE"/>
        </w:rPr>
        <w:t xml:space="preserve"> los servicios del tipo “servicio de entrega electrónica certificada” del Reglamento eIDAS, se encuentran regulados como </w:t>
      </w:r>
      <w:r w:rsidR="00F3551B" w:rsidRPr="00592BB0">
        <w:rPr>
          <w:rFonts w:ascii="Times New Roman" w:hAnsi="Times New Roman" w:cs="Times New Roman"/>
          <w:sz w:val="24"/>
          <w:szCs w:val="23"/>
          <w:lang w:val="es-PE"/>
        </w:rPr>
        <w:t xml:space="preserve">un servicio de valor añadido en la modalidad de </w:t>
      </w:r>
      <w:r w:rsidR="00890096" w:rsidRPr="00592BB0">
        <w:rPr>
          <w:rFonts w:ascii="Times New Roman" w:hAnsi="Times New Roman" w:cs="Times New Roman"/>
          <w:sz w:val="24"/>
          <w:szCs w:val="23"/>
          <w:lang w:val="es-PE"/>
        </w:rPr>
        <w:t xml:space="preserve">Sistema de </w:t>
      </w:r>
      <w:r w:rsidR="00F3551B" w:rsidRPr="00592BB0">
        <w:rPr>
          <w:rFonts w:ascii="Times New Roman" w:hAnsi="Times New Roman" w:cs="Times New Roman"/>
          <w:sz w:val="24"/>
          <w:szCs w:val="23"/>
          <w:lang w:val="es-PE"/>
        </w:rPr>
        <w:t>intermediación digital</w:t>
      </w:r>
      <w:r w:rsidR="00F3551B" w:rsidRPr="00592BB0">
        <w:rPr>
          <w:rFonts w:ascii="Times New Roman" w:hAnsi="Times New Roman" w:cs="Times New Roman"/>
          <w:sz w:val="24"/>
          <w:szCs w:val="23"/>
          <w:vertAlign w:val="superscript"/>
        </w:rPr>
        <w:footnoteReference w:id="18"/>
      </w:r>
      <w:r w:rsidR="009D7898" w:rsidRPr="00592BB0">
        <w:rPr>
          <w:rFonts w:ascii="Times New Roman" w:hAnsi="Times New Roman" w:cs="Times New Roman"/>
          <w:sz w:val="24"/>
          <w:szCs w:val="23"/>
          <w:lang w:val="es-PE"/>
        </w:rPr>
        <w:t xml:space="preserve">, el cual se </w:t>
      </w:r>
      <w:r w:rsidR="00F3551B" w:rsidRPr="00592BB0">
        <w:rPr>
          <w:rFonts w:ascii="Times New Roman" w:hAnsi="Times New Roman" w:cs="Times New Roman"/>
          <w:sz w:val="24"/>
          <w:szCs w:val="23"/>
          <w:lang w:val="es-PE"/>
        </w:rPr>
        <w:t>define como el sistema que permite la transmisión y almacenamiento de información, garantizando el no repudio, confidencialidad e integridad de l</w:t>
      </w:r>
      <w:r w:rsidR="00C05CE1" w:rsidRPr="00592BB0">
        <w:rPr>
          <w:rFonts w:ascii="Times New Roman" w:hAnsi="Times New Roman" w:cs="Times New Roman"/>
          <w:sz w:val="24"/>
          <w:szCs w:val="23"/>
          <w:lang w:val="es-PE"/>
        </w:rPr>
        <w:t>o</w:t>
      </w:r>
      <w:r w:rsidR="00F3551B" w:rsidRPr="00592BB0">
        <w:rPr>
          <w:rFonts w:ascii="Times New Roman" w:hAnsi="Times New Roman" w:cs="Times New Roman"/>
          <w:sz w:val="24"/>
          <w:szCs w:val="23"/>
          <w:lang w:val="es-PE"/>
        </w:rPr>
        <w:t xml:space="preserve">s </w:t>
      </w:r>
      <w:r w:rsidR="00C05CE1" w:rsidRPr="00592BB0">
        <w:rPr>
          <w:rFonts w:ascii="Times New Roman" w:hAnsi="Times New Roman" w:cs="Times New Roman"/>
          <w:sz w:val="24"/>
          <w:szCs w:val="23"/>
          <w:lang w:val="es-PE"/>
        </w:rPr>
        <w:t xml:space="preserve">datos </w:t>
      </w:r>
      <w:r w:rsidR="00F3551B" w:rsidRPr="00592BB0">
        <w:rPr>
          <w:rFonts w:ascii="Times New Roman" w:hAnsi="Times New Roman" w:cs="Times New Roman"/>
          <w:sz w:val="24"/>
          <w:szCs w:val="23"/>
          <w:lang w:val="es-PE"/>
        </w:rPr>
        <w:t>a través del uso de componentes de firma digital, autenticación y canales seguros.</w:t>
      </w:r>
      <w:r w:rsidR="00BE6714" w:rsidRPr="00592BB0">
        <w:rPr>
          <w:rFonts w:ascii="Times New Roman" w:hAnsi="Times New Roman" w:cs="Times New Roman"/>
          <w:sz w:val="24"/>
          <w:szCs w:val="23"/>
          <w:lang w:val="es-PE"/>
        </w:rPr>
        <w:t xml:space="preserve"> </w:t>
      </w:r>
    </w:p>
    <w:p w14:paraId="001EFB43" w14:textId="68B0E2BB" w:rsidR="00857CD4" w:rsidRPr="00592BB0" w:rsidRDefault="009D7898"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En el presente caso, Evicertia se encuentra acreditada ante la Comisión para la Gestión de la Infraestructura Oficial de Firma Electrónica (“…………………”) del Instituto Nacional de Defensa de la Competencia y de la Protección de la Propiedad Intelectual (“…………………”), como Prestador de Servicio de Valor Añadido en la modalidad de Sistema de intermediación digital, por lo tanto, sus certificaciones garantizan la integridad y no repudio de los datos de origen y su recepción. </w:t>
      </w:r>
    </w:p>
    <w:p w14:paraId="30524530" w14:textId="36D0199E" w:rsidR="00FB30BF" w:rsidRPr="00592BB0" w:rsidRDefault="00857CD4"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Por lo expuesto, y de acuerdo con el marco normativo nacional, este Colegiado no puede desconocer la validez de las certificaciones presentadas por ………………… respecto del envío del correo electrónico a la asegurada el día 13 de enero de 2025.</w:t>
      </w:r>
    </w:p>
    <w:p w14:paraId="308D51E8" w14:textId="693552FF" w:rsidR="00F53FC9" w:rsidRPr="00592BB0" w:rsidRDefault="00857CD4"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lastRenderedPageBreak/>
        <w:t xml:space="preserve">En otro punto, la asegurada cuestiona que no se haya presentado un </w:t>
      </w:r>
      <w:r w:rsidR="00F53FC9" w:rsidRPr="00592BB0">
        <w:rPr>
          <w:rFonts w:ascii="Times New Roman" w:hAnsi="Times New Roman" w:cs="Times New Roman"/>
          <w:sz w:val="24"/>
          <w:szCs w:val="23"/>
          <w:lang w:val="es-PE"/>
        </w:rPr>
        <w:t>“acuse de recibo”</w:t>
      </w:r>
      <w:r w:rsidRPr="00592BB0">
        <w:rPr>
          <w:rFonts w:ascii="Times New Roman" w:hAnsi="Times New Roman" w:cs="Times New Roman"/>
          <w:sz w:val="24"/>
          <w:szCs w:val="23"/>
          <w:lang w:val="es-PE"/>
        </w:rPr>
        <w:t xml:space="preserve">, como único mecanismo </w:t>
      </w:r>
      <w:r w:rsidR="00F53FC9" w:rsidRPr="00592BB0">
        <w:rPr>
          <w:rFonts w:ascii="Times New Roman" w:hAnsi="Times New Roman" w:cs="Times New Roman"/>
          <w:sz w:val="24"/>
          <w:szCs w:val="23"/>
          <w:lang w:val="es-PE"/>
        </w:rPr>
        <w:t xml:space="preserve">que podría certificar que </w:t>
      </w:r>
      <w:r w:rsidRPr="00592BB0">
        <w:rPr>
          <w:rFonts w:ascii="Times New Roman" w:hAnsi="Times New Roman" w:cs="Times New Roman"/>
          <w:sz w:val="24"/>
          <w:szCs w:val="23"/>
          <w:lang w:val="es-PE"/>
        </w:rPr>
        <w:t xml:space="preserve">se les </w:t>
      </w:r>
      <w:r w:rsidR="00F53FC9" w:rsidRPr="00592BB0">
        <w:rPr>
          <w:rFonts w:ascii="Times New Roman" w:hAnsi="Times New Roman" w:cs="Times New Roman"/>
          <w:sz w:val="24"/>
          <w:szCs w:val="23"/>
          <w:lang w:val="es-PE"/>
        </w:rPr>
        <w:t>remiti</w:t>
      </w:r>
      <w:r w:rsidRPr="00592BB0">
        <w:rPr>
          <w:rFonts w:ascii="Times New Roman" w:hAnsi="Times New Roman" w:cs="Times New Roman"/>
          <w:sz w:val="24"/>
          <w:szCs w:val="23"/>
          <w:lang w:val="es-PE"/>
        </w:rPr>
        <w:t xml:space="preserve">ó </w:t>
      </w:r>
      <w:r w:rsidR="00F53FC9" w:rsidRPr="00592BB0">
        <w:rPr>
          <w:rFonts w:ascii="Times New Roman" w:hAnsi="Times New Roman" w:cs="Times New Roman"/>
          <w:sz w:val="24"/>
          <w:szCs w:val="23"/>
          <w:lang w:val="es-PE"/>
        </w:rPr>
        <w:t xml:space="preserve">realmente </w:t>
      </w:r>
      <w:r w:rsidRPr="00592BB0">
        <w:rPr>
          <w:rFonts w:ascii="Times New Roman" w:hAnsi="Times New Roman" w:cs="Times New Roman"/>
          <w:sz w:val="24"/>
          <w:szCs w:val="23"/>
          <w:lang w:val="es-PE"/>
        </w:rPr>
        <w:t xml:space="preserve">el </w:t>
      </w:r>
      <w:r w:rsidR="00F53FC9" w:rsidRPr="00592BB0">
        <w:rPr>
          <w:rFonts w:ascii="Times New Roman" w:hAnsi="Times New Roman" w:cs="Times New Roman"/>
          <w:sz w:val="24"/>
          <w:szCs w:val="23"/>
          <w:lang w:val="es-PE"/>
        </w:rPr>
        <w:t>correo electrónico</w:t>
      </w:r>
      <w:r w:rsidRPr="00592BB0">
        <w:rPr>
          <w:rFonts w:ascii="Times New Roman" w:hAnsi="Times New Roman" w:cs="Times New Roman"/>
          <w:sz w:val="24"/>
          <w:szCs w:val="23"/>
          <w:lang w:val="es-PE"/>
        </w:rPr>
        <w:t xml:space="preserve"> del día 13 de enero. </w:t>
      </w:r>
    </w:p>
    <w:p w14:paraId="1BA0E604" w14:textId="50AA3B87" w:rsidR="00B66E9D" w:rsidRPr="00592BB0" w:rsidRDefault="00776EE7"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 xml:space="preserve">Es </w:t>
      </w:r>
      <w:r w:rsidR="00890096" w:rsidRPr="00592BB0">
        <w:rPr>
          <w:rFonts w:ascii="Times New Roman" w:hAnsi="Times New Roman" w:cs="Times New Roman"/>
          <w:sz w:val="24"/>
          <w:szCs w:val="23"/>
          <w:lang w:val="es-PE"/>
        </w:rPr>
        <w:t>cierto</w:t>
      </w:r>
      <w:r w:rsidRPr="00592BB0">
        <w:rPr>
          <w:rFonts w:ascii="Times New Roman" w:hAnsi="Times New Roman" w:cs="Times New Roman"/>
          <w:sz w:val="24"/>
          <w:szCs w:val="23"/>
          <w:lang w:val="es-PE"/>
        </w:rPr>
        <w:t xml:space="preserve"> que </w:t>
      </w:r>
      <w:r w:rsidR="00B66E9D" w:rsidRPr="00592BB0">
        <w:rPr>
          <w:rFonts w:ascii="Times New Roman" w:hAnsi="Times New Roman" w:cs="Times New Roman"/>
          <w:sz w:val="24"/>
          <w:szCs w:val="23"/>
          <w:lang w:val="es-PE"/>
        </w:rPr>
        <w:t xml:space="preserve">una forma de confirmar la recepción de un correo electrónico es </w:t>
      </w:r>
      <w:r w:rsidR="00890096" w:rsidRPr="00592BB0">
        <w:rPr>
          <w:rFonts w:ascii="Times New Roman" w:hAnsi="Times New Roman" w:cs="Times New Roman"/>
          <w:sz w:val="24"/>
          <w:szCs w:val="23"/>
          <w:lang w:val="es-PE"/>
        </w:rPr>
        <w:t xml:space="preserve">cuando </w:t>
      </w:r>
      <w:r w:rsidR="00B66E9D" w:rsidRPr="00592BB0">
        <w:rPr>
          <w:rFonts w:ascii="Times New Roman" w:hAnsi="Times New Roman" w:cs="Times New Roman"/>
          <w:sz w:val="24"/>
          <w:szCs w:val="23"/>
          <w:lang w:val="es-PE"/>
        </w:rPr>
        <w:t xml:space="preserve">el </w:t>
      </w:r>
      <w:r w:rsidRPr="00592BB0">
        <w:rPr>
          <w:rFonts w:ascii="Times New Roman" w:hAnsi="Times New Roman" w:cs="Times New Roman"/>
          <w:sz w:val="24"/>
          <w:szCs w:val="23"/>
          <w:lang w:val="es-PE"/>
        </w:rPr>
        <w:t>destinatario enví</w:t>
      </w:r>
      <w:r w:rsidR="00890096" w:rsidRPr="00592BB0">
        <w:rPr>
          <w:rFonts w:ascii="Times New Roman" w:hAnsi="Times New Roman" w:cs="Times New Roman"/>
          <w:sz w:val="24"/>
          <w:szCs w:val="23"/>
          <w:lang w:val="es-PE"/>
        </w:rPr>
        <w:t>a</w:t>
      </w:r>
      <w:r w:rsidRPr="00592BB0">
        <w:rPr>
          <w:rFonts w:ascii="Times New Roman" w:hAnsi="Times New Roman" w:cs="Times New Roman"/>
          <w:sz w:val="24"/>
          <w:szCs w:val="23"/>
          <w:lang w:val="es-PE"/>
        </w:rPr>
        <w:t xml:space="preserve"> una </w:t>
      </w:r>
      <w:r w:rsidR="00B66E9D" w:rsidRPr="00592BB0">
        <w:rPr>
          <w:rFonts w:ascii="Times New Roman" w:hAnsi="Times New Roman" w:cs="Times New Roman"/>
          <w:sz w:val="24"/>
          <w:szCs w:val="23"/>
          <w:lang w:val="es-PE"/>
        </w:rPr>
        <w:t xml:space="preserve">respuesta </w:t>
      </w:r>
      <w:r w:rsidRPr="00592BB0">
        <w:rPr>
          <w:rFonts w:ascii="Times New Roman" w:hAnsi="Times New Roman" w:cs="Times New Roman"/>
          <w:sz w:val="24"/>
          <w:szCs w:val="23"/>
          <w:lang w:val="es-PE"/>
        </w:rPr>
        <w:t xml:space="preserve">manual o </w:t>
      </w:r>
      <w:r w:rsidR="00B66E9D" w:rsidRPr="00592BB0">
        <w:rPr>
          <w:rFonts w:ascii="Times New Roman" w:hAnsi="Times New Roman" w:cs="Times New Roman"/>
          <w:sz w:val="24"/>
          <w:szCs w:val="23"/>
          <w:lang w:val="es-PE"/>
        </w:rPr>
        <w:t>automática</w:t>
      </w:r>
      <w:r w:rsidRPr="00592BB0">
        <w:rPr>
          <w:rFonts w:ascii="Times New Roman" w:hAnsi="Times New Roman" w:cs="Times New Roman"/>
          <w:sz w:val="24"/>
          <w:szCs w:val="23"/>
          <w:lang w:val="es-PE"/>
        </w:rPr>
        <w:t xml:space="preserve"> confirmando su </w:t>
      </w:r>
      <w:r w:rsidR="00890096" w:rsidRPr="00592BB0">
        <w:rPr>
          <w:rFonts w:ascii="Times New Roman" w:hAnsi="Times New Roman" w:cs="Times New Roman"/>
          <w:sz w:val="24"/>
          <w:szCs w:val="23"/>
          <w:lang w:val="es-PE"/>
        </w:rPr>
        <w:t>recibo</w:t>
      </w:r>
      <w:r w:rsidR="00B66E9D" w:rsidRPr="00592BB0">
        <w:rPr>
          <w:rFonts w:ascii="Times New Roman" w:hAnsi="Times New Roman" w:cs="Times New Roman"/>
          <w:sz w:val="24"/>
          <w:szCs w:val="23"/>
          <w:lang w:val="es-PE"/>
        </w:rPr>
        <w:t xml:space="preserve">, </w:t>
      </w:r>
      <w:r w:rsidRPr="00592BB0">
        <w:rPr>
          <w:rFonts w:ascii="Times New Roman" w:hAnsi="Times New Roman" w:cs="Times New Roman"/>
          <w:sz w:val="24"/>
          <w:szCs w:val="23"/>
          <w:lang w:val="es-PE"/>
        </w:rPr>
        <w:t xml:space="preserve">lo que viene a denominarse como </w:t>
      </w:r>
      <w:r w:rsidR="00B66E9D" w:rsidRPr="00592BB0">
        <w:rPr>
          <w:rFonts w:ascii="Times New Roman" w:hAnsi="Times New Roman" w:cs="Times New Roman"/>
          <w:sz w:val="24"/>
          <w:szCs w:val="23"/>
          <w:lang w:val="es-PE"/>
        </w:rPr>
        <w:t xml:space="preserve">acuse de recibo. Sin embargo, </w:t>
      </w:r>
      <w:r w:rsidRPr="00592BB0">
        <w:rPr>
          <w:rFonts w:ascii="Times New Roman" w:hAnsi="Times New Roman" w:cs="Times New Roman"/>
          <w:sz w:val="24"/>
          <w:szCs w:val="23"/>
          <w:lang w:val="es-PE"/>
        </w:rPr>
        <w:t xml:space="preserve">esta </w:t>
      </w:r>
      <w:r w:rsidR="00B66E9D" w:rsidRPr="00592BB0">
        <w:rPr>
          <w:rFonts w:ascii="Times New Roman" w:hAnsi="Times New Roman" w:cs="Times New Roman"/>
          <w:sz w:val="24"/>
          <w:szCs w:val="23"/>
          <w:lang w:val="es-PE"/>
        </w:rPr>
        <w:t xml:space="preserve">funcionalidad debe estar habilitada en el </w:t>
      </w:r>
      <w:r w:rsidRPr="00592BB0">
        <w:rPr>
          <w:rFonts w:ascii="Times New Roman" w:hAnsi="Times New Roman" w:cs="Times New Roman"/>
          <w:sz w:val="24"/>
          <w:szCs w:val="23"/>
          <w:lang w:val="es-PE"/>
        </w:rPr>
        <w:t>gestor de</w:t>
      </w:r>
      <w:r w:rsidR="00B66E9D" w:rsidRPr="00592BB0">
        <w:rPr>
          <w:rFonts w:ascii="Times New Roman" w:hAnsi="Times New Roman" w:cs="Times New Roman"/>
          <w:sz w:val="24"/>
          <w:szCs w:val="23"/>
          <w:lang w:val="es-PE"/>
        </w:rPr>
        <w:t xml:space="preserve"> correo electrónico del destinatario. </w:t>
      </w:r>
      <w:r w:rsidRPr="00592BB0">
        <w:rPr>
          <w:rFonts w:ascii="Times New Roman" w:hAnsi="Times New Roman" w:cs="Times New Roman"/>
          <w:sz w:val="24"/>
          <w:szCs w:val="23"/>
          <w:lang w:val="es-PE"/>
        </w:rPr>
        <w:t xml:space="preserve">Existen diversos gestores de correo </w:t>
      </w:r>
      <w:r w:rsidR="00B66E9D" w:rsidRPr="00592BB0">
        <w:rPr>
          <w:rFonts w:ascii="Times New Roman" w:hAnsi="Times New Roman" w:cs="Times New Roman"/>
          <w:sz w:val="24"/>
          <w:szCs w:val="23"/>
          <w:lang w:val="es-PE"/>
        </w:rPr>
        <w:t>electrónico</w:t>
      </w:r>
      <w:r w:rsidRPr="00592BB0">
        <w:rPr>
          <w:rFonts w:ascii="Times New Roman" w:hAnsi="Times New Roman" w:cs="Times New Roman"/>
          <w:sz w:val="24"/>
          <w:szCs w:val="23"/>
          <w:lang w:val="es-PE"/>
        </w:rPr>
        <w:t xml:space="preserve"> en los que esta funcionalidad no está habilitada (por ejemplo, en el caso del Gmail de Google)</w:t>
      </w:r>
      <w:r w:rsidR="00CB332F" w:rsidRPr="00592BB0">
        <w:rPr>
          <w:rStyle w:val="Refdenotaalpie"/>
          <w:rFonts w:ascii="Times New Roman" w:hAnsi="Times New Roman" w:cs="Times New Roman"/>
          <w:sz w:val="24"/>
          <w:szCs w:val="23"/>
          <w:lang w:val="es-PE"/>
        </w:rPr>
        <w:footnoteReference w:id="22"/>
      </w:r>
      <w:r w:rsidR="00CB332F" w:rsidRPr="00592BB0">
        <w:rPr>
          <w:rFonts w:ascii="Times New Roman" w:hAnsi="Times New Roman" w:cs="Times New Roman"/>
          <w:sz w:val="24"/>
          <w:szCs w:val="23"/>
          <w:lang w:val="es-PE"/>
        </w:rPr>
        <w:t xml:space="preserve">, por lo tanto, en la medida que es el destinatario quién decide si habilitar -o no- la funcionalidad de acuse de recibo, la determinación de si se recibió -o no- </w:t>
      </w:r>
      <w:r w:rsidR="00C05CE1" w:rsidRPr="00592BB0">
        <w:rPr>
          <w:rFonts w:ascii="Times New Roman" w:hAnsi="Times New Roman" w:cs="Times New Roman"/>
          <w:sz w:val="24"/>
          <w:szCs w:val="23"/>
          <w:lang w:val="es-PE"/>
        </w:rPr>
        <w:t>la</w:t>
      </w:r>
      <w:r w:rsidR="00CB332F" w:rsidRPr="00592BB0">
        <w:rPr>
          <w:rFonts w:ascii="Times New Roman" w:hAnsi="Times New Roman" w:cs="Times New Roman"/>
          <w:sz w:val="24"/>
          <w:szCs w:val="23"/>
          <w:lang w:val="es-PE"/>
        </w:rPr>
        <w:t xml:space="preserve"> comunicación electrónica, no puede estar librada </w:t>
      </w:r>
      <w:r w:rsidR="00C05CE1" w:rsidRPr="00592BB0">
        <w:rPr>
          <w:rFonts w:ascii="Times New Roman" w:hAnsi="Times New Roman" w:cs="Times New Roman"/>
          <w:sz w:val="24"/>
          <w:szCs w:val="23"/>
          <w:lang w:val="es-PE"/>
        </w:rPr>
        <w:t xml:space="preserve">sólo </w:t>
      </w:r>
      <w:r w:rsidR="00507877" w:rsidRPr="00592BB0">
        <w:rPr>
          <w:rFonts w:ascii="Times New Roman" w:hAnsi="Times New Roman" w:cs="Times New Roman"/>
          <w:sz w:val="24"/>
          <w:szCs w:val="23"/>
          <w:lang w:val="es-PE"/>
        </w:rPr>
        <w:t xml:space="preserve">a la </w:t>
      </w:r>
      <w:r w:rsidR="00CB332F" w:rsidRPr="00592BB0">
        <w:rPr>
          <w:rFonts w:ascii="Times New Roman" w:hAnsi="Times New Roman" w:cs="Times New Roman"/>
          <w:sz w:val="24"/>
          <w:szCs w:val="23"/>
          <w:lang w:val="es-PE"/>
        </w:rPr>
        <w:t>voluntad</w:t>
      </w:r>
      <w:r w:rsidR="00507877" w:rsidRPr="00592BB0">
        <w:rPr>
          <w:rFonts w:ascii="Times New Roman" w:hAnsi="Times New Roman" w:cs="Times New Roman"/>
          <w:sz w:val="24"/>
          <w:szCs w:val="23"/>
          <w:lang w:val="es-PE"/>
        </w:rPr>
        <w:t xml:space="preserve"> del receptor del mensaje</w:t>
      </w:r>
      <w:r w:rsidR="00CB332F" w:rsidRPr="00592BB0">
        <w:rPr>
          <w:rFonts w:ascii="Times New Roman" w:hAnsi="Times New Roman" w:cs="Times New Roman"/>
          <w:sz w:val="24"/>
          <w:szCs w:val="23"/>
          <w:lang w:val="es-PE"/>
        </w:rPr>
        <w:t xml:space="preserve">. </w:t>
      </w:r>
    </w:p>
    <w:p w14:paraId="543A9447" w14:textId="61A58648" w:rsidR="001004B6" w:rsidRPr="00592BB0" w:rsidRDefault="00507877"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 xml:space="preserve">El envío de la comunicación con la Póliza </w:t>
      </w:r>
      <w:r w:rsidR="001004B6" w:rsidRPr="00592BB0">
        <w:rPr>
          <w:rFonts w:ascii="Times New Roman" w:hAnsi="Times New Roman" w:cs="Times New Roman"/>
          <w:sz w:val="24"/>
          <w:szCs w:val="23"/>
          <w:lang w:val="es-PE"/>
        </w:rPr>
        <w:t>produce efectos desde que llega a ser conocida por el destinatario, sujetándose a lo dispuesto en el artículo 1374 del Código Civil</w:t>
      </w:r>
      <w:r w:rsidR="001004B6" w:rsidRPr="00592BB0">
        <w:rPr>
          <w:rFonts w:ascii="Times New Roman" w:hAnsi="Times New Roman" w:cs="Times New Roman"/>
          <w:sz w:val="24"/>
          <w:szCs w:val="23"/>
          <w:vertAlign w:val="superscript"/>
        </w:rPr>
        <w:footnoteReference w:id="23"/>
      </w:r>
      <w:r w:rsidR="001004B6" w:rsidRPr="00592BB0">
        <w:rPr>
          <w:rFonts w:ascii="Times New Roman" w:hAnsi="Times New Roman" w:cs="Times New Roman"/>
          <w:sz w:val="24"/>
          <w:szCs w:val="23"/>
          <w:lang w:val="es-PE"/>
        </w:rPr>
        <w:t xml:space="preserve">. </w:t>
      </w:r>
      <w:r w:rsidR="00903C28" w:rsidRPr="00592BB0">
        <w:rPr>
          <w:rFonts w:ascii="Times New Roman" w:hAnsi="Times New Roman" w:cs="Times New Roman"/>
          <w:sz w:val="24"/>
          <w:szCs w:val="23"/>
          <w:lang w:val="es-PE"/>
        </w:rPr>
        <w:t>N</w:t>
      </w:r>
      <w:r w:rsidR="001004B6" w:rsidRPr="00592BB0">
        <w:rPr>
          <w:rFonts w:ascii="Times New Roman" w:hAnsi="Times New Roman" w:cs="Times New Roman"/>
          <w:sz w:val="24"/>
          <w:szCs w:val="23"/>
          <w:lang w:val="es-PE"/>
        </w:rPr>
        <w:t xml:space="preserve">orma </w:t>
      </w:r>
      <w:r w:rsidR="00903C28" w:rsidRPr="00592BB0">
        <w:rPr>
          <w:rFonts w:ascii="Times New Roman" w:hAnsi="Times New Roman" w:cs="Times New Roman"/>
          <w:sz w:val="24"/>
          <w:szCs w:val="23"/>
          <w:lang w:val="es-PE"/>
        </w:rPr>
        <w:t xml:space="preserve">que </w:t>
      </w:r>
      <w:r w:rsidR="001004B6" w:rsidRPr="00592BB0">
        <w:rPr>
          <w:rFonts w:ascii="Times New Roman" w:hAnsi="Times New Roman" w:cs="Times New Roman"/>
          <w:sz w:val="24"/>
          <w:szCs w:val="23"/>
          <w:lang w:val="es-PE"/>
        </w:rPr>
        <w:t xml:space="preserve">se acoge a la denominada teoría de la recepción, de acuerdo con la cual, se entiende que la comunicación es conocida por el deudor (en este caso el asegurado) en el momento que es recibida en su dirección, no siendo relevante para efectos legales si el </w:t>
      </w:r>
      <w:r w:rsidR="00FF24F4" w:rsidRPr="00592BB0">
        <w:rPr>
          <w:rFonts w:ascii="Times New Roman" w:hAnsi="Times New Roman" w:cs="Times New Roman"/>
          <w:sz w:val="24"/>
          <w:szCs w:val="23"/>
          <w:lang w:val="es-PE"/>
        </w:rPr>
        <w:t>recepto</w:t>
      </w:r>
      <w:r w:rsidR="004030BC" w:rsidRPr="00592BB0">
        <w:rPr>
          <w:rFonts w:ascii="Times New Roman" w:hAnsi="Times New Roman" w:cs="Times New Roman"/>
          <w:sz w:val="24"/>
          <w:szCs w:val="23"/>
          <w:lang w:val="es-PE"/>
        </w:rPr>
        <w:t>r</w:t>
      </w:r>
      <w:r w:rsidR="00FF24F4" w:rsidRPr="00592BB0">
        <w:rPr>
          <w:rFonts w:ascii="Times New Roman" w:hAnsi="Times New Roman" w:cs="Times New Roman"/>
          <w:sz w:val="24"/>
          <w:szCs w:val="23"/>
          <w:lang w:val="es-PE"/>
        </w:rPr>
        <w:t xml:space="preserve"> </w:t>
      </w:r>
      <w:r w:rsidR="001004B6" w:rsidRPr="00592BB0">
        <w:rPr>
          <w:rFonts w:ascii="Times New Roman" w:hAnsi="Times New Roman" w:cs="Times New Roman"/>
          <w:sz w:val="24"/>
          <w:szCs w:val="23"/>
          <w:lang w:val="es-PE"/>
        </w:rPr>
        <w:t xml:space="preserve">llegó a </w:t>
      </w:r>
      <w:r w:rsidR="00FF24F4" w:rsidRPr="00592BB0">
        <w:rPr>
          <w:rFonts w:ascii="Times New Roman" w:hAnsi="Times New Roman" w:cs="Times New Roman"/>
          <w:sz w:val="24"/>
          <w:szCs w:val="23"/>
          <w:lang w:val="es-PE"/>
        </w:rPr>
        <w:t>leer</w:t>
      </w:r>
      <w:r w:rsidR="001004B6" w:rsidRPr="00592BB0">
        <w:rPr>
          <w:rFonts w:ascii="Times New Roman" w:hAnsi="Times New Roman" w:cs="Times New Roman"/>
          <w:sz w:val="24"/>
          <w:szCs w:val="23"/>
          <w:lang w:val="es-PE"/>
        </w:rPr>
        <w:t xml:space="preserve"> el correo o a </w:t>
      </w:r>
      <w:r w:rsidRPr="00592BB0">
        <w:rPr>
          <w:rFonts w:ascii="Times New Roman" w:hAnsi="Times New Roman" w:cs="Times New Roman"/>
          <w:sz w:val="24"/>
          <w:szCs w:val="23"/>
          <w:lang w:val="es-PE"/>
        </w:rPr>
        <w:t>abrir los archivos anexos</w:t>
      </w:r>
      <w:r w:rsidR="001004B6" w:rsidRPr="00592BB0">
        <w:rPr>
          <w:rFonts w:ascii="Times New Roman" w:hAnsi="Times New Roman" w:cs="Times New Roman"/>
          <w:sz w:val="24"/>
          <w:szCs w:val="23"/>
          <w:lang w:val="es-PE"/>
        </w:rPr>
        <w:t>.</w:t>
      </w:r>
    </w:p>
    <w:p w14:paraId="657A3780" w14:textId="1DFD3CD7" w:rsidR="007130CB" w:rsidRPr="00592BB0" w:rsidRDefault="00857CD4" w:rsidP="00592BB0">
      <w:pPr>
        <w:spacing w:after="120" w:line="240" w:lineRule="auto"/>
        <w:jc w:val="both"/>
        <w:rPr>
          <w:rFonts w:ascii="Times New Roman" w:hAnsi="Times New Roman" w:cs="Times New Roman"/>
          <w:sz w:val="23"/>
          <w:szCs w:val="23"/>
          <w:lang w:val="es-PE"/>
        </w:rPr>
      </w:pPr>
      <w:r>
        <w:rPr>
          <w:rFonts w:ascii="Times New Roman" w:hAnsi="Times New Roman"/>
          <w:sz w:val="24"/>
        </w:rPr>
        <w:t xml:space="preserve">En este caso nos encontramos ante una comunicación realizada por la empresa ………………… copia de la Póliza a la asegurada, por tanto, se presume su recepción si, en principio, se obtiene un acuse de recibo. Sin embargo, como hemos visto, esto no siempre es posible en la medida que el receptor puede tener inhibida dicha función en su gestor de correo, sin embargo, se tiene certeza de su recepción si la información se transmite a partir de ………………… de intermediación digital que, entre otros aspectos, garantizan su no repudio, tal como ocurre en el presente caso. </w:t>
      </w:r>
    </w:p>
    <w:bookmarkEnd w:id="13"/>
    <w:p w14:paraId="2C98C46D" w14:textId="4726E701" w:rsidR="002766D1" w:rsidRPr="00592BB0" w:rsidRDefault="003011C8"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En otro aspecto relevante, la asegurada señala que …………………, no habría cumplido con remitir una copia de la Póliza completa a la dirección de correo electrónico de su corredora de seguros, lo cual significa un incumplimiento de lo dispuesto en el numeral 3, del numeral 24.4, del artículo 24 y 36 del Reglamento de gestión de conducta del mercado del sistema de seguros y, por lo tanto, no se le podrían oponer las cargas establecidas en la Póliza. </w:t>
      </w:r>
    </w:p>
    <w:p w14:paraId="6951CCA5" w14:textId="77777777" w:rsidR="002037C4" w:rsidRPr="00592BB0" w:rsidRDefault="00F70E18"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El artículo 37 de la Ley del Contrato de Seguro, indica que el corredor de seguros está facultado para realizar actos de representación, mas no de disposición. En relación a este tema, la representación se encuentra regulada en el artículo 145 del Código Civil que establece que el acto jurídico puede ser realizado mediante representante, salvo disposición contraria establecida en la ley. Como puede observarse, los dispositivos señalados indican que la Póliza debe ser remitida tanto al contratante y como al corredor de seguros designado. Para este Colegiado, la empresa ………………… respecto del contenido de la Póliza cuando la envía por medios electrónicos en los términos señalados en el artículo 26 de la Ley del Contrato de Seguro. En dicho sentido, aun cuando es claro que la empresa ………………… el numeral 3, del numeral 24.4, del artículo 24 y 36 del Reglamento de gestión de conducta del mercado del sistema de seguros, esta posible falta de diligencia no acarre la inoponibilidad al asegurado respecto de aquellas condiciones contractuales que no fueron puestas en conocimiento del corredor de seguros designado, en tanto que está demostrado que sí fueron puestas en conocimiento del asegurado.</w:t>
      </w:r>
    </w:p>
    <w:p w14:paraId="67CBD192" w14:textId="00E842A8" w:rsidR="007A0506" w:rsidRPr="00592BB0" w:rsidRDefault="006D2E8D"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Por otro lado, la asegurada señala en su Recurso impugnativo que presentó un escrito de su corredora en el cual se detalla la forma en que tomó conocimiento de la contratación del seguro por parte de la empresa aseguradora. Efectivamente, con fecha 18 de julio de 2025, ………………… presentó una comunicación de su corredora en la cual precisa que el 13 de enero, remitió a su cliente por WhatsApp, la póliza vehicular de ………………… compuesta por cinco hojas, asimismo, que no ha recibido ninguna póliza o documento adicional proveniente de la empresa ………………… (…………………). </w:t>
      </w:r>
    </w:p>
    <w:p w14:paraId="74925AA5" w14:textId="04F6F0B5" w:rsidR="00FF5B03" w:rsidRPr="00592BB0" w:rsidRDefault="007A0506"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En el presente caso no se discute la existencia, mérito o validez de la póliza remitida a la corredora, la misma que constaría de cinco páginas, sino, si adicionalmente a dicho acto, la empresa ………………… a la asegurada, el día 13 de enero de 2025, lo cual para este Colegiado ha quedado acreditado. </w:t>
      </w:r>
    </w:p>
    <w:p w14:paraId="68E2C4AF" w14:textId="2F17FD2D" w:rsidR="007A0506" w:rsidRPr="00592BB0" w:rsidRDefault="00FF5B03"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Por lo expuesto, este Colegiado no encuentra razón para variar lo resuelto en la Resolución Impugnada. </w:t>
      </w:r>
    </w:p>
    <w:p w14:paraId="15FCB0E7" w14:textId="45298259" w:rsidR="00CC77BA" w:rsidRPr="00592BB0" w:rsidRDefault="00CC77BA"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b/>
          <w:bCs/>
          <w:sz w:val="24"/>
          <w:szCs w:val="23"/>
          <w:u w:val="single"/>
          <w:lang w:val="es-PE"/>
        </w:rPr>
        <w:t>SÉPTIMO</w:t>
      </w:r>
      <w:r w:rsidRPr="00592BB0">
        <w:rPr>
          <w:rFonts w:ascii="Times New Roman" w:hAnsi="Times New Roman" w:cs="Times New Roman"/>
          <w:sz w:val="24"/>
          <w:szCs w:val="23"/>
          <w:lang w:val="es-PE"/>
        </w:rPr>
        <w:t xml:space="preserve">: Finalmente, este Colegiado estima por conveniente dejar constancia que, de acuerdo con el Reglamento, el sometimiento voluntario de controversias en materia de seguros ante esta Defensoría, no afecta el derecho a la tutela jurisdiccional del asegurado o reclamante, toda vez que lo resuelto por la DEFASEG no limita su derecho a iniciar procesos ante las instancias administrativas o judiciales que considere pertinentes, en tanto las decisiones que expide esta Defensoría no son vinculantes para el asegurado o reclamante cuando éstas le son desfavorables. </w:t>
      </w:r>
    </w:p>
    <w:p w14:paraId="3356E798" w14:textId="0705C82D" w:rsidR="006E1CCD" w:rsidRPr="00592BB0" w:rsidRDefault="004858EC" w:rsidP="00592BB0">
      <w:pPr>
        <w:spacing w:after="200" w:line="240" w:lineRule="auto"/>
        <w:jc w:val="both"/>
        <w:rPr>
          <w:rFonts w:ascii="Times New Roman" w:hAnsi="Times New Roman" w:cs="Times New Roman"/>
          <w:sz w:val="23"/>
          <w:szCs w:val="23"/>
          <w:lang w:val="es-PE"/>
        </w:rPr>
      </w:pPr>
      <w:r w:rsidRPr="00592BB0">
        <w:rPr>
          <w:rFonts w:ascii="Times New Roman" w:hAnsi="Times New Roman" w:cs="Times New Roman"/>
          <w:sz w:val="24"/>
          <w:szCs w:val="23"/>
          <w:lang w:val="es-PE"/>
        </w:rPr>
        <w:t>Q</w:t>
      </w:r>
      <w:r w:rsidR="006E1CCD" w:rsidRPr="00592BB0">
        <w:rPr>
          <w:rFonts w:ascii="Times New Roman" w:hAnsi="Times New Roman" w:cs="Times New Roman"/>
          <w:sz w:val="24"/>
          <w:szCs w:val="23"/>
          <w:lang w:val="es-PE"/>
        </w:rPr>
        <w:t>ue, en consecuencia, esta Defensoría del Asegurado concluye su apreciación razonada y conjunta al amparo de lo establecido en su Reglamento, por lo que:</w:t>
      </w:r>
    </w:p>
    <w:p w14:paraId="27FF9234" w14:textId="77777777" w:rsidR="006E1CCD" w:rsidRPr="00592BB0" w:rsidRDefault="006E1CCD" w:rsidP="00592BB0">
      <w:pPr>
        <w:spacing w:after="200" w:line="240" w:lineRule="auto"/>
        <w:jc w:val="both"/>
        <w:rPr>
          <w:rFonts w:ascii="Times New Roman" w:hAnsi="Times New Roman" w:cs="Times New Roman"/>
          <w:b/>
          <w:bCs/>
          <w:sz w:val="23"/>
          <w:szCs w:val="23"/>
          <w:u w:val="single"/>
          <w:lang w:val="es-PE"/>
        </w:rPr>
      </w:pPr>
      <w:r w:rsidRPr="00592BB0">
        <w:rPr>
          <w:rFonts w:ascii="Times New Roman" w:hAnsi="Times New Roman" w:cs="Times New Roman"/>
          <w:b/>
          <w:bCs/>
          <w:sz w:val="24"/>
          <w:szCs w:val="23"/>
          <w:lang w:val="es-PE"/>
        </w:rPr>
        <w:t>RESUELVE:</w:t>
      </w:r>
    </w:p>
    <w:p w14:paraId="19E19112" w14:textId="730E0B39" w:rsidR="00FF5B03" w:rsidRPr="00592BB0" w:rsidRDefault="00AB4214" w:rsidP="00592BB0">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Declarar INFUNDADO el Recurso de Impugnación interpuesto por ………………… y, por lo tanto, CONFIRMA la Resolución n.° 139-25 de fecha 9 de septiembre de 2025, dejando a salvo su derecho de recurrir ante las instancias que considere pertinentes.</w:t>
      </w:r>
    </w:p>
    <w:p w14:paraId="5ED79E9E" w14:textId="340A77F5" w:rsidR="00033B9E" w:rsidRPr="00592BB0" w:rsidRDefault="00033B9E" w:rsidP="00592BB0">
      <w:pPr>
        <w:spacing w:after="200" w:line="240" w:lineRule="auto"/>
        <w:jc w:val="right"/>
        <w:rPr>
          <w:rFonts w:ascii="Times New Roman" w:hAnsi="Times New Roman" w:cs="Times New Roman"/>
          <w:sz w:val="23"/>
          <w:szCs w:val="23"/>
          <w:lang w:val="es-PE"/>
        </w:rPr>
      </w:pPr>
      <w:r w:rsidRPr="00592BB0">
        <w:rPr>
          <w:rFonts w:ascii="Times New Roman" w:hAnsi="Times New Roman" w:cs="Times New Roman"/>
          <w:sz w:val="24"/>
          <w:szCs w:val="23"/>
          <w:lang w:val="es-PE"/>
        </w:rPr>
        <w:t xml:space="preserve">Lima, </w:t>
      </w:r>
      <w:r w:rsidR="00FF5B03" w:rsidRPr="00592BB0">
        <w:rPr>
          <w:rFonts w:ascii="Times New Roman" w:hAnsi="Times New Roman" w:cs="Times New Roman"/>
          <w:sz w:val="24"/>
          <w:szCs w:val="23"/>
          <w:lang w:val="es-PE"/>
        </w:rPr>
        <w:t>29</w:t>
      </w:r>
      <w:r w:rsidRPr="00592BB0">
        <w:rPr>
          <w:rFonts w:ascii="Times New Roman" w:hAnsi="Times New Roman" w:cs="Times New Roman"/>
          <w:sz w:val="24"/>
          <w:szCs w:val="23"/>
          <w:lang w:val="es-PE"/>
        </w:rPr>
        <w:t xml:space="preserve"> de </w:t>
      </w:r>
      <w:r w:rsidR="00A0075C" w:rsidRPr="00592BB0">
        <w:rPr>
          <w:rFonts w:ascii="Times New Roman" w:hAnsi="Times New Roman" w:cs="Times New Roman"/>
          <w:sz w:val="24"/>
          <w:szCs w:val="23"/>
          <w:lang w:val="es-PE"/>
        </w:rPr>
        <w:t>octubre</w:t>
      </w:r>
      <w:r w:rsidR="00304C79" w:rsidRPr="00592BB0">
        <w:rPr>
          <w:rFonts w:ascii="Times New Roman" w:hAnsi="Times New Roman" w:cs="Times New Roman"/>
          <w:sz w:val="24"/>
          <w:szCs w:val="23"/>
          <w:lang w:val="es-PE"/>
        </w:rPr>
        <w:t xml:space="preserve"> </w:t>
      </w:r>
      <w:r w:rsidRPr="00592BB0">
        <w:rPr>
          <w:rFonts w:ascii="Times New Roman" w:hAnsi="Times New Roman" w:cs="Times New Roman"/>
          <w:sz w:val="24"/>
          <w:szCs w:val="23"/>
          <w:lang w:val="es-PE"/>
        </w:rPr>
        <w:t xml:space="preserve">de 2025 </w:t>
      </w:r>
    </w:p>
    <w:p w14:paraId="10ECF88E" w14:textId="77777777" w:rsidR="00033B9E" w:rsidRPr="00592BB0" w:rsidRDefault="00033B9E" w:rsidP="00592BB0">
      <w:pPr>
        <w:suppressAutoHyphens/>
        <w:spacing w:after="0" w:line="240" w:lineRule="auto"/>
        <w:outlineLvl w:val="0"/>
        <w:rPr>
          <w:rFonts w:ascii="Times New Roman" w:eastAsia="Times New Roman" w:hAnsi="Times New Roman" w:cs="Times New Roman"/>
          <w:sz w:val="23"/>
          <w:szCs w:val="23"/>
          <w:lang w:val="es-PE" w:eastAsia="ar-SA"/>
        </w:rPr>
      </w:pPr>
    </w:p>
    <w:p w14:paraId="6E081B4D" w14:textId="77777777" w:rsidR="00033B9E" w:rsidRPr="00592BB0" w:rsidRDefault="00033B9E" w:rsidP="00592BB0">
      <w:pPr>
        <w:spacing w:after="200" w:line="240" w:lineRule="auto"/>
        <w:jc w:val="both"/>
        <w:rPr>
          <w:rFonts w:ascii="Times New Roman" w:hAnsi="Times New Roman" w:cs="Times New Roman"/>
          <w:b/>
          <w:bCs/>
          <w:i/>
          <w:iCs/>
          <w:sz w:val="23"/>
          <w:szCs w:val="23"/>
          <w:lang w:val="es-PE"/>
        </w:rPr>
      </w:pPr>
      <w:r w:rsidRPr="00592BB0">
        <w:rPr>
          <w:rFonts w:ascii="Times New Roman" w:hAnsi="Times New Roman" w:cs="Times New Roman"/>
          <w:b/>
          <w:bCs/>
          <w:i/>
          <w:iCs/>
          <w:sz w:val="24"/>
          <w:szCs w:val="23"/>
          <w:lang w:val="es-PE"/>
        </w:rPr>
        <w:t xml:space="preserve">La Secretaría Técnica certifica que la presente resolución cuenta con el voto de los vocales cuyos nombres figuran en el presente documento. </w:t>
      </w:r>
    </w:p>
    <w:p w14:paraId="480C5042" w14:textId="6F749E5F" w:rsidR="00033B9E" w:rsidRPr="00592BB0" w:rsidRDefault="00427787" w:rsidP="00592BB0">
      <w:pPr>
        <w:spacing w:after="0" w:line="360" w:lineRule="auto"/>
        <w:jc w:val="center"/>
        <w:rPr>
          <w:rFonts w:ascii="Times New Roman" w:hAnsi="Times New Roman" w:cs="Times New Roman"/>
          <w:b/>
          <w:bCs/>
          <w:sz w:val="23"/>
          <w:szCs w:val="23"/>
          <w:lang w:val="es-PE"/>
        </w:rPr>
      </w:pPr>
      <w:r w:rsidRPr="00592BB0">
        <w:rPr>
          <w:rFonts w:ascii="Times New Roman" w:hAnsi="Times New Roman" w:cs="Times New Roman"/>
          <w:b/>
          <w:bCs/>
          <w:sz w:val="24"/>
          <w:szCs w:val="23"/>
          <w:lang w:val="es-PE"/>
        </w:rPr>
        <w:t xml:space="preserve">Antonio Rodriguez Lobatón </w:t>
      </w:r>
      <w:r w:rsidR="00033B9E" w:rsidRPr="00592BB0">
        <w:rPr>
          <w:rFonts w:ascii="Times New Roman" w:hAnsi="Times New Roman" w:cs="Times New Roman"/>
          <w:b/>
          <w:bCs/>
          <w:sz w:val="24"/>
          <w:szCs w:val="23"/>
          <w:lang w:val="es-PE"/>
        </w:rPr>
        <w:t>- Presidente</w:t>
      </w:r>
    </w:p>
    <w:p w14:paraId="1B6FD469" w14:textId="77777777" w:rsidR="00033B9E" w:rsidRPr="00592BB0" w:rsidRDefault="00033B9E" w:rsidP="00592BB0">
      <w:pPr>
        <w:spacing w:after="0" w:line="360" w:lineRule="auto"/>
        <w:jc w:val="center"/>
        <w:rPr>
          <w:rFonts w:ascii="Times New Roman" w:hAnsi="Times New Roman" w:cs="Times New Roman"/>
          <w:b/>
          <w:bCs/>
          <w:sz w:val="23"/>
          <w:szCs w:val="23"/>
          <w:lang w:val="es-PE"/>
        </w:rPr>
      </w:pPr>
      <w:r w:rsidRPr="00592BB0">
        <w:rPr>
          <w:rFonts w:ascii="Times New Roman" w:hAnsi="Times New Roman" w:cs="Times New Roman"/>
          <w:b/>
          <w:bCs/>
          <w:sz w:val="24"/>
          <w:szCs w:val="23"/>
          <w:lang w:val="es-PE"/>
        </w:rPr>
        <w:t>María Eugenia Valdez Fernández Baca - Vocal</w:t>
      </w:r>
    </w:p>
    <w:p w14:paraId="39CA59B6" w14:textId="6FA0EEB3" w:rsidR="00543E68" w:rsidRPr="00592BB0" w:rsidRDefault="00272BD6" w:rsidP="00592BB0">
      <w:pPr>
        <w:spacing w:after="0" w:line="360" w:lineRule="auto"/>
        <w:jc w:val="center"/>
        <w:rPr>
          <w:rFonts w:ascii="Times New Roman" w:hAnsi="Times New Roman" w:cs="Times New Roman"/>
          <w:b/>
          <w:bCs/>
          <w:sz w:val="23"/>
          <w:szCs w:val="23"/>
          <w:lang w:val="es-PE"/>
        </w:rPr>
      </w:pPr>
      <w:r w:rsidRPr="00592BB0">
        <w:rPr>
          <w:rFonts w:ascii="Times New Roman" w:hAnsi="Times New Roman" w:cs="Times New Roman"/>
          <w:b/>
          <w:bCs/>
          <w:sz w:val="24"/>
          <w:szCs w:val="23"/>
          <w:lang w:val="es-PE"/>
        </w:rPr>
        <w:t>Rolando Eyzaguirre Maccan</w:t>
      </w:r>
      <w:r w:rsidR="00033B9E" w:rsidRPr="00592BB0">
        <w:rPr>
          <w:rFonts w:ascii="Times New Roman" w:hAnsi="Times New Roman" w:cs="Times New Roman"/>
          <w:b/>
          <w:bCs/>
          <w:sz w:val="24"/>
          <w:szCs w:val="23"/>
          <w:lang w:val="es-PE"/>
        </w:rPr>
        <w:t xml:space="preserve"> – Vocal</w:t>
      </w:r>
      <w:bookmarkEnd w:id="5"/>
    </w:p>
    <w:p w14:paraId="2F5F1A85" w14:textId="2C350904" w:rsidR="00B96782" w:rsidRPr="00592BB0" w:rsidRDefault="00B96782" w:rsidP="00592BB0">
      <w:pPr>
        <w:spacing w:after="200" w:line="240" w:lineRule="auto"/>
        <w:jc w:val="center"/>
        <w:rPr>
          <w:rFonts w:ascii="Times New Roman" w:hAnsi="Times New Roman" w:cs="Times New Roman"/>
          <w:b/>
          <w:bCs/>
          <w:sz w:val="23"/>
          <w:szCs w:val="23"/>
          <w:lang w:val="es-PE"/>
        </w:rPr>
      </w:pPr>
    </w:p>
    <w:p w14:paraId="09A7A7BD" w14:textId="7FDAA37F" w:rsidR="00001989" w:rsidRDefault="00001989" w:rsidP="00592BB0">
      <w:pPr>
        <w:spacing w:after="200" w:line="240" w:lineRule="auto"/>
        <w:jc w:val="center"/>
        <w:rPr>
          <w:rFonts w:ascii="Georgia" w:hAnsi="Georgia" w:cs="Times New Roman"/>
          <w:b/>
          <w:bCs/>
          <w:sz w:val="24"/>
          <w:szCs w:val="24"/>
          <w:lang w:val="es-PE"/>
        </w:rPr>
      </w:pPr>
    </w:p>
    <w:p w14:paraId="01BF34EE" w14:textId="77777777" w:rsidR="00001989" w:rsidRPr="00F92849" w:rsidRDefault="00001989" w:rsidP="00F92849">
      <w:pPr>
        <w:spacing w:after="200" w:line="240" w:lineRule="auto"/>
        <w:jc w:val="center"/>
        <w:rPr>
          <w:rFonts w:ascii="Georgia" w:hAnsi="Georgia" w:cs="Times New Roman"/>
          <w:b/>
          <w:bCs/>
          <w:sz w:val="24"/>
          <w:szCs w:val="24"/>
          <w:lang w:val="es-PE"/>
        </w:rPr>
      </w:pPr>
    </w:p>
    <w:sectPr w:rsidR="00001989" w:rsidRPr="00F92849" w:rsidSect="002019FA">
      <w:headerReference w:type="default" r:id="rId17"/>
      <w:footerReference w:type="default" r:id="rId18"/>
      <w:headerReference w:type="first" r:id="rId21"/>
      <w:footerReference w:type="first" r:id="rId22"/>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226B" w14:textId="77777777" w:rsidR="00541194" w:rsidRDefault="00541194" w:rsidP="00784355">
      <w:pPr>
        <w:spacing w:after="0" w:line="240" w:lineRule="auto"/>
      </w:pPr>
      <w:r>
        <w:separator/>
      </w:r>
    </w:p>
  </w:endnote>
  <w:endnote w:type="continuationSeparator" w:id="0">
    <w:p w14:paraId="1D405608" w14:textId="77777777" w:rsidR="00541194" w:rsidRDefault="0054119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14:paraId="1A7D4DE2" w14:textId="13C38AB9" w:rsidR="00C671F5" w:rsidRPr="006444A9" w:rsidRDefault="00C671F5">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F3DDA" w14:textId="77777777" w:rsidR="00541194" w:rsidRDefault="00541194" w:rsidP="00784355">
      <w:pPr>
        <w:spacing w:after="0" w:line="240" w:lineRule="auto"/>
      </w:pPr>
      <w:r>
        <w:separator/>
      </w:r>
    </w:p>
  </w:footnote>
  <w:footnote w:type="continuationSeparator" w:id="0">
    <w:p w14:paraId="7A34A43E" w14:textId="77777777" w:rsidR="00541194" w:rsidRDefault="00541194" w:rsidP="00784355">
      <w:pPr>
        <w:spacing w:after="0" w:line="240" w:lineRule="auto"/>
      </w:pPr>
      <w:r>
        <w:continuationSeparator/>
      </w:r>
    </w:p>
  </w:footnote>
  <w:footnote w:id="1">
    <w:p w14:paraId="5026D32B" w14:textId="77777777" w:rsidR="001035ED" w:rsidRPr="00592BB0" w:rsidRDefault="001035ED"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Reglamento de DEFASEG</w:t>
      </w:r>
    </w:p>
    <w:p w14:paraId="7C7FF2C2" w14:textId="77777777" w:rsidR="001035ED" w:rsidRPr="00592BB0" w:rsidRDefault="001035ED"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10. Procedimiento</w:t>
      </w:r>
    </w:p>
    <w:p w14:paraId="5390EA05" w14:textId="77777777" w:rsidR="001035ED" w:rsidRPr="00592BB0" w:rsidRDefault="001035ED"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796EB13B" w14:textId="77777777" w:rsidR="001035ED" w:rsidRPr="00592BB0" w:rsidRDefault="001035ED"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592BB0" w:rsidRDefault="001035ED"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770E9637" w14:textId="71D21164" w:rsidR="00BC6B65" w:rsidRPr="00592BB0" w:rsidRDefault="00BC6B65"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Por error material se entiende aquel cuya corrección no cambia el sentido de la resolución, ni implica un juicio valorativo, ni exige apreciaciones de calificación jurídica o nuevas, ni supone resolver cuestiones discutibles u opinables por evidenciarse el error directamente al deducirse, con toda certeza, del propio texto de la Sentencia, sin necesidad de hipótesis, deducciones o interpretaciones. </w:t>
      </w:r>
      <w:r w:rsidR="008F3119" w:rsidRPr="00592BB0">
        <w:rPr>
          <w:rFonts w:ascii="Times New Roman" w:hAnsi="Times New Roman" w:cs="Times New Roman"/>
          <w:sz w:val="18"/>
          <w:szCs w:val="18"/>
          <w:lang w:val="es-PE"/>
        </w:rPr>
        <w:t>‹error material› en: Diccionario Panhispánico del Español Jurídico (DPEJ).</w:t>
      </w:r>
      <w:r w:rsidRPr="00592BB0">
        <w:rPr>
          <w:rFonts w:ascii="Times New Roman" w:hAnsi="Times New Roman" w:cs="Times New Roman"/>
          <w:sz w:val="18"/>
          <w:szCs w:val="18"/>
          <w:lang w:val="es-PE"/>
        </w:rPr>
        <w:t xml:space="preserve"> [en línea]</w:t>
      </w:r>
      <w:r w:rsidR="008F3119" w:rsidRPr="00592BB0">
        <w:rPr>
          <w:rFonts w:ascii="Times New Roman" w:hAnsi="Times New Roman" w:cs="Times New Roman"/>
          <w:sz w:val="18"/>
          <w:szCs w:val="18"/>
          <w:lang w:val="es-PE"/>
        </w:rPr>
        <w:t xml:space="preserve">. Disponible en: </w:t>
      </w:r>
      <w:hyperlink r:id="rId1" w:history="1">
        <w:r w:rsidR="008F3119" w:rsidRPr="00592BB0">
          <w:rPr>
            <w:rStyle w:val="Hipervnculo"/>
            <w:rFonts w:ascii="Times New Roman" w:hAnsi="Times New Roman" w:cs="Times New Roman"/>
            <w:sz w:val="18"/>
            <w:szCs w:val="18"/>
            <w:lang w:val="es-PE"/>
          </w:rPr>
          <w:t>https://dpej.rae.es/</w:t>
        </w:r>
      </w:hyperlink>
      <w:r w:rsidR="008F3119"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Consulta</w:t>
      </w:r>
      <w:r w:rsidR="008F3119"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21</w:t>
      </w:r>
      <w:r w:rsidR="008F3119" w:rsidRPr="00592BB0">
        <w:rPr>
          <w:rFonts w:ascii="Times New Roman" w:hAnsi="Times New Roman" w:cs="Times New Roman"/>
          <w:sz w:val="18"/>
          <w:szCs w:val="18"/>
          <w:lang w:val="es-PE"/>
        </w:rPr>
        <w:t xml:space="preserve"> de octubre de 2</w:t>
      </w:r>
      <w:r w:rsidRPr="00592BB0">
        <w:rPr>
          <w:rFonts w:ascii="Times New Roman" w:hAnsi="Times New Roman" w:cs="Times New Roman"/>
          <w:sz w:val="18"/>
          <w:szCs w:val="18"/>
          <w:lang w:val="es-PE"/>
        </w:rPr>
        <w:t>025</w:t>
      </w:r>
      <w:r w:rsidR="008F3119" w:rsidRPr="00592BB0">
        <w:rPr>
          <w:rFonts w:ascii="Times New Roman" w:hAnsi="Times New Roman" w:cs="Times New Roman"/>
          <w:sz w:val="18"/>
          <w:szCs w:val="18"/>
          <w:lang w:val="es-PE"/>
        </w:rPr>
        <w:t>)</w:t>
      </w:r>
      <w:r w:rsidRPr="00592BB0">
        <w:rPr>
          <w:rFonts w:ascii="Times New Roman" w:hAnsi="Times New Roman" w:cs="Times New Roman"/>
          <w:sz w:val="18"/>
          <w:szCs w:val="18"/>
          <w:lang w:val="es-PE"/>
        </w:rPr>
        <w:t>.</w:t>
      </w:r>
    </w:p>
  </w:footnote>
  <w:footnote w:id="3">
    <w:p w14:paraId="042DDC94" w14:textId="43BCB89D" w:rsidR="00A11B13" w:rsidRPr="00592BB0" w:rsidRDefault="00A11B13"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00482C9F" w:rsidRPr="00592BB0">
        <w:rPr>
          <w:rFonts w:ascii="Times New Roman" w:hAnsi="Times New Roman" w:cs="Times New Roman"/>
          <w:sz w:val="18"/>
          <w:szCs w:val="18"/>
          <w:lang w:val="es-PE"/>
        </w:rPr>
        <w:t xml:space="preserve">Días hábiles en el Recurso de impugnación de la </w:t>
      </w:r>
      <w:r w:rsidR="00B51E54" w:rsidRPr="00592BB0">
        <w:rPr>
          <w:rFonts w:ascii="Times New Roman" w:hAnsi="Times New Roman" w:cs="Times New Roman"/>
          <w:sz w:val="18"/>
          <w:szCs w:val="18"/>
          <w:lang w:val="es-PE"/>
        </w:rPr>
        <w:t>asegurad</w:t>
      </w:r>
      <w:r w:rsidR="00FD58AE" w:rsidRPr="00592BB0">
        <w:rPr>
          <w:rFonts w:ascii="Times New Roman" w:hAnsi="Times New Roman" w:cs="Times New Roman"/>
          <w:sz w:val="18"/>
          <w:szCs w:val="18"/>
          <w:lang w:val="es-PE"/>
        </w:rPr>
        <w:t>a</w:t>
      </w:r>
      <w:r w:rsidR="00B51E54" w:rsidRPr="00592BB0">
        <w:rPr>
          <w:rFonts w:ascii="Times New Roman" w:hAnsi="Times New Roman" w:cs="Times New Roman"/>
          <w:sz w:val="18"/>
          <w:szCs w:val="18"/>
          <w:lang w:val="es-PE"/>
        </w:rPr>
        <w:t>, c</w:t>
      </w:r>
      <w:r w:rsidR="00482C9F" w:rsidRPr="00592BB0">
        <w:rPr>
          <w:rFonts w:ascii="Times New Roman" w:hAnsi="Times New Roman" w:cs="Times New Roman"/>
          <w:sz w:val="18"/>
          <w:szCs w:val="18"/>
          <w:lang w:val="es-PE"/>
        </w:rPr>
        <w:t xml:space="preserve">uando en </w:t>
      </w:r>
      <w:r w:rsidRPr="00592BB0">
        <w:rPr>
          <w:rFonts w:ascii="Times New Roman" w:hAnsi="Times New Roman" w:cs="Times New Roman"/>
          <w:sz w:val="18"/>
          <w:szCs w:val="18"/>
          <w:lang w:val="es-PE"/>
        </w:rPr>
        <w:t xml:space="preserve">realidad fueron </w:t>
      </w:r>
      <w:r w:rsidR="008F3119" w:rsidRPr="00592BB0">
        <w:rPr>
          <w:rFonts w:ascii="Times New Roman" w:hAnsi="Times New Roman" w:cs="Times New Roman"/>
          <w:sz w:val="18"/>
          <w:szCs w:val="18"/>
          <w:lang w:val="es-PE"/>
        </w:rPr>
        <w:t xml:space="preserve">33 </w:t>
      </w:r>
      <w:r w:rsidRPr="00592BB0">
        <w:rPr>
          <w:rFonts w:ascii="Times New Roman" w:hAnsi="Times New Roman" w:cs="Times New Roman"/>
          <w:sz w:val="18"/>
          <w:szCs w:val="18"/>
          <w:lang w:val="es-PE"/>
        </w:rPr>
        <w:t xml:space="preserve">días calendario. </w:t>
      </w:r>
    </w:p>
  </w:footnote>
  <w:footnote w:id="4">
    <w:p w14:paraId="1498319A" w14:textId="247C9F1B" w:rsidR="00482C9F" w:rsidRPr="00592BB0" w:rsidRDefault="00482C9F"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Reglamento de DEFASEG</w:t>
      </w:r>
    </w:p>
    <w:p w14:paraId="4CB338E2" w14:textId="1D4779EA" w:rsidR="00482C9F" w:rsidRPr="00592BB0" w:rsidRDefault="00482C9F"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t xml:space="preserve">10. Procedimiento </w:t>
      </w:r>
    </w:p>
    <w:p w14:paraId="1FF842B0" w14:textId="333DC3E1" w:rsidR="00482C9F" w:rsidRPr="00592BB0" w:rsidRDefault="00482C9F"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2D3FB429" w14:textId="574DCB41" w:rsidR="00482C9F" w:rsidRPr="00592BB0" w:rsidRDefault="00482C9F"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 xml:space="preserve">El reclamo será notificado a la empresa de seguros para que dentro del plazo de siete (7) días hábiles, remita obligatoriamente el expediente completo del siniestro, lo cual incluye la respectiva póliza de seguro completa, así como la información o documentación complementaria que La Defensoría haya solicitado. En caso contrario, se seguirá el procedimiento en rebeldía, salvo que por escrito y por una única vez hubiera solicitado una ampliación del plazo, la cual se concederá por el plazo de siete (7) días hábiles. </w:t>
      </w:r>
    </w:p>
    <w:p w14:paraId="13118A59" w14:textId="5E7B6B5B" w:rsidR="00482C9F" w:rsidRPr="00592BB0" w:rsidRDefault="00482C9F"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La declaración de rebeldía a que se refiere el párrafo precedente no impide a la empresa de seguros apersonarse al proceso posteriormente en el estado en que se encuentre, ni la priva en forma alguna de su derecho de defensa.</w:t>
      </w:r>
    </w:p>
  </w:footnote>
  <w:footnote w:id="5">
    <w:p w14:paraId="60E26CC7" w14:textId="0DA742B8" w:rsidR="006556AC" w:rsidRPr="00592BB0" w:rsidRDefault="006556AC"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00A22B41" w:rsidRPr="00592BB0">
        <w:rPr>
          <w:rFonts w:ascii="Times New Roman" w:hAnsi="Times New Roman" w:cs="Times New Roman"/>
          <w:sz w:val="18"/>
          <w:szCs w:val="18"/>
          <w:lang w:val="es-PE"/>
        </w:rPr>
        <w:t>Véase por ejemplo</w:t>
      </w:r>
      <w:r w:rsidR="00B51E54" w:rsidRPr="00592BB0">
        <w:rPr>
          <w:rFonts w:ascii="Times New Roman" w:hAnsi="Times New Roman" w:cs="Times New Roman"/>
          <w:sz w:val="18"/>
          <w:szCs w:val="18"/>
          <w:lang w:val="es-PE"/>
        </w:rPr>
        <w:t xml:space="preserve"> la </w:t>
      </w:r>
      <w:r w:rsidRPr="00592BB0">
        <w:rPr>
          <w:rFonts w:ascii="Times New Roman" w:hAnsi="Times New Roman" w:cs="Times New Roman"/>
          <w:sz w:val="18"/>
          <w:szCs w:val="18"/>
          <w:lang w:val="es-PE"/>
        </w:rPr>
        <w:t>Resolución n° 19-2007-CCO/OSIPTEL (</w:t>
      </w:r>
      <w:r w:rsidRPr="00592BB0">
        <w:rPr>
          <w:rFonts w:ascii="Times New Roman" w:hAnsi="Times New Roman" w:cs="Times New Roman"/>
          <w:i/>
          <w:iCs/>
          <w:sz w:val="18"/>
          <w:szCs w:val="18"/>
          <w:u w:val="single"/>
          <w:lang w:val="es-PE"/>
        </w:rPr>
        <w:t xml:space="preserve">Expediente n° 12-2005-CCO-ST/IX, Telmex v. </w:t>
      </w:r>
      <w:r w:rsidR="00A22B41" w:rsidRPr="00592BB0">
        <w:rPr>
          <w:rFonts w:ascii="Times New Roman" w:hAnsi="Times New Roman" w:cs="Times New Roman"/>
          <w:i/>
          <w:iCs/>
          <w:sz w:val="18"/>
          <w:szCs w:val="18"/>
          <w:u w:val="single"/>
          <w:lang w:val="es-PE"/>
        </w:rPr>
        <w:t>Teleandina</w:t>
      </w:r>
      <w:r w:rsidRPr="00592BB0">
        <w:rPr>
          <w:rFonts w:ascii="Times New Roman" w:hAnsi="Times New Roman" w:cs="Times New Roman"/>
          <w:sz w:val="18"/>
          <w:szCs w:val="18"/>
          <w:lang w:val="es-PE"/>
        </w:rPr>
        <w:t xml:space="preserve">) del </w:t>
      </w:r>
      <w:r w:rsidR="00A22B41" w:rsidRPr="00592BB0">
        <w:rPr>
          <w:rFonts w:ascii="Times New Roman" w:hAnsi="Times New Roman" w:cs="Times New Roman"/>
          <w:sz w:val="18"/>
          <w:szCs w:val="18"/>
          <w:lang w:val="es-PE"/>
        </w:rPr>
        <w:t>31</w:t>
      </w:r>
      <w:r w:rsidRPr="00592BB0">
        <w:rPr>
          <w:rFonts w:ascii="Times New Roman" w:hAnsi="Times New Roman" w:cs="Times New Roman"/>
          <w:sz w:val="18"/>
          <w:szCs w:val="18"/>
          <w:lang w:val="es-PE"/>
        </w:rPr>
        <w:t xml:space="preserve"> de </w:t>
      </w:r>
      <w:r w:rsidR="00A22B41" w:rsidRPr="00592BB0">
        <w:rPr>
          <w:rFonts w:ascii="Times New Roman" w:hAnsi="Times New Roman" w:cs="Times New Roman"/>
          <w:sz w:val="18"/>
          <w:szCs w:val="18"/>
          <w:lang w:val="es-PE"/>
        </w:rPr>
        <w:t xml:space="preserve">octubre </w:t>
      </w:r>
      <w:r w:rsidRPr="00592BB0">
        <w:rPr>
          <w:rFonts w:ascii="Times New Roman" w:hAnsi="Times New Roman" w:cs="Times New Roman"/>
          <w:sz w:val="18"/>
          <w:szCs w:val="18"/>
          <w:lang w:val="es-PE"/>
        </w:rPr>
        <w:t>de 20</w:t>
      </w:r>
      <w:r w:rsidR="00A22B41" w:rsidRPr="00592BB0">
        <w:rPr>
          <w:rFonts w:ascii="Times New Roman" w:hAnsi="Times New Roman" w:cs="Times New Roman"/>
          <w:sz w:val="18"/>
          <w:szCs w:val="18"/>
          <w:lang w:val="es-PE"/>
        </w:rPr>
        <w:t>07</w:t>
      </w:r>
      <w:r w:rsidRPr="00592BB0">
        <w:rPr>
          <w:rFonts w:ascii="Times New Roman" w:hAnsi="Times New Roman" w:cs="Times New Roman"/>
          <w:sz w:val="18"/>
          <w:szCs w:val="18"/>
          <w:lang w:val="es-PE"/>
        </w:rPr>
        <w:t>.</w:t>
      </w:r>
    </w:p>
  </w:footnote>
  <w:footnote w:id="6">
    <w:p w14:paraId="5478052A" w14:textId="2323B2E1" w:rsidR="000F55CC" w:rsidRPr="00592BB0" w:rsidRDefault="000F55CC"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NUGENT </w:t>
      </w:r>
      <w:r w:rsidR="000D4AFC" w:rsidRPr="00592BB0">
        <w:rPr>
          <w:rFonts w:ascii="Times New Roman" w:hAnsi="Times New Roman" w:cs="Times New Roman"/>
          <w:sz w:val="18"/>
          <w:szCs w:val="18"/>
          <w:lang w:val="es-PE"/>
        </w:rPr>
        <w:t>LÓPEZ-CHÁVEZ</w:t>
      </w:r>
      <w:r w:rsidRPr="00592BB0">
        <w:rPr>
          <w:rFonts w:ascii="Times New Roman" w:hAnsi="Times New Roman" w:cs="Times New Roman"/>
          <w:sz w:val="18"/>
          <w:szCs w:val="18"/>
          <w:lang w:val="es-PE"/>
        </w:rPr>
        <w:t>, Ricardo. (1953) «El impuls</w:t>
      </w:r>
      <w:r w:rsidR="001A5AFB" w:rsidRPr="00592BB0">
        <w:rPr>
          <w:rFonts w:ascii="Times New Roman" w:hAnsi="Times New Roman" w:cs="Times New Roman"/>
          <w:sz w:val="18"/>
          <w:szCs w:val="18"/>
          <w:lang w:val="es-PE"/>
        </w:rPr>
        <w:t>o</w:t>
      </w:r>
      <w:r w:rsidRPr="00592BB0">
        <w:rPr>
          <w:rFonts w:ascii="Times New Roman" w:hAnsi="Times New Roman" w:cs="Times New Roman"/>
          <w:sz w:val="18"/>
          <w:szCs w:val="18"/>
          <w:lang w:val="es-PE"/>
        </w:rPr>
        <w:t xml:space="preserve"> y la </w:t>
      </w:r>
      <w:r w:rsidR="00FF5B03" w:rsidRPr="00592BB0">
        <w:rPr>
          <w:rFonts w:ascii="Times New Roman" w:hAnsi="Times New Roman" w:cs="Times New Roman"/>
          <w:sz w:val="18"/>
          <w:szCs w:val="18"/>
          <w:lang w:val="es-PE"/>
        </w:rPr>
        <w:t>preclusión</w:t>
      </w:r>
      <w:r w:rsidRPr="00592BB0">
        <w:rPr>
          <w:rFonts w:ascii="Times New Roman" w:hAnsi="Times New Roman" w:cs="Times New Roman"/>
          <w:sz w:val="18"/>
          <w:szCs w:val="18"/>
          <w:lang w:val="es-PE"/>
        </w:rPr>
        <w:t xml:space="preserve"> procesal», Derecho, 13</w:t>
      </w:r>
      <w:bookmarkStart w:id="6" w:name="_Hlk211348185"/>
      <w:r w:rsidRPr="00592BB0">
        <w:rPr>
          <w:rFonts w:ascii="Times New Roman" w:hAnsi="Times New Roman" w:cs="Times New Roman"/>
          <w:bCs/>
          <w:noProof/>
          <w:sz w:val="18"/>
          <w:szCs w:val="18"/>
          <w:lang w:val="es-PE"/>
        </w:rPr>
        <w:t xml:space="preserve"> </w:t>
      </w:r>
      <w:bookmarkStart w:id="7" w:name="_Hlk209626501"/>
      <w:r w:rsidRPr="00592BB0">
        <w:rPr>
          <w:rFonts w:ascii="Times New Roman" w:hAnsi="Times New Roman" w:cs="Times New Roman"/>
          <w:bCs/>
          <w:noProof/>
          <w:sz w:val="18"/>
          <w:szCs w:val="18"/>
          <w:lang w:val="es-PE"/>
        </w:rPr>
        <w:t xml:space="preserve">[en línea]. </w:t>
      </w:r>
      <w:bookmarkEnd w:id="7"/>
      <w:r w:rsidRPr="00592BB0">
        <w:rPr>
          <w:rFonts w:ascii="Times New Roman" w:hAnsi="Times New Roman" w:cs="Times New Roman"/>
          <w:bCs/>
          <w:noProof/>
          <w:sz w:val="18"/>
          <w:szCs w:val="18"/>
          <w:lang w:val="es-PE"/>
        </w:rPr>
        <w:t>Disponible en:</w:t>
      </w:r>
      <w:r w:rsidR="000D4AFC" w:rsidRPr="00592BB0">
        <w:rPr>
          <w:rFonts w:ascii="Times New Roman" w:hAnsi="Times New Roman" w:cs="Times New Roman"/>
          <w:bCs/>
          <w:noProof/>
          <w:sz w:val="18"/>
          <w:szCs w:val="18"/>
          <w:lang w:val="es-PE"/>
        </w:rPr>
        <w:t xml:space="preserve"> </w:t>
      </w:r>
      <w:hyperlink r:id="rId2" w:history="1">
        <w:r w:rsidR="000D4AFC" w:rsidRPr="00592BB0">
          <w:rPr>
            <w:rStyle w:val="Hipervnculo"/>
            <w:rFonts w:ascii="Times New Roman" w:hAnsi="Times New Roman" w:cs="Times New Roman"/>
            <w:bCs/>
            <w:noProof/>
            <w:sz w:val="18"/>
            <w:szCs w:val="18"/>
            <w:lang w:val="es-PE"/>
          </w:rPr>
          <w:t>https://revistas.pucp.edu.pe/index.php/derechopucp/article/view/13242/13854</w:t>
        </w:r>
      </w:hyperlink>
      <w:r w:rsidR="000D4AFC" w:rsidRPr="00592BB0">
        <w:rPr>
          <w:rFonts w:ascii="Times New Roman" w:hAnsi="Times New Roman" w:cs="Times New Roman"/>
          <w:bCs/>
          <w:noProof/>
          <w:sz w:val="18"/>
          <w:szCs w:val="18"/>
          <w:lang w:val="es-PE"/>
        </w:rPr>
        <w:t xml:space="preserve"> </w:t>
      </w:r>
      <w:r w:rsidRPr="00592BB0">
        <w:rPr>
          <w:rFonts w:ascii="Times New Roman" w:hAnsi="Times New Roman" w:cs="Times New Roman"/>
          <w:bCs/>
          <w:noProof/>
          <w:sz w:val="18"/>
          <w:szCs w:val="18"/>
          <w:lang w:val="es-PE"/>
        </w:rPr>
        <w:t xml:space="preserve">(Consulta: </w:t>
      </w:r>
      <w:r w:rsidR="000D4AFC" w:rsidRPr="00592BB0">
        <w:rPr>
          <w:rFonts w:ascii="Times New Roman" w:hAnsi="Times New Roman" w:cs="Times New Roman"/>
          <w:bCs/>
          <w:noProof/>
          <w:sz w:val="18"/>
          <w:szCs w:val="18"/>
          <w:lang w:val="es-PE"/>
        </w:rPr>
        <w:t>20</w:t>
      </w:r>
      <w:r w:rsidRPr="00592BB0">
        <w:rPr>
          <w:rFonts w:ascii="Times New Roman" w:hAnsi="Times New Roman" w:cs="Times New Roman"/>
          <w:bCs/>
          <w:noProof/>
          <w:sz w:val="18"/>
          <w:szCs w:val="18"/>
          <w:lang w:val="es-PE"/>
        </w:rPr>
        <w:t xml:space="preserve"> de </w:t>
      </w:r>
      <w:r w:rsidR="000D4AFC" w:rsidRPr="00592BB0">
        <w:rPr>
          <w:rFonts w:ascii="Times New Roman" w:hAnsi="Times New Roman" w:cs="Times New Roman"/>
          <w:bCs/>
          <w:noProof/>
          <w:sz w:val="18"/>
          <w:szCs w:val="18"/>
          <w:lang w:val="es-PE"/>
        </w:rPr>
        <w:t xml:space="preserve">octubre </w:t>
      </w:r>
      <w:r w:rsidRPr="00592BB0">
        <w:rPr>
          <w:rFonts w:ascii="Times New Roman" w:hAnsi="Times New Roman" w:cs="Times New Roman"/>
          <w:bCs/>
          <w:noProof/>
          <w:sz w:val="18"/>
          <w:szCs w:val="18"/>
          <w:lang w:val="es-PE"/>
        </w:rPr>
        <w:t>de 20</w:t>
      </w:r>
      <w:r w:rsidR="000D4AFC" w:rsidRPr="00592BB0">
        <w:rPr>
          <w:rFonts w:ascii="Times New Roman" w:hAnsi="Times New Roman" w:cs="Times New Roman"/>
          <w:bCs/>
          <w:noProof/>
          <w:sz w:val="18"/>
          <w:szCs w:val="18"/>
          <w:lang w:val="es-PE"/>
        </w:rPr>
        <w:t>25</w:t>
      </w:r>
      <w:r w:rsidRPr="00592BB0">
        <w:rPr>
          <w:rFonts w:ascii="Times New Roman" w:hAnsi="Times New Roman" w:cs="Times New Roman"/>
          <w:bCs/>
          <w:noProof/>
          <w:sz w:val="18"/>
          <w:szCs w:val="18"/>
          <w:lang w:val="es-PE"/>
        </w:rPr>
        <w:t>.</w:t>
      </w:r>
      <w:bookmarkEnd w:id="6"/>
    </w:p>
  </w:footnote>
  <w:footnote w:id="7">
    <w:p w14:paraId="47A40F73" w14:textId="7A9989BD" w:rsidR="008C70D4" w:rsidRPr="00592BB0" w:rsidRDefault="008C70D4"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Reglamento de DEFASEG</w:t>
      </w:r>
    </w:p>
    <w:p w14:paraId="34562886" w14:textId="77777777" w:rsidR="00B74AA1" w:rsidRPr="00592BB0" w:rsidRDefault="008C70D4"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sz w:val="18"/>
          <w:szCs w:val="18"/>
          <w:lang w:val="es-PE"/>
        </w:rPr>
        <w:tab/>
      </w:r>
      <w:r w:rsidR="00B74AA1" w:rsidRPr="00592BB0">
        <w:rPr>
          <w:rFonts w:ascii="Times New Roman" w:hAnsi="Times New Roman" w:cs="Times New Roman"/>
          <w:b/>
          <w:bCs/>
          <w:sz w:val="18"/>
          <w:szCs w:val="18"/>
          <w:lang w:val="es-PE"/>
        </w:rPr>
        <w:t>7. De la Secretaría Técnica</w:t>
      </w:r>
    </w:p>
    <w:p w14:paraId="0078A12B" w14:textId="289EB7D5" w:rsidR="00B74AA1" w:rsidRPr="00592BB0" w:rsidRDefault="00B74AA1"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 xml:space="preserve">(…) </w:t>
      </w:r>
    </w:p>
    <w:p w14:paraId="60E7AD95" w14:textId="77777777" w:rsidR="00B74AA1" w:rsidRPr="00592BB0" w:rsidRDefault="00B74AA1"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Son funciones de la Secretaría Técnica:</w:t>
      </w:r>
    </w:p>
    <w:p w14:paraId="085F39FD" w14:textId="2E036003" w:rsidR="00B74AA1" w:rsidRPr="00592BB0" w:rsidRDefault="00B74AA1"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14178E11" w14:textId="4AAB8F6B" w:rsidR="008C70D4" w:rsidRPr="00592BB0" w:rsidRDefault="00B74AA1" w:rsidP="00592BB0">
      <w:pPr>
        <w:pStyle w:val="Textonotapie"/>
        <w:tabs>
          <w:tab w:val="left" w:pos="284"/>
          <w:tab w:val="left" w:pos="567"/>
        </w:tabs>
        <w:spacing w:after="120"/>
        <w:ind w:left="567" w:hanging="567"/>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 xml:space="preserve">5. </w:t>
      </w:r>
      <w:r w:rsidRPr="00592BB0">
        <w:rPr>
          <w:rFonts w:ascii="Times New Roman" w:hAnsi="Times New Roman" w:cs="Times New Roman"/>
          <w:sz w:val="18"/>
          <w:szCs w:val="18"/>
          <w:lang w:val="es-PE"/>
        </w:rPr>
        <w:tab/>
        <w:t>Solicitar información adicional a las partes del procedimiento, (…) y requerir que subsanen algún error u omisión en el procedimiento, cada vez que sea necesario; ello sin que en ningún caso implique emitir un pronunciamiento final sobre el reclamo.</w:t>
      </w:r>
    </w:p>
  </w:footnote>
  <w:footnote w:id="8">
    <w:p w14:paraId="0C34DB17" w14:textId="2CCA1A60" w:rsidR="00207461" w:rsidRPr="00592BB0" w:rsidRDefault="00207461"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Véase, Resolución de impugnación</w:t>
      </w:r>
      <w:r w:rsidR="002037C4" w:rsidRPr="00592BB0">
        <w:rPr>
          <w:rFonts w:ascii="Times New Roman" w:hAnsi="Times New Roman" w:cs="Times New Roman"/>
          <w:sz w:val="18"/>
          <w:szCs w:val="18"/>
          <w:lang w:val="es-PE"/>
        </w:rPr>
        <w:t xml:space="preserve"> DEFASEG</w:t>
      </w:r>
      <w:r w:rsidRPr="00592BB0">
        <w:rPr>
          <w:rFonts w:ascii="Times New Roman" w:hAnsi="Times New Roman" w:cs="Times New Roman"/>
          <w:sz w:val="18"/>
          <w:szCs w:val="18"/>
          <w:lang w:val="es-PE"/>
        </w:rPr>
        <w:t xml:space="preserve"> n.° 51/25 (</w:t>
      </w:r>
      <w:r w:rsidRPr="00592BB0">
        <w:rPr>
          <w:rFonts w:ascii="Times New Roman" w:hAnsi="Times New Roman" w:cs="Times New Roman"/>
          <w:i/>
          <w:iCs/>
          <w:sz w:val="18"/>
          <w:szCs w:val="18"/>
          <w:u w:val="single"/>
          <w:lang w:val="es-PE"/>
        </w:rPr>
        <w:t>Expediente n.° 6250, Ruta Diez del Norte v Rímac</w:t>
      </w:r>
      <w:r w:rsidRPr="00592BB0">
        <w:rPr>
          <w:rFonts w:ascii="Times New Roman" w:hAnsi="Times New Roman" w:cs="Times New Roman"/>
          <w:sz w:val="18"/>
          <w:szCs w:val="18"/>
          <w:lang w:val="es-PE"/>
        </w:rPr>
        <w:t>) del 25 de septiembre de 2025.</w:t>
      </w:r>
    </w:p>
  </w:footnote>
  <w:footnote w:id="9">
    <w:p w14:paraId="6C9057EA" w14:textId="77777777" w:rsidR="00F33570" w:rsidRPr="00592BB0" w:rsidRDefault="00F33570"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Pr="00592BB0">
        <w:rPr>
          <w:rFonts w:ascii="Times New Roman" w:hAnsi="Times New Roman" w:cs="Times New Roman"/>
          <w:sz w:val="18"/>
          <w:szCs w:val="18"/>
        </w:rPr>
        <w:tab/>
      </w:r>
      <w:r w:rsidRPr="00592BB0">
        <w:rPr>
          <w:rFonts w:ascii="Times New Roman" w:hAnsi="Times New Roman" w:cs="Times New Roman"/>
          <w:b/>
          <w:bCs/>
          <w:sz w:val="18"/>
          <w:szCs w:val="18"/>
          <w:lang w:val="es-PE"/>
        </w:rPr>
        <w:t>Ley del contrato de seguro</w:t>
      </w:r>
    </w:p>
    <w:p w14:paraId="78899248" w14:textId="77777777" w:rsidR="00F33570" w:rsidRPr="00592BB0" w:rsidRDefault="00F33570"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Artículo 26.- Contenido de la póliza</w:t>
      </w:r>
    </w:p>
    <w:p w14:paraId="50BDD21C" w14:textId="77777777" w:rsidR="00F33570" w:rsidRPr="00592BB0" w:rsidRDefault="00F33570"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El asegurador está obligado a entregar al contratante una póliza debidamente firmada por el representante de la empresa, con redacción clara, en caracteres legibles y en caracteres destacados para el caso del artículo 27. (…)</w:t>
      </w:r>
    </w:p>
  </w:footnote>
  <w:footnote w:id="10">
    <w:p w14:paraId="2987B235" w14:textId="77777777" w:rsidR="00B74AA1" w:rsidRPr="00592BB0" w:rsidRDefault="00B74AA1"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Reglamento de Gestión de Conducta de Mercado del Sistema de Seguros</w:t>
      </w:r>
    </w:p>
    <w:p w14:paraId="55CC5FBD" w14:textId="4FEC26A3" w:rsidR="00B74AA1" w:rsidRPr="00592BB0" w:rsidRDefault="00B74AA1"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t>Artículo 24.- Contratación de productos de seguros</w:t>
      </w:r>
    </w:p>
    <w:p w14:paraId="1C81B040" w14:textId="77777777" w:rsidR="00B74AA1" w:rsidRPr="00592BB0" w:rsidRDefault="00B74AA1" w:rsidP="00592BB0">
      <w:pPr>
        <w:pStyle w:val="Textonotapie"/>
        <w:tabs>
          <w:tab w:val="left" w:pos="284"/>
          <w:tab w:val="left" w:pos="709"/>
        </w:tabs>
        <w:spacing w:after="60"/>
        <w:ind w:left="709" w:hanging="709"/>
        <w:jc w:val="both"/>
        <w:rPr>
          <w:rStyle w:val="Hipervnculo"/>
          <w:rFonts w:ascii="Times New Roman" w:hAnsi="Times New Roman" w:cs="Times New Roman"/>
          <w:color w:val="000000" w:themeColor="text1"/>
          <w:sz w:val="18"/>
          <w:szCs w:val="18"/>
          <w:u w:val="none"/>
          <w:lang w:val="es-PE"/>
        </w:rPr>
      </w:pPr>
      <w:r w:rsidRPr="00592BB0">
        <w:rPr>
          <w:rStyle w:val="Hipervnculo"/>
          <w:rFonts w:ascii="Times New Roman" w:hAnsi="Times New Roman" w:cs="Times New Roman"/>
          <w:color w:val="000000" w:themeColor="text1"/>
          <w:sz w:val="18"/>
          <w:szCs w:val="18"/>
          <w:u w:val="none"/>
          <w:lang w:val="es-PE"/>
        </w:rPr>
        <w:tab/>
        <w:t>(…)</w:t>
      </w:r>
    </w:p>
    <w:p w14:paraId="365351E1" w14:textId="7626254E" w:rsidR="00B74AA1" w:rsidRPr="00592BB0" w:rsidRDefault="00B74AA1" w:rsidP="00592BB0">
      <w:pPr>
        <w:pStyle w:val="Textonotapie"/>
        <w:tabs>
          <w:tab w:val="left" w:pos="709"/>
        </w:tabs>
        <w:spacing w:after="60"/>
        <w:ind w:left="709" w:hanging="425"/>
        <w:jc w:val="both"/>
        <w:rPr>
          <w:rStyle w:val="Hipervnculo"/>
          <w:rFonts w:ascii="Times New Roman" w:hAnsi="Times New Roman" w:cs="Times New Roman"/>
          <w:color w:val="000000" w:themeColor="text1"/>
          <w:sz w:val="18"/>
          <w:szCs w:val="18"/>
          <w:u w:val="none"/>
          <w:lang w:val="es-PE"/>
        </w:rPr>
      </w:pPr>
      <w:r w:rsidRPr="00592BB0">
        <w:rPr>
          <w:rStyle w:val="Hipervnculo"/>
          <w:rFonts w:ascii="Times New Roman" w:hAnsi="Times New Roman" w:cs="Times New Roman"/>
          <w:color w:val="000000" w:themeColor="text1"/>
          <w:sz w:val="18"/>
          <w:szCs w:val="18"/>
          <w:u w:val="none"/>
          <w:lang w:val="es-PE"/>
        </w:rPr>
        <w:t xml:space="preserve">4.5 </w:t>
      </w:r>
      <w:r w:rsidRPr="00592BB0">
        <w:rPr>
          <w:rStyle w:val="Hipervnculo"/>
          <w:rFonts w:ascii="Times New Roman" w:hAnsi="Times New Roman" w:cs="Times New Roman"/>
          <w:color w:val="000000" w:themeColor="text1"/>
          <w:sz w:val="18"/>
          <w:szCs w:val="18"/>
          <w:u w:val="none"/>
          <w:lang w:val="es-PE"/>
        </w:rPr>
        <w:tab/>
        <w:t xml:space="preserve">Las </w:t>
      </w:r>
      <w:r w:rsidRPr="00592BB0">
        <w:rPr>
          <w:rFonts w:ascii="Times New Roman" w:hAnsi="Times New Roman" w:cs="Times New Roman"/>
          <w:sz w:val="18"/>
          <w:szCs w:val="18"/>
        </w:rPr>
        <w:t>empresas</w:t>
      </w:r>
      <w:r w:rsidRPr="00592BB0">
        <w:rPr>
          <w:rStyle w:val="Hipervnculo"/>
          <w:rFonts w:ascii="Times New Roman" w:hAnsi="Times New Roman" w:cs="Times New Roman"/>
          <w:color w:val="000000" w:themeColor="text1"/>
          <w:sz w:val="18"/>
          <w:szCs w:val="18"/>
          <w:u w:val="none"/>
          <w:lang w:val="es-PE"/>
        </w:rPr>
        <w:t xml:space="preserve"> deben entregar y/o poner a disposición la información descrita en el párrafo anterior, a través de alguno de los siguientes medios:</w:t>
      </w:r>
    </w:p>
    <w:p w14:paraId="3578FB48" w14:textId="77777777" w:rsidR="00B74AA1" w:rsidRPr="00592BB0" w:rsidRDefault="00B74AA1" w:rsidP="00592BB0">
      <w:pPr>
        <w:pStyle w:val="Textonotapie"/>
        <w:tabs>
          <w:tab w:val="left" w:pos="284"/>
          <w:tab w:val="left" w:pos="709"/>
        </w:tabs>
        <w:spacing w:after="60"/>
        <w:ind w:left="709" w:hanging="709"/>
        <w:jc w:val="both"/>
        <w:rPr>
          <w:rStyle w:val="Hipervnculo"/>
          <w:rFonts w:ascii="Times New Roman" w:hAnsi="Times New Roman" w:cs="Times New Roman"/>
          <w:color w:val="000000" w:themeColor="text1"/>
          <w:sz w:val="18"/>
          <w:szCs w:val="18"/>
          <w:u w:val="none"/>
          <w:lang w:val="es-PE"/>
        </w:rPr>
      </w:pPr>
      <w:r w:rsidRPr="00592BB0">
        <w:rPr>
          <w:rStyle w:val="Hipervnculo"/>
          <w:rFonts w:ascii="Times New Roman" w:hAnsi="Times New Roman" w:cs="Times New Roman"/>
          <w:color w:val="000000" w:themeColor="text1"/>
          <w:sz w:val="18"/>
          <w:szCs w:val="18"/>
          <w:u w:val="none"/>
          <w:lang w:val="es-PE"/>
        </w:rPr>
        <w:tab/>
      </w:r>
      <w:r w:rsidRPr="00592BB0">
        <w:rPr>
          <w:rStyle w:val="Hipervnculo"/>
          <w:rFonts w:ascii="Times New Roman" w:hAnsi="Times New Roman" w:cs="Times New Roman"/>
          <w:color w:val="000000" w:themeColor="text1"/>
          <w:sz w:val="18"/>
          <w:szCs w:val="18"/>
          <w:u w:val="none"/>
          <w:lang w:val="es-PE"/>
        </w:rPr>
        <w:tab/>
        <w:t>(…)</w:t>
      </w:r>
    </w:p>
    <w:p w14:paraId="7D4CCB20" w14:textId="77777777" w:rsidR="00B74AA1" w:rsidRPr="00592BB0" w:rsidRDefault="00B74AA1" w:rsidP="00592BB0">
      <w:pPr>
        <w:pStyle w:val="Textonotapie"/>
        <w:tabs>
          <w:tab w:val="left" w:pos="709"/>
          <w:tab w:val="left" w:pos="993"/>
        </w:tabs>
        <w:spacing w:after="60"/>
        <w:ind w:left="993" w:hanging="993"/>
        <w:jc w:val="both"/>
        <w:rPr>
          <w:rStyle w:val="Hipervnculo"/>
          <w:rFonts w:ascii="Times New Roman" w:hAnsi="Times New Roman" w:cs="Times New Roman"/>
          <w:color w:val="000000" w:themeColor="text1"/>
          <w:sz w:val="18"/>
          <w:szCs w:val="18"/>
          <w:u w:val="none"/>
          <w:lang w:val="es-PE"/>
        </w:rPr>
      </w:pPr>
      <w:r w:rsidRPr="00592BB0">
        <w:rPr>
          <w:rStyle w:val="Hipervnculo"/>
          <w:rFonts w:ascii="Times New Roman" w:hAnsi="Times New Roman" w:cs="Times New Roman"/>
          <w:color w:val="000000" w:themeColor="text1"/>
          <w:sz w:val="18"/>
          <w:szCs w:val="18"/>
          <w:u w:val="none"/>
          <w:lang w:val="es-PE"/>
        </w:rPr>
        <w:tab/>
        <w:t xml:space="preserve">3. </w:t>
      </w:r>
      <w:r w:rsidRPr="00592BB0">
        <w:rPr>
          <w:rStyle w:val="Hipervnculo"/>
          <w:rFonts w:ascii="Times New Roman" w:hAnsi="Times New Roman" w:cs="Times New Roman"/>
          <w:color w:val="000000" w:themeColor="text1"/>
          <w:sz w:val="18"/>
          <w:szCs w:val="18"/>
          <w:u w:val="none"/>
          <w:lang w:val="es-PE"/>
        </w:rPr>
        <w:tab/>
        <w:t>Por medios electrónicos, siempre que se permita su lectura, impresión, conservación y reproducción sin cambios. En este caso, si el usuario solicita la entrega física de dicha información, las empresas deben acceder a ello.</w:t>
      </w:r>
    </w:p>
    <w:p w14:paraId="06197FE4" w14:textId="77777777" w:rsidR="00B74AA1" w:rsidRPr="00592BB0" w:rsidRDefault="00B74AA1" w:rsidP="00592BB0">
      <w:pPr>
        <w:pStyle w:val="Textonotapie"/>
        <w:tabs>
          <w:tab w:val="left" w:pos="284"/>
          <w:tab w:val="left" w:pos="709"/>
        </w:tabs>
        <w:spacing w:after="60"/>
        <w:ind w:left="709" w:hanging="709"/>
        <w:jc w:val="both"/>
        <w:rPr>
          <w:rStyle w:val="Hipervnculo"/>
          <w:rFonts w:ascii="Times New Roman" w:hAnsi="Times New Roman" w:cs="Times New Roman"/>
          <w:color w:val="000000" w:themeColor="text1"/>
          <w:sz w:val="18"/>
          <w:szCs w:val="18"/>
          <w:u w:val="none"/>
          <w:lang w:val="es-PE"/>
        </w:rPr>
      </w:pPr>
      <w:r w:rsidRPr="00592BB0">
        <w:rPr>
          <w:rStyle w:val="Hipervnculo"/>
          <w:rFonts w:ascii="Times New Roman" w:hAnsi="Times New Roman" w:cs="Times New Roman"/>
          <w:color w:val="000000" w:themeColor="text1"/>
          <w:sz w:val="18"/>
          <w:szCs w:val="18"/>
          <w:u w:val="none"/>
          <w:lang w:val="es-PE"/>
        </w:rPr>
        <w:tab/>
        <w:t>24.6</w:t>
      </w:r>
      <w:r w:rsidRPr="00592BB0">
        <w:rPr>
          <w:rStyle w:val="Hipervnculo"/>
          <w:rFonts w:ascii="Times New Roman" w:hAnsi="Times New Roman" w:cs="Times New Roman"/>
          <w:color w:val="000000" w:themeColor="text1"/>
          <w:sz w:val="18"/>
          <w:szCs w:val="18"/>
          <w:u w:val="none"/>
          <w:lang w:val="es-PE"/>
        </w:rPr>
        <w:tab/>
        <w:t>Los medios utilizados por la empresa para la entrega y/o puesta a disposición del contrato, de conformidad con lo dispuesto en el numeral anterior, deben ser informados previamente al usuario.</w:t>
      </w:r>
    </w:p>
    <w:p w14:paraId="1B4C0BA6" w14:textId="77777777" w:rsidR="00B74AA1" w:rsidRPr="00592BB0" w:rsidRDefault="00B74AA1" w:rsidP="00592BB0">
      <w:pPr>
        <w:pStyle w:val="Textonotapie"/>
        <w:tabs>
          <w:tab w:val="left" w:pos="284"/>
          <w:tab w:val="left" w:pos="709"/>
        </w:tabs>
        <w:spacing w:after="120"/>
        <w:ind w:left="709" w:hanging="709"/>
        <w:jc w:val="both"/>
        <w:rPr>
          <w:rStyle w:val="Hipervnculo"/>
          <w:rFonts w:ascii="Times New Roman" w:hAnsi="Times New Roman" w:cs="Times New Roman"/>
          <w:color w:val="000000" w:themeColor="text1"/>
          <w:sz w:val="18"/>
          <w:szCs w:val="18"/>
          <w:u w:val="none"/>
          <w:lang w:val="es-PE"/>
        </w:rPr>
      </w:pPr>
      <w:r w:rsidRPr="00592BB0">
        <w:rPr>
          <w:rStyle w:val="Hipervnculo"/>
          <w:rFonts w:ascii="Times New Roman" w:hAnsi="Times New Roman" w:cs="Times New Roman"/>
          <w:color w:val="000000" w:themeColor="text1"/>
          <w:sz w:val="18"/>
          <w:szCs w:val="18"/>
          <w:u w:val="none"/>
          <w:lang w:val="es-PE"/>
        </w:rPr>
        <w:tab/>
      </w:r>
      <w:r w:rsidRPr="00592BB0">
        <w:rPr>
          <w:rStyle w:val="Hipervnculo"/>
          <w:rFonts w:ascii="Times New Roman" w:hAnsi="Times New Roman" w:cs="Times New Roman"/>
          <w:color w:val="000000" w:themeColor="text1"/>
          <w:sz w:val="18"/>
          <w:szCs w:val="18"/>
          <w:u w:val="none"/>
          <w:lang w:val="es-PE"/>
        </w:rPr>
        <w:tab/>
        <w:t>(…)</w:t>
      </w:r>
    </w:p>
  </w:footnote>
  <w:footnote w:id="11">
    <w:p w14:paraId="6F18CC17" w14:textId="0E520572" w:rsidR="003B6892" w:rsidRPr="00592BB0" w:rsidRDefault="003B6892"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000B71A2" w:rsidRPr="00592BB0">
        <w:rPr>
          <w:rFonts w:ascii="Times New Roman" w:hAnsi="Times New Roman" w:cs="Times New Roman"/>
          <w:sz w:val="18"/>
          <w:szCs w:val="18"/>
          <w:lang w:val="es-PE"/>
        </w:rPr>
        <w:t>D</w:t>
      </w:r>
      <w:r w:rsidRPr="00592BB0">
        <w:rPr>
          <w:rFonts w:ascii="Times New Roman" w:hAnsi="Times New Roman" w:cs="Times New Roman"/>
          <w:sz w:val="18"/>
          <w:szCs w:val="18"/>
          <w:lang w:val="es-PE"/>
        </w:rPr>
        <w:t xml:space="preserve">ocumento denominado </w:t>
      </w:r>
      <w:r w:rsidR="000B71A2" w:rsidRPr="00592BB0">
        <w:rPr>
          <w:rFonts w:ascii="Times New Roman" w:hAnsi="Times New Roman" w:cs="Times New Roman"/>
          <w:sz w:val="18"/>
          <w:szCs w:val="18"/>
          <w:lang w:val="es-PE"/>
        </w:rPr>
        <w:t>“</w:t>
      </w:r>
      <w:r w:rsidRPr="00592BB0">
        <w:rPr>
          <w:rFonts w:ascii="Times New Roman" w:hAnsi="Times New Roman" w:cs="Times New Roman"/>
          <w:sz w:val="18"/>
          <w:szCs w:val="18"/>
          <w:lang w:val="es-PE"/>
        </w:rPr>
        <w:t>Certificación de admisión del email certificado</w:t>
      </w:r>
      <w:r w:rsidR="000B71A2" w:rsidRPr="00592BB0">
        <w:rPr>
          <w:rFonts w:ascii="Times New Roman" w:hAnsi="Times New Roman" w:cs="Times New Roman"/>
          <w:sz w:val="18"/>
          <w:szCs w:val="18"/>
          <w:lang w:val="es-PE"/>
        </w:rPr>
        <w:t>”</w:t>
      </w:r>
      <w:r w:rsidRPr="00592BB0">
        <w:rPr>
          <w:rFonts w:ascii="Times New Roman" w:hAnsi="Times New Roman" w:cs="Times New Roman"/>
          <w:sz w:val="18"/>
          <w:szCs w:val="18"/>
          <w:lang w:val="es-PE"/>
        </w:rPr>
        <w:t>.</w:t>
      </w:r>
    </w:p>
  </w:footnote>
  <w:footnote w:id="12">
    <w:p w14:paraId="17FEA26B" w14:textId="11BECAF8" w:rsidR="005D17D1" w:rsidRPr="00592BB0" w:rsidRDefault="005D17D1"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Acrónimo de </w:t>
      </w:r>
      <w:r w:rsidRPr="00592BB0">
        <w:rPr>
          <w:rFonts w:ascii="Times New Roman" w:hAnsi="Times New Roman" w:cs="Times New Roman"/>
          <w:i/>
          <w:iCs/>
          <w:sz w:val="18"/>
          <w:szCs w:val="18"/>
          <w:lang w:val="es-PE"/>
        </w:rPr>
        <w:t>Coordinated Universal Time</w:t>
      </w:r>
      <w:r w:rsidRPr="00592BB0">
        <w:rPr>
          <w:rFonts w:ascii="Times New Roman" w:hAnsi="Times New Roman" w:cs="Times New Roman"/>
          <w:sz w:val="18"/>
          <w:szCs w:val="18"/>
          <w:lang w:val="es-PE"/>
        </w:rPr>
        <w:t xml:space="preserve"> (Tiempo Universal Coordinado), constituye uno de los estándares horarios utilizados a nivel mundial.</w:t>
      </w:r>
    </w:p>
  </w:footnote>
  <w:footnote w:id="13">
    <w:p w14:paraId="183892A3" w14:textId="78558555" w:rsidR="002F57BF" w:rsidRPr="00592BB0" w:rsidRDefault="002F57BF"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Las 15:09 h UTC, son las 10:09 h en el Perú.  </w:t>
      </w:r>
    </w:p>
  </w:footnote>
  <w:footnote w:id="14">
    <w:p w14:paraId="35C4A7E2" w14:textId="11D2235B" w:rsidR="00213628" w:rsidRPr="00592BB0" w:rsidRDefault="00213628"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Formato de archivo utilizado por Microsoft Outlook y Exchange para almacenar mensajes completos de correo electrónico.</w:t>
      </w:r>
    </w:p>
  </w:footnote>
  <w:footnote w:id="15">
    <w:p w14:paraId="78433F80" w14:textId="080C5008" w:rsidR="00BE2EDB" w:rsidRPr="00592BB0" w:rsidRDefault="00BE2EDB"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Acrónimo de </w:t>
      </w:r>
      <w:r w:rsidRPr="00592BB0">
        <w:rPr>
          <w:rFonts w:ascii="Times New Roman" w:hAnsi="Times New Roman" w:cs="Times New Roman"/>
          <w:i/>
          <w:iCs/>
          <w:sz w:val="18"/>
          <w:szCs w:val="18"/>
          <w:lang w:val="es-PE"/>
        </w:rPr>
        <w:t>Portable Document Format</w:t>
      </w:r>
      <w:r w:rsidRPr="00592BB0">
        <w:rPr>
          <w:rFonts w:ascii="Times New Roman" w:hAnsi="Times New Roman" w:cs="Times New Roman"/>
          <w:sz w:val="18"/>
          <w:szCs w:val="18"/>
          <w:lang w:val="es-PE"/>
        </w:rPr>
        <w:t xml:space="preserve"> (Formato de Documento Portátil), es un formato de almacenamiento para documentos digitales independientemente del software o hardware.</w:t>
      </w:r>
    </w:p>
  </w:footnote>
  <w:footnote w:id="16">
    <w:p w14:paraId="4F241BF0" w14:textId="12DD7980" w:rsidR="00AB2B72" w:rsidRPr="00592BB0" w:rsidRDefault="00AB2B72"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hyperlink r:id="rId3" w:history="1">
        <w:r w:rsidR="00593730" w:rsidRPr="00592BB0">
          <w:rPr>
            <w:rStyle w:val="Hipervnculo"/>
            <w:rFonts w:ascii="Times New Roman" w:hAnsi="Times New Roman" w:cs="Times New Roman"/>
            <w:sz w:val="18"/>
            <w:szCs w:val="18"/>
            <w:lang w:val="es-PE"/>
          </w:rPr>
          <w:t>https://about.evicertia.com/</w:t>
        </w:r>
      </w:hyperlink>
      <w:r w:rsidR="00593730" w:rsidRPr="00592BB0">
        <w:rPr>
          <w:rFonts w:ascii="Times New Roman" w:hAnsi="Times New Roman" w:cs="Times New Roman"/>
          <w:sz w:val="18"/>
          <w:szCs w:val="18"/>
          <w:lang w:val="es-PE"/>
        </w:rPr>
        <w:t xml:space="preserve"> </w:t>
      </w:r>
    </w:p>
  </w:footnote>
  <w:footnote w:id="17">
    <w:p w14:paraId="5EC1EBA0" w14:textId="3223C021" w:rsidR="00593730" w:rsidRPr="00592BB0" w:rsidRDefault="00593730"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Reglamento eIDAS</w:t>
      </w:r>
    </w:p>
    <w:p w14:paraId="5A6F4C32" w14:textId="6C3BF022" w:rsidR="00593730" w:rsidRPr="00592BB0" w:rsidRDefault="00593730"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 xml:space="preserve">Artículo 43.- Efecto jurídico de un servicio de entrega electrónica certificada </w:t>
      </w:r>
    </w:p>
    <w:p w14:paraId="59558122" w14:textId="384B84D3" w:rsidR="00593730" w:rsidRPr="00592BB0" w:rsidRDefault="00593730" w:rsidP="00592BB0">
      <w:pPr>
        <w:pStyle w:val="Textonotapie"/>
        <w:tabs>
          <w:tab w:val="left" w:pos="567"/>
        </w:tabs>
        <w:spacing w:after="60"/>
        <w:ind w:left="567" w:hanging="283"/>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 xml:space="preserve">1. </w:t>
      </w:r>
      <w:r w:rsidR="00F3551B" w:rsidRPr="00592BB0">
        <w:rPr>
          <w:rFonts w:ascii="Times New Roman" w:hAnsi="Times New Roman" w:cs="Times New Roman"/>
          <w:sz w:val="18"/>
          <w:szCs w:val="18"/>
          <w:lang w:val="es-PE"/>
        </w:rPr>
        <w:tab/>
      </w:r>
      <w:r w:rsidRPr="00592BB0">
        <w:rPr>
          <w:rFonts w:ascii="Times New Roman" w:hAnsi="Times New Roman" w:cs="Times New Roman"/>
          <w:sz w:val="18"/>
          <w:szCs w:val="18"/>
          <w:lang w:val="es-PE"/>
        </w:rPr>
        <w:t xml:space="preserve">A los datos enviados y recibidos mediante un servicio de entrega electrónica certificada no se les denegarán efectos jurídicos ni admisibilidad como prueba en procedimientos judiciales por el mero hecho de que estén en formato electrónico o no cumplan los requisitos de servicio cualificado de entrega electrónica certificada. </w:t>
      </w:r>
    </w:p>
    <w:p w14:paraId="117E7F48" w14:textId="550EBF82" w:rsidR="00593730" w:rsidRPr="00592BB0" w:rsidRDefault="00593730" w:rsidP="00592BB0">
      <w:pPr>
        <w:pStyle w:val="Textonotapie"/>
        <w:tabs>
          <w:tab w:val="left" w:pos="567"/>
        </w:tabs>
        <w:spacing w:after="120"/>
        <w:ind w:left="567" w:hanging="283"/>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 xml:space="preserve">2. </w:t>
      </w:r>
      <w:r w:rsidR="00F3551B" w:rsidRPr="00592BB0">
        <w:rPr>
          <w:rFonts w:ascii="Times New Roman" w:hAnsi="Times New Roman" w:cs="Times New Roman"/>
          <w:sz w:val="18"/>
          <w:szCs w:val="18"/>
          <w:lang w:val="es-PE"/>
        </w:rPr>
        <w:tab/>
      </w:r>
      <w:r w:rsidRPr="00592BB0">
        <w:rPr>
          <w:rFonts w:ascii="Times New Roman" w:hAnsi="Times New Roman" w:cs="Times New Roman"/>
          <w:sz w:val="18"/>
          <w:szCs w:val="18"/>
          <w:lang w:val="es-PE"/>
        </w:rPr>
        <w:t>Los datos enviados y recibidos mediante un servicio cualificado de entrega electrónica certificada disfrutarán de la presunción de la integridad de los datos, el envío de dichos datos por el remitente identificado, la recepción por el destinatario identificado y la exactitud de la fecha y hora de envío y recepción de los datos que indica el servicio cualificado de entrega electrónica certificada.</w:t>
      </w:r>
    </w:p>
  </w:footnote>
  <w:footnote w:id="18">
    <w:p w14:paraId="40B7C5BF" w14:textId="6B3BB1D7" w:rsidR="00F3551B" w:rsidRPr="00592BB0" w:rsidRDefault="00F3551B"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bookmarkStart w:id="11" w:name="_Hlk212219572"/>
      <w:r w:rsidRPr="00592BB0">
        <w:rPr>
          <w:rFonts w:ascii="Times New Roman" w:hAnsi="Times New Roman" w:cs="Times New Roman"/>
          <w:sz w:val="18"/>
          <w:szCs w:val="18"/>
        </w:rPr>
        <w:tab/>
      </w:r>
      <w:r w:rsidRPr="00592BB0">
        <w:rPr>
          <w:rFonts w:ascii="Times New Roman" w:hAnsi="Times New Roman" w:cs="Times New Roman"/>
          <w:b/>
          <w:bCs/>
          <w:sz w:val="18"/>
          <w:szCs w:val="18"/>
          <w:lang w:val="es-PE"/>
        </w:rPr>
        <w:t>Reglamento de la Ley de firmas y certificados digitales</w:t>
      </w:r>
    </w:p>
    <w:p w14:paraId="0BD94CD4" w14:textId="798BAEA6" w:rsidR="00F3551B" w:rsidRPr="00592BB0" w:rsidRDefault="00F3551B"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t>Artículo 35.- De las modalidades del Prestador de Servicios de Valor Añadido con firma digital del usuario final</w:t>
      </w:r>
    </w:p>
    <w:p w14:paraId="2A651D42" w14:textId="7EB81D66" w:rsidR="00F3551B" w:rsidRPr="00592BB0" w:rsidRDefault="00F3551B"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Los Prestadores de Servicios de Valor Añadido que realizan procedimientos con firma digital del usuario final, pueden a su vez adoptar tres modalidades:</w:t>
      </w:r>
    </w:p>
    <w:p w14:paraId="04204851" w14:textId="6AB4B1CE" w:rsidR="00F3551B" w:rsidRPr="00592BB0" w:rsidRDefault="00F3551B"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25A8C376" w14:textId="37CF347C" w:rsidR="00F3551B" w:rsidRPr="00592BB0" w:rsidRDefault="00F3551B" w:rsidP="00592BB0">
      <w:pPr>
        <w:pStyle w:val="Textonotapie"/>
        <w:tabs>
          <w:tab w:val="left" w:pos="567"/>
        </w:tabs>
        <w:spacing w:after="120"/>
        <w:ind w:left="568" w:hanging="284"/>
        <w:jc w:val="both"/>
        <w:rPr>
          <w:rFonts w:ascii="Times New Roman" w:hAnsi="Times New Roman" w:cs="Times New Roman"/>
          <w:sz w:val="18"/>
          <w:szCs w:val="18"/>
          <w:lang w:val="es-MX"/>
        </w:rPr>
      </w:pPr>
      <w:r w:rsidRPr="00592BB0">
        <w:rPr>
          <w:rFonts w:ascii="Times New Roman" w:hAnsi="Times New Roman" w:cs="Times New Roman"/>
          <w:sz w:val="18"/>
          <w:szCs w:val="18"/>
          <w:lang w:val="es-PE"/>
        </w:rPr>
        <w:t xml:space="preserve">b) </w:t>
      </w:r>
      <w:r w:rsidRPr="00592BB0">
        <w:rPr>
          <w:rFonts w:ascii="Times New Roman" w:hAnsi="Times New Roman" w:cs="Times New Roman"/>
          <w:sz w:val="18"/>
          <w:szCs w:val="18"/>
          <w:lang w:val="es-PE"/>
        </w:rPr>
        <w:tab/>
        <w:t>Sistema de Intermediación Digital cuyo procedimiento no concluye en microforma o microarchivo.</w:t>
      </w:r>
      <w:bookmarkEnd w:id="11"/>
    </w:p>
  </w:footnote>
  <w:footnote w:id="19">
    <w:p w14:paraId="1DA2C1A6" w14:textId="6EFF8034" w:rsidR="00FD58AE" w:rsidRPr="00592BB0" w:rsidRDefault="00FD58AE" w:rsidP="00592BB0">
      <w:pPr>
        <w:pStyle w:val="Textonotapie"/>
        <w:tabs>
          <w:tab w:val="left" w:pos="284"/>
        </w:tabs>
        <w:spacing w:after="120"/>
        <w:ind w:left="284" w:hanging="284"/>
        <w:jc w:val="both"/>
        <w:rPr>
          <w:rFonts w:ascii="Times New Roman" w:hAnsi="Times New Roman" w:cs="Times New Roman"/>
          <w:sz w:val="18"/>
          <w:szCs w:val="18"/>
          <w:lang w:val="es-MX"/>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Pr="00592BB0">
        <w:rPr>
          <w:rFonts w:ascii="Times New Roman" w:hAnsi="Times New Roman" w:cs="Times New Roman"/>
          <w:sz w:val="18"/>
          <w:szCs w:val="18"/>
        </w:rPr>
        <w:tab/>
      </w:r>
      <w:hyperlink r:id="rId4" w:history="1">
        <w:r w:rsidRPr="00592BB0">
          <w:rPr>
            <w:rStyle w:val="Hipervnculo"/>
            <w:rFonts w:ascii="Times New Roman" w:hAnsi="Times New Roman" w:cs="Times New Roman"/>
            <w:sz w:val="18"/>
            <w:szCs w:val="18"/>
            <w:lang w:val="es-MX"/>
          </w:rPr>
          <w:t>https://www.gob.pe/59924-registro-oficial-de-prestadores-de-servicios-de-certificacion-oficial-rops</w:t>
        </w:r>
      </w:hyperlink>
    </w:p>
  </w:footnote>
  <w:footnote w:id="20">
    <w:p w14:paraId="7146E81E" w14:textId="43D3CEB4" w:rsidR="00A11E57" w:rsidRPr="00592BB0" w:rsidRDefault="00FB30BF"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00A11E57" w:rsidRPr="00592BB0">
        <w:rPr>
          <w:rFonts w:ascii="Times New Roman" w:hAnsi="Times New Roman" w:cs="Times New Roman"/>
          <w:sz w:val="18"/>
          <w:szCs w:val="18"/>
        </w:rPr>
        <w:tab/>
      </w:r>
      <w:r w:rsidR="00A11E57" w:rsidRPr="00592BB0">
        <w:rPr>
          <w:rFonts w:ascii="Times New Roman" w:hAnsi="Times New Roman" w:cs="Times New Roman"/>
          <w:b/>
          <w:bCs/>
          <w:sz w:val="18"/>
          <w:szCs w:val="18"/>
          <w:lang w:val="es-PE"/>
        </w:rPr>
        <w:t>Reglamento de la Ley de firmas y certificados digitales</w:t>
      </w:r>
      <w:r w:rsidR="00A11E57" w:rsidRPr="00592BB0">
        <w:rPr>
          <w:rFonts w:ascii="Times New Roman" w:hAnsi="Times New Roman" w:cs="Times New Roman"/>
          <w:b/>
          <w:bCs/>
          <w:sz w:val="18"/>
          <w:szCs w:val="18"/>
          <w:lang w:val="es-PE"/>
        </w:rPr>
        <w:tab/>
      </w:r>
    </w:p>
    <w:p w14:paraId="1F815017" w14:textId="1052F9FD" w:rsidR="00A11E57" w:rsidRPr="00592BB0" w:rsidRDefault="00A11E57" w:rsidP="00592BB0">
      <w:pPr>
        <w:pStyle w:val="Textonotapie"/>
        <w:tabs>
          <w:tab w:val="left" w:pos="284"/>
        </w:tabs>
        <w:spacing w:after="60"/>
        <w:ind w:left="284" w:hanging="284"/>
        <w:jc w:val="both"/>
        <w:rPr>
          <w:rFonts w:ascii="Times New Roman" w:hAnsi="Times New Roman" w:cs="Times New Roman"/>
          <w:b/>
          <w:bCs/>
          <w:sz w:val="18"/>
          <w:szCs w:val="18"/>
          <w:lang w:val="es-PE"/>
        </w:rPr>
      </w:pPr>
      <w:bookmarkStart w:id="12" w:name="_Hlk212222056"/>
      <w:r w:rsidRPr="00592BB0">
        <w:rPr>
          <w:rFonts w:ascii="Times New Roman" w:hAnsi="Times New Roman" w:cs="Times New Roman"/>
          <w:b/>
          <w:bCs/>
          <w:sz w:val="18"/>
          <w:szCs w:val="18"/>
          <w:lang w:val="es-PE"/>
        </w:rPr>
        <w:tab/>
        <w:t>Artículo 33.- De las funciones</w:t>
      </w:r>
    </w:p>
    <w:p w14:paraId="3EEA3336" w14:textId="36F6CEF0" w:rsidR="00A11E57" w:rsidRPr="00592BB0" w:rsidRDefault="00A11E57"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Los Prestadores de Servicios de Valor Añadido tienen las siguientes funciones:</w:t>
      </w:r>
    </w:p>
    <w:p w14:paraId="43DB415B" w14:textId="711FDBD5" w:rsidR="00A11E57" w:rsidRPr="00592BB0" w:rsidRDefault="00A11E57"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5DEF358E" w14:textId="6614B7C7" w:rsidR="00A11E57" w:rsidRPr="00592BB0" w:rsidRDefault="00A11E57" w:rsidP="00592BB0">
      <w:pPr>
        <w:pStyle w:val="Textonotapie"/>
        <w:tabs>
          <w:tab w:val="left" w:pos="567"/>
        </w:tabs>
        <w:spacing w:after="120"/>
        <w:ind w:left="568"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 xml:space="preserve">b) </w:t>
      </w:r>
      <w:r w:rsidRPr="00592BB0">
        <w:rPr>
          <w:rFonts w:ascii="Times New Roman" w:hAnsi="Times New Roman" w:cs="Times New Roman"/>
          <w:sz w:val="18"/>
          <w:szCs w:val="18"/>
          <w:lang w:val="es-PE"/>
        </w:rPr>
        <w:tab/>
        <w:t>Certificar los documentos electrónicos con fecha y hora cierta (Sellado de Tiempo) o en el almacenamiento de tales documentos, aplicando medios que garanticen la integridad y no repudio de los datos de origen y recepción (Sistema de Intermediación Digital).</w:t>
      </w:r>
      <w:bookmarkEnd w:id="12"/>
    </w:p>
  </w:footnote>
  <w:footnote w:id="21">
    <w:p w14:paraId="030655FF" w14:textId="27AC5A06" w:rsidR="00BD3016" w:rsidRPr="00592BB0" w:rsidRDefault="00857CD4"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00B34463" w:rsidRPr="00592BB0">
        <w:rPr>
          <w:rFonts w:ascii="Times New Roman" w:hAnsi="Times New Roman" w:cs="Times New Roman"/>
          <w:sz w:val="18"/>
          <w:szCs w:val="18"/>
        </w:rPr>
        <w:tab/>
      </w:r>
      <w:r w:rsidR="00BD3016" w:rsidRPr="00592BB0">
        <w:rPr>
          <w:rFonts w:ascii="Times New Roman" w:hAnsi="Times New Roman" w:cs="Times New Roman"/>
          <w:b/>
          <w:bCs/>
          <w:sz w:val="18"/>
          <w:szCs w:val="18"/>
          <w:lang w:val="es-PE"/>
        </w:rPr>
        <w:t>Reglamento de la Ley de firmas y certificados digitales</w:t>
      </w:r>
      <w:r w:rsidR="00BD3016" w:rsidRPr="00592BB0">
        <w:rPr>
          <w:rFonts w:ascii="Times New Roman" w:hAnsi="Times New Roman" w:cs="Times New Roman"/>
          <w:b/>
          <w:bCs/>
          <w:sz w:val="18"/>
          <w:szCs w:val="18"/>
          <w:lang w:val="es-PE"/>
        </w:rPr>
        <w:tab/>
      </w:r>
    </w:p>
    <w:p w14:paraId="437DE0C0" w14:textId="1BB5C752" w:rsidR="00BD3016" w:rsidRPr="00592BB0" w:rsidRDefault="00B34463"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r>
      <w:r w:rsidR="00BD3016" w:rsidRPr="00592BB0">
        <w:rPr>
          <w:rFonts w:ascii="Times New Roman" w:hAnsi="Times New Roman" w:cs="Times New Roman"/>
          <w:b/>
          <w:bCs/>
          <w:sz w:val="18"/>
          <w:szCs w:val="18"/>
          <w:lang w:val="es-PE"/>
        </w:rPr>
        <w:t>DISPOSICIONES COMPLEMENTARIAS FINALES</w:t>
      </w:r>
    </w:p>
    <w:p w14:paraId="035F865B" w14:textId="432CF08F" w:rsidR="00B34463" w:rsidRPr="00592BB0" w:rsidRDefault="00B34463"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r w:rsidRPr="00592BB0">
        <w:rPr>
          <w:rFonts w:ascii="Times New Roman" w:hAnsi="Times New Roman" w:cs="Times New Roman"/>
          <w:sz w:val="18"/>
          <w:szCs w:val="18"/>
          <w:lang w:val="es-PE"/>
        </w:rPr>
        <w:tab/>
      </w:r>
    </w:p>
    <w:p w14:paraId="0E335D01" w14:textId="2E156B6D" w:rsidR="00BD3016" w:rsidRPr="00592BB0" w:rsidRDefault="00B34463"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r>
      <w:r w:rsidR="00BD3016" w:rsidRPr="00592BB0">
        <w:rPr>
          <w:rFonts w:ascii="Times New Roman" w:hAnsi="Times New Roman" w:cs="Times New Roman"/>
          <w:b/>
          <w:bCs/>
          <w:sz w:val="18"/>
          <w:szCs w:val="18"/>
          <w:lang w:val="es-PE"/>
        </w:rPr>
        <w:t>Décima Cuarta.- Del glosario de términos</w:t>
      </w:r>
    </w:p>
    <w:p w14:paraId="0970B289" w14:textId="06C70766" w:rsidR="00BD3016" w:rsidRPr="00592BB0" w:rsidRDefault="00B34463" w:rsidP="00592BB0">
      <w:pPr>
        <w:pStyle w:val="Textonotapie"/>
        <w:tabs>
          <w:tab w:val="left" w:pos="284"/>
        </w:tabs>
        <w:spacing w:after="12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r>
      <w:r w:rsidR="00BD3016" w:rsidRPr="00592BB0">
        <w:rPr>
          <w:rFonts w:ascii="Times New Roman" w:hAnsi="Times New Roman" w:cs="Times New Roman"/>
          <w:b/>
          <w:bCs/>
          <w:sz w:val="18"/>
          <w:szCs w:val="18"/>
          <w:lang w:val="es-PE"/>
        </w:rPr>
        <w:t>Equivalencia funcional.- </w:t>
      </w:r>
      <w:r w:rsidR="00BD3016" w:rsidRPr="00592BB0">
        <w:rPr>
          <w:rFonts w:ascii="Times New Roman" w:hAnsi="Times New Roman" w:cs="Times New Roman"/>
          <w:sz w:val="18"/>
          <w:szCs w:val="18"/>
          <w:lang w:val="es-PE"/>
        </w:rPr>
        <w:t>Principio por el cual los actos jurídicos realizados por medios electrónicos que cumplan con las disposiciones legales vigentes poseen la misma validez y eficacia jurídica que los actos realizados por medios convencionales, pudiéndolos sustituir para todos los efectos legales. De conformidad con lo establecido en la Ley y su Reglamento, los documentos firmados digitalmente pueden ser presentados y admitidos como prueba en toda clase de procesos judiciales y procedimientos administrativos.</w:t>
      </w:r>
    </w:p>
  </w:footnote>
  <w:footnote w:id="22">
    <w:p w14:paraId="6D9181A5" w14:textId="5FD4DA7D" w:rsidR="00CB332F" w:rsidRPr="00592BB0" w:rsidRDefault="00CB332F" w:rsidP="00592BB0">
      <w:pPr>
        <w:pStyle w:val="Textonotapie"/>
        <w:tabs>
          <w:tab w:val="left" w:pos="284"/>
        </w:tabs>
        <w:spacing w:after="120"/>
        <w:ind w:left="284" w:hanging="284"/>
        <w:jc w:val="both"/>
        <w:rPr>
          <w:rFonts w:ascii="Times New Roman" w:hAnsi="Times New Roman" w:cs="Times New Roman"/>
          <w:sz w:val="18"/>
          <w:szCs w:val="18"/>
          <w:lang w:val="es-MX"/>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Pr="00592BB0">
        <w:rPr>
          <w:rFonts w:ascii="Times New Roman" w:hAnsi="Times New Roman" w:cs="Times New Roman"/>
          <w:sz w:val="18"/>
          <w:szCs w:val="18"/>
        </w:rPr>
        <w:tab/>
        <w:t xml:space="preserve">Vid. </w:t>
      </w:r>
      <w:hyperlink r:id="rId5" w:history="1">
        <w:r w:rsidRPr="00592BB0">
          <w:rPr>
            <w:rStyle w:val="Hipervnculo"/>
            <w:rFonts w:ascii="Times New Roman" w:hAnsi="Times New Roman" w:cs="Times New Roman"/>
            <w:sz w:val="18"/>
            <w:szCs w:val="18"/>
            <w:lang w:val="es-MX"/>
          </w:rPr>
          <w:t>https://www.msn.com/es-es/general/general/todas-las-alternativas-para-activar-el-acuse-de-recibo-en-gmail-gu%C3%ADa-completa/ar-AA1xbrP7</w:t>
        </w:r>
      </w:hyperlink>
      <w:r w:rsidRPr="00592BB0">
        <w:rPr>
          <w:rFonts w:ascii="Times New Roman" w:hAnsi="Times New Roman" w:cs="Times New Roman"/>
          <w:sz w:val="18"/>
          <w:szCs w:val="18"/>
          <w:lang w:val="es-MX"/>
        </w:rPr>
        <w:t xml:space="preserve"> </w:t>
      </w:r>
    </w:p>
  </w:footnote>
  <w:footnote w:id="23">
    <w:p w14:paraId="6657570F" w14:textId="77777777" w:rsidR="001004B6" w:rsidRPr="00592BB0" w:rsidRDefault="001004B6"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Código Civil</w:t>
      </w:r>
    </w:p>
    <w:p w14:paraId="3FB3D089" w14:textId="77777777" w:rsidR="001004B6" w:rsidRPr="00592BB0" w:rsidRDefault="001004B6"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Artículo 1374.- Conocimiento y contratación entre ausentes</w:t>
      </w:r>
    </w:p>
    <w:p w14:paraId="7053FBCC" w14:textId="77777777" w:rsidR="001004B6" w:rsidRPr="00592BB0" w:rsidRDefault="001004B6"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La oferta, su revocación, la aceptación y cualquier otra declaración contractual dirigida a determinada persona se consideran conocidas en el momento en que llegan a la dirección del destinatario, a no ser que este pruebe haberse encontrado, sin su culpa, en la imposibilidad de conocerla.</w:t>
      </w:r>
    </w:p>
    <w:p w14:paraId="60EFADC1" w14:textId="77777777" w:rsidR="001004B6" w:rsidRPr="00592BB0" w:rsidRDefault="001004B6"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Si se realiza a través de medios electrónicos, ópticos u otro análogo, se presumirá la recepción de la declaración contractual, cuando el remitente reciba el acuse de recibo.</w:t>
      </w:r>
    </w:p>
  </w:footnote>
  <w:footnote w:id="24">
    <w:p w14:paraId="1CE34560" w14:textId="77777777" w:rsidR="00857CD4" w:rsidRPr="00592BB0" w:rsidRDefault="00857CD4"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Para HORNA y CASTILLO la presunción a la cual se refiere el artículo 1374, modificado del Código Civil, es del tipo </w:t>
      </w:r>
      <w:r w:rsidRPr="00592BB0">
        <w:rPr>
          <w:rFonts w:ascii="Times New Roman" w:hAnsi="Times New Roman" w:cs="Times New Roman"/>
          <w:i/>
          <w:iCs/>
          <w:sz w:val="18"/>
          <w:szCs w:val="18"/>
          <w:lang w:val="es-PE"/>
        </w:rPr>
        <w:t>iuris tantum</w:t>
      </w:r>
      <w:r w:rsidRPr="00592BB0">
        <w:rPr>
          <w:rFonts w:ascii="Times New Roman" w:hAnsi="Times New Roman" w:cs="Times New Roman"/>
          <w:sz w:val="18"/>
          <w:szCs w:val="18"/>
          <w:lang w:val="es-PE"/>
        </w:rPr>
        <w:t xml:space="preserve">, en tal sentido, admite prueba en contrario. Véase, CASTILLO FREYRE, Mario y Pierre Martín HORNA. (2002) </w:t>
      </w:r>
      <w:r w:rsidRPr="00592BB0">
        <w:rPr>
          <w:rFonts w:ascii="Times New Roman" w:hAnsi="Times New Roman" w:cs="Times New Roman"/>
          <w:i/>
          <w:iCs/>
          <w:sz w:val="18"/>
          <w:szCs w:val="18"/>
          <w:lang w:val="es-PE"/>
        </w:rPr>
        <w:t>Tratado de la Teoría General de los Contratos, Tomo I, La plena vigencia del Código Civil en la contratación contemporánea</w:t>
      </w:r>
      <w:r w:rsidRPr="00592BB0">
        <w:rPr>
          <w:rFonts w:ascii="Times New Roman" w:hAnsi="Times New Roman" w:cs="Times New Roman"/>
          <w:sz w:val="18"/>
          <w:szCs w:val="18"/>
          <w:lang w:val="es-PE"/>
        </w:rPr>
        <w:t xml:space="preserve">. Lima, Fondo Editorial de la Pontificia Universidad Católica del Perú. Pág. 263-264.  </w:t>
      </w:r>
    </w:p>
  </w:footnote>
  <w:footnote w:id="25">
    <w:p w14:paraId="689D0FCB" w14:textId="504A7FB8" w:rsidR="007130CB" w:rsidRPr="00592BB0" w:rsidRDefault="007130CB" w:rsidP="00592BB0">
      <w:pPr>
        <w:pStyle w:val="Textonotapie"/>
        <w:tabs>
          <w:tab w:val="left" w:pos="284"/>
        </w:tabs>
        <w:spacing w:after="120"/>
        <w:ind w:left="284" w:hanging="284"/>
        <w:jc w:val="both"/>
        <w:rPr>
          <w:rFonts w:ascii="Times New Roman" w:hAnsi="Times New Roman" w:cs="Times New Roman"/>
          <w:sz w:val="18"/>
          <w:szCs w:val="18"/>
          <w:lang w:val="es-MX"/>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t xml:space="preserve">Como </w:t>
      </w:r>
      <w:r w:rsidR="004814D2" w:rsidRPr="00592BB0">
        <w:rPr>
          <w:rFonts w:ascii="Times New Roman" w:hAnsi="Times New Roman" w:cs="Times New Roman"/>
          <w:sz w:val="18"/>
          <w:szCs w:val="18"/>
          <w:lang w:val="es-PE"/>
        </w:rPr>
        <w:t xml:space="preserve">en toda comunicación existe un emisor y un receptor, existen dos </w:t>
      </w:r>
      <w:r w:rsidRPr="00592BB0">
        <w:rPr>
          <w:rFonts w:ascii="Times New Roman" w:hAnsi="Times New Roman" w:cs="Times New Roman"/>
          <w:sz w:val="18"/>
          <w:szCs w:val="18"/>
          <w:lang w:val="es-PE"/>
        </w:rPr>
        <w:t>tipos de no repudio</w:t>
      </w:r>
      <w:r w:rsidR="004814D2" w:rsidRPr="00592BB0">
        <w:rPr>
          <w:rFonts w:ascii="Times New Roman" w:hAnsi="Times New Roman" w:cs="Times New Roman"/>
          <w:sz w:val="18"/>
          <w:szCs w:val="18"/>
          <w:lang w:val="es-PE"/>
        </w:rPr>
        <w:t xml:space="preserve">: </w:t>
      </w:r>
      <w:r w:rsidR="004814D2" w:rsidRPr="00592BB0">
        <w:rPr>
          <w:rFonts w:ascii="Times New Roman" w:hAnsi="Times New Roman" w:cs="Times New Roman"/>
          <w:b/>
          <w:bCs/>
          <w:i/>
          <w:iCs/>
          <w:sz w:val="18"/>
          <w:szCs w:val="18"/>
          <w:lang w:val="es-PE"/>
        </w:rPr>
        <w:t>(i)</w:t>
      </w:r>
      <w:r w:rsidR="004814D2" w:rsidRPr="00592BB0">
        <w:rPr>
          <w:rFonts w:ascii="Times New Roman" w:hAnsi="Times New Roman" w:cs="Times New Roman"/>
          <w:sz w:val="18"/>
          <w:szCs w:val="18"/>
          <w:lang w:val="es-PE"/>
        </w:rPr>
        <w:t xml:space="preserve"> e</w:t>
      </w:r>
      <w:r w:rsidRPr="00592BB0">
        <w:rPr>
          <w:rFonts w:ascii="Times New Roman" w:hAnsi="Times New Roman" w:cs="Times New Roman"/>
          <w:sz w:val="18"/>
          <w:szCs w:val="18"/>
          <w:lang w:val="es-PE"/>
        </w:rPr>
        <w:t>n origen</w:t>
      </w:r>
      <w:r w:rsidR="004814D2" w:rsidRPr="00592BB0">
        <w:rPr>
          <w:rFonts w:ascii="Times New Roman" w:hAnsi="Times New Roman" w:cs="Times New Roman"/>
          <w:sz w:val="18"/>
          <w:szCs w:val="18"/>
          <w:lang w:val="es-PE"/>
        </w:rPr>
        <w:t xml:space="preserve">, cuando se </w:t>
      </w:r>
      <w:r w:rsidRPr="00592BB0">
        <w:rPr>
          <w:rFonts w:ascii="Times New Roman" w:hAnsi="Times New Roman" w:cs="Times New Roman"/>
          <w:sz w:val="18"/>
          <w:szCs w:val="18"/>
          <w:lang w:val="es-PE"/>
        </w:rPr>
        <w:t xml:space="preserve">garantiza que </w:t>
      </w:r>
      <w:r w:rsidR="004814D2" w:rsidRPr="00592BB0">
        <w:rPr>
          <w:rFonts w:ascii="Times New Roman" w:hAnsi="Times New Roman" w:cs="Times New Roman"/>
          <w:sz w:val="18"/>
          <w:szCs w:val="18"/>
          <w:lang w:val="es-PE"/>
        </w:rPr>
        <w:t xml:space="preserve">quien </w:t>
      </w:r>
      <w:r w:rsidRPr="00592BB0">
        <w:rPr>
          <w:rFonts w:ascii="Times New Roman" w:hAnsi="Times New Roman" w:cs="Times New Roman"/>
          <w:sz w:val="18"/>
          <w:szCs w:val="18"/>
          <w:lang w:val="es-PE"/>
        </w:rPr>
        <w:t xml:space="preserve">envió </w:t>
      </w:r>
      <w:r w:rsidR="004814D2" w:rsidRPr="00592BB0">
        <w:rPr>
          <w:rFonts w:ascii="Times New Roman" w:hAnsi="Times New Roman" w:cs="Times New Roman"/>
          <w:sz w:val="18"/>
          <w:szCs w:val="18"/>
          <w:lang w:val="es-PE"/>
        </w:rPr>
        <w:t xml:space="preserve">el </w:t>
      </w:r>
      <w:r w:rsidRPr="00592BB0">
        <w:rPr>
          <w:rFonts w:ascii="Times New Roman" w:hAnsi="Times New Roman" w:cs="Times New Roman"/>
          <w:sz w:val="18"/>
          <w:szCs w:val="18"/>
          <w:lang w:val="es-PE"/>
        </w:rPr>
        <w:t>mensaje</w:t>
      </w:r>
      <w:r w:rsidR="004814D2"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no pued</w:t>
      </w:r>
      <w:r w:rsidR="004814D2" w:rsidRPr="00592BB0">
        <w:rPr>
          <w:rFonts w:ascii="Times New Roman" w:hAnsi="Times New Roman" w:cs="Times New Roman"/>
          <w:sz w:val="18"/>
          <w:szCs w:val="18"/>
          <w:lang w:val="es-PE"/>
        </w:rPr>
        <w:t>a</w:t>
      </w:r>
      <w:r w:rsidRPr="00592BB0">
        <w:rPr>
          <w:rFonts w:ascii="Times New Roman" w:hAnsi="Times New Roman" w:cs="Times New Roman"/>
          <w:sz w:val="18"/>
          <w:szCs w:val="18"/>
          <w:lang w:val="es-PE"/>
        </w:rPr>
        <w:t xml:space="preserve"> negar que lo mandó</w:t>
      </w:r>
      <w:r w:rsidR="004814D2" w:rsidRPr="00592BB0">
        <w:rPr>
          <w:rFonts w:ascii="Times New Roman" w:hAnsi="Times New Roman" w:cs="Times New Roman"/>
          <w:sz w:val="18"/>
          <w:szCs w:val="18"/>
          <w:lang w:val="es-PE"/>
        </w:rPr>
        <w:t xml:space="preserve">, y, </w:t>
      </w:r>
      <w:r w:rsidR="004814D2" w:rsidRPr="00592BB0">
        <w:rPr>
          <w:rFonts w:ascii="Times New Roman" w:hAnsi="Times New Roman" w:cs="Times New Roman"/>
          <w:b/>
          <w:bCs/>
          <w:i/>
          <w:iCs/>
          <w:sz w:val="18"/>
          <w:szCs w:val="18"/>
          <w:lang w:val="es-PE"/>
        </w:rPr>
        <w:t xml:space="preserve">(ii) </w:t>
      </w:r>
      <w:r w:rsidR="004814D2" w:rsidRPr="00592BB0">
        <w:rPr>
          <w:rFonts w:ascii="Times New Roman" w:hAnsi="Times New Roman" w:cs="Times New Roman"/>
          <w:sz w:val="18"/>
          <w:szCs w:val="18"/>
          <w:lang w:val="es-PE"/>
        </w:rPr>
        <w:t>e</w:t>
      </w:r>
      <w:r w:rsidRPr="00592BB0">
        <w:rPr>
          <w:rFonts w:ascii="Times New Roman" w:hAnsi="Times New Roman" w:cs="Times New Roman"/>
          <w:sz w:val="18"/>
          <w:szCs w:val="18"/>
          <w:lang w:val="es-PE"/>
        </w:rPr>
        <w:t>n destino</w:t>
      </w:r>
      <w:r w:rsidR="004814D2" w:rsidRPr="00592BB0">
        <w:rPr>
          <w:rFonts w:ascii="Times New Roman" w:hAnsi="Times New Roman" w:cs="Times New Roman"/>
          <w:sz w:val="18"/>
          <w:szCs w:val="18"/>
          <w:lang w:val="es-PE"/>
        </w:rPr>
        <w:t xml:space="preserve">, respecto </w:t>
      </w:r>
      <w:r w:rsidR="00EE35E8" w:rsidRPr="00592BB0">
        <w:rPr>
          <w:rFonts w:ascii="Times New Roman" w:hAnsi="Times New Roman" w:cs="Times New Roman"/>
          <w:sz w:val="18"/>
          <w:szCs w:val="18"/>
          <w:lang w:val="es-PE"/>
        </w:rPr>
        <w:t>que</w:t>
      </w:r>
      <w:r w:rsidR="004814D2" w:rsidRPr="00592BB0">
        <w:rPr>
          <w:rFonts w:ascii="Times New Roman" w:hAnsi="Times New Roman" w:cs="Times New Roman"/>
          <w:sz w:val="18"/>
          <w:szCs w:val="18"/>
          <w:lang w:val="es-PE"/>
        </w:rPr>
        <w:t xml:space="preserve"> quien r</w:t>
      </w:r>
      <w:r w:rsidRPr="00592BB0">
        <w:rPr>
          <w:rFonts w:ascii="Times New Roman" w:hAnsi="Times New Roman" w:cs="Times New Roman"/>
          <w:sz w:val="18"/>
          <w:szCs w:val="18"/>
          <w:lang w:val="es-PE"/>
        </w:rPr>
        <w:t xml:space="preserve">ecibió </w:t>
      </w:r>
      <w:r w:rsidR="004814D2" w:rsidRPr="00592BB0">
        <w:rPr>
          <w:rFonts w:ascii="Times New Roman" w:hAnsi="Times New Roman" w:cs="Times New Roman"/>
          <w:sz w:val="18"/>
          <w:szCs w:val="18"/>
          <w:lang w:val="es-PE"/>
        </w:rPr>
        <w:t xml:space="preserve">el </w:t>
      </w:r>
      <w:r w:rsidRPr="00592BB0">
        <w:rPr>
          <w:rFonts w:ascii="Times New Roman" w:hAnsi="Times New Roman" w:cs="Times New Roman"/>
          <w:sz w:val="18"/>
          <w:szCs w:val="18"/>
          <w:lang w:val="es-PE"/>
        </w:rPr>
        <w:t>mensaje</w:t>
      </w:r>
      <w:r w:rsidR="004814D2" w:rsidRPr="00592BB0">
        <w:rPr>
          <w:rFonts w:ascii="Times New Roman" w:hAnsi="Times New Roman" w:cs="Times New Roman"/>
          <w:sz w:val="18"/>
          <w:szCs w:val="18"/>
          <w:lang w:val="es-PE"/>
        </w:rPr>
        <w:t xml:space="preserve"> no </w:t>
      </w:r>
      <w:r w:rsidR="00EE35E8" w:rsidRPr="00592BB0">
        <w:rPr>
          <w:rFonts w:ascii="Times New Roman" w:hAnsi="Times New Roman" w:cs="Times New Roman"/>
          <w:sz w:val="18"/>
          <w:szCs w:val="18"/>
          <w:lang w:val="es-PE"/>
        </w:rPr>
        <w:t xml:space="preserve">pueda </w:t>
      </w:r>
      <w:r w:rsidRPr="00592BB0">
        <w:rPr>
          <w:rFonts w:ascii="Times New Roman" w:hAnsi="Times New Roman" w:cs="Times New Roman"/>
          <w:sz w:val="18"/>
          <w:szCs w:val="18"/>
          <w:lang w:val="es-PE"/>
        </w:rPr>
        <w:t>rebat</w:t>
      </w:r>
      <w:r w:rsidR="00EE35E8" w:rsidRPr="00592BB0">
        <w:rPr>
          <w:rFonts w:ascii="Times New Roman" w:hAnsi="Times New Roman" w:cs="Times New Roman"/>
          <w:sz w:val="18"/>
          <w:szCs w:val="18"/>
          <w:lang w:val="es-PE"/>
        </w:rPr>
        <w:t>ir</w:t>
      </w:r>
      <w:r w:rsidRPr="00592BB0">
        <w:rPr>
          <w:rFonts w:ascii="Times New Roman" w:hAnsi="Times New Roman" w:cs="Times New Roman"/>
          <w:sz w:val="18"/>
          <w:szCs w:val="18"/>
          <w:lang w:val="es-PE"/>
        </w:rPr>
        <w:t xml:space="preserve"> </w:t>
      </w:r>
      <w:r w:rsidR="004814D2" w:rsidRPr="00592BB0">
        <w:rPr>
          <w:rFonts w:ascii="Times New Roman" w:hAnsi="Times New Roman" w:cs="Times New Roman"/>
          <w:sz w:val="18"/>
          <w:szCs w:val="18"/>
          <w:lang w:val="es-PE"/>
        </w:rPr>
        <w:t xml:space="preserve">su recepción. </w:t>
      </w:r>
    </w:p>
  </w:footnote>
  <w:footnote w:id="26">
    <w:p w14:paraId="6786ED9A" w14:textId="34224E12" w:rsidR="00EE35E8" w:rsidRPr="00592BB0" w:rsidRDefault="00EE35E8" w:rsidP="00592BB0">
      <w:pPr>
        <w:pStyle w:val="Textonotapie"/>
        <w:tabs>
          <w:tab w:val="left" w:pos="284"/>
        </w:tabs>
        <w:spacing w:after="60"/>
        <w:ind w:left="284" w:hanging="284"/>
        <w:jc w:val="both"/>
        <w:rPr>
          <w:rFonts w:ascii="Times New Roman" w:hAnsi="Times New Roman" w:cs="Times New Roman"/>
          <w:b/>
          <w:bCs/>
          <w:color w:val="151515"/>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color w:val="151515"/>
          <w:sz w:val="18"/>
          <w:szCs w:val="18"/>
          <w:lang w:val="es-PE"/>
        </w:rPr>
        <w:t>Reglamento de gestión de conducta del mercado del sistema de seguros</w:t>
      </w:r>
    </w:p>
    <w:p w14:paraId="32C89401" w14:textId="77BDB7A8" w:rsidR="00EE35E8" w:rsidRPr="00592BB0" w:rsidRDefault="00EE35E8" w:rsidP="00592BB0">
      <w:pPr>
        <w:pStyle w:val="Textonotapie"/>
        <w:tabs>
          <w:tab w:val="left" w:pos="284"/>
        </w:tabs>
        <w:spacing w:after="60"/>
        <w:ind w:left="284" w:hanging="284"/>
        <w:jc w:val="both"/>
        <w:rPr>
          <w:rFonts w:ascii="Times New Roman" w:hAnsi="Times New Roman" w:cs="Times New Roman"/>
          <w:color w:val="151515"/>
          <w:sz w:val="18"/>
          <w:szCs w:val="18"/>
          <w:lang w:val="es-PE"/>
        </w:rPr>
      </w:pPr>
      <w:r w:rsidRPr="00592BB0">
        <w:rPr>
          <w:rFonts w:ascii="Times New Roman" w:hAnsi="Times New Roman" w:cs="Times New Roman"/>
          <w:sz w:val="18"/>
          <w:szCs w:val="18"/>
          <w:lang w:val="es-PE"/>
        </w:rPr>
        <w:tab/>
      </w:r>
      <w:r w:rsidRPr="00592BB0">
        <w:rPr>
          <w:rFonts w:ascii="Times New Roman" w:hAnsi="Times New Roman" w:cs="Times New Roman"/>
          <w:b/>
          <w:bCs/>
          <w:color w:val="151515"/>
          <w:sz w:val="18"/>
          <w:szCs w:val="18"/>
          <w:lang w:val="es-PE"/>
        </w:rPr>
        <w:t>Artículo 24.- Contratación de productos de seguros</w:t>
      </w:r>
    </w:p>
    <w:p w14:paraId="19EA9E03" w14:textId="64255753" w:rsidR="00EE35E8" w:rsidRPr="00592BB0" w:rsidRDefault="00EE35E8"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51552A91" w14:textId="02739602" w:rsidR="00EE35E8" w:rsidRPr="00592BB0" w:rsidRDefault="00EE35E8" w:rsidP="00592BB0">
      <w:pPr>
        <w:pStyle w:val="Textonotapie"/>
        <w:tabs>
          <w:tab w:val="left" w:pos="709"/>
        </w:tabs>
        <w:spacing w:after="60"/>
        <w:ind w:left="709" w:hanging="425"/>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24.4</w:t>
      </w:r>
      <w:r w:rsidRPr="00592BB0">
        <w:rPr>
          <w:rFonts w:ascii="Times New Roman" w:hAnsi="Times New Roman" w:cs="Times New Roman"/>
          <w:sz w:val="18"/>
          <w:szCs w:val="18"/>
          <w:lang w:val="es-PE"/>
        </w:rPr>
        <w:tab/>
        <w:t>De no mediar rechazo a la solicitud de seguro, dentro del plazo de quince (15) días contados desde la formulación de la solicitud, la empresa remite y/o pone a disposición los siguientes documentos:</w:t>
      </w:r>
    </w:p>
    <w:p w14:paraId="71C41819" w14:textId="25F8C895" w:rsidR="00DD678C" w:rsidRPr="00592BB0" w:rsidRDefault="00DD678C" w:rsidP="00592BB0">
      <w:pPr>
        <w:pStyle w:val="Textonotapie"/>
        <w:tabs>
          <w:tab w:val="left" w:pos="1134"/>
        </w:tabs>
        <w:spacing w:after="60"/>
        <w:ind w:left="1135"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 xml:space="preserve">1. </w:t>
      </w:r>
      <w:r w:rsidRPr="00592BB0">
        <w:rPr>
          <w:rFonts w:ascii="Times New Roman" w:hAnsi="Times New Roman" w:cs="Times New Roman"/>
          <w:sz w:val="18"/>
          <w:szCs w:val="18"/>
          <w:lang w:val="es-PE"/>
        </w:rPr>
        <w:tab/>
        <w:t>En los seguros individuales, el resumen de la cobertura y la póliza de seguro al contratante. Si el contratante es una persona distinta al asegurado, el asegurado puede solicitar un duplicado de la póliza a la empresa o comercializador, si corresponde, el cual tiene un plazo de quince (15) días para entregar el duplicado.</w:t>
      </w:r>
    </w:p>
    <w:p w14:paraId="0AD910B9" w14:textId="32630998" w:rsidR="00EE35E8" w:rsidRPr="00592BB0" w:rsidRDefault="00EE35E8" w:rsidP="00592BB0">
      <w:pPr>
        <w:pStyle w:val="Textonotapie"/>
        <w:tabs>
          <w:tab w:val="left" w:pos="1134"/>
        </w:tabs>
        <w:spacing w:after="60"/>
        <w:ind w:left="1134" w:hanging="283"/>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w:t>
      </w:r>
    </w:p>
    <w:p w14:paraId="5D3AC5F1" w14:textId="60148A2F" w:rsidR="00EE35E8" w:rsidRPr="00592BB0" w:rsidRDefault="00EE35E8" w:rsidP="00592BB0">
      <w:pPr>
        <w:pStyle w:val="Textonotapie"/>
        <w:tabs>
          <w:tab w:val="left" w:pos="993"/>
        </w:tabs>
        <w:spacing w:after="120"/>
        <w:ind w:left="993"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 xml:space="preserve">3. </w:t>
      </w:r>
      <w:r w:rsidRPr="00592BB0">
        <w:rPr>
          <w:rFonts w:ascii="Times New Roman" w:hAnsi="Times New Roman" w:cs="Times New Roman"/>
          <w:sz w:val="18"/>
          <w:szCs w:val="18"/>
          <w:lang w:val="es-PE"/>
        </w:rPr>
        <w:tab/>
        <w:t>La póliza de seguro del contratante al corredor de seguros, en caso se haya efectuado su nombramiento.</w:t>
      </w:r>
    </w:p>
  </w:footnote>
  <w:footnote w:id="27">
    <w:p w14:paraId="1FDA069E" w14:textId="034E50FE" w:rsidR="00EE35E8" w:rsidRPr="00592BB0" w:rsidRDefault="00EE35E8"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Reglamento de gestión de conducta del mercado del sistema de seguros</w:t>
      </w:r>
    </w:p>
    <w:p w14:paraId="1FB732E9" w14:textId="2F6CB08C" w:rsidR="00EE35E8" w:rsidRPr="00592BB0" w:rsidRDefault="00EE35E8"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t>Artículo 36.- Comunicaciones remitidas a los contratantes y/o asegurados</w:t>
      </w:r>
    </w:p>
    <w:p w14:paraId="2D25D709" w14:textId="32818F8C" w:rsidR="00EE35E8" w:rsidRPr="00592BB0" w:rsidRDefault="00EE35E8"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Todas las comunicaciones, referidas a la póliza intermediada, que corresponda cursar al contratante y/o asegurado deben remitirse en copia al corredor de seguros que haya sido designado a través de la carta de nombramiento, en el correo electrónico que haya sido indicado para tal efecto.</w:t>
      </w:r>
    </w:p>
  </w:footnote>
  <w:footnote w:id="28">
    <w:p w14:paraId="4633104F" w14:textId="793B5414" w:rsidR="00B45D71" w:rsidRPr="00592BB0" w:rsidRDefault="00B45D71"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Pr="00592BB0">
        <w:rPr>
          <w:rFonts w:ascii="Times New Roman" w:hAnsi="Times New Roman" w:cs="Times New Roman"/>
          <w:sz w:val="18"/>
          <w:szCs w:val="18"/>
        </w:rPr>
        <w:tab/>
      </w:r>
      <w:r w:rsidRPr="00592BB0">
        <w:rPr>
          <w:rFonts w:ascii="Times New Roman" w:hAnsi="Times New Roman" w:cs="Times New Roman"/>
          <w:b/>
          <w:bCs/>
          <w:sz w:val="18"/>
          <w:szCs w:val="18"/>
          <w:lang w:val="es-PE"/>
        </w:rPr>
        <w:t>Ley del contrato de seguro</w:t>
      </w:r>
    </w:p>
    <w:p w14:paraId="2DA11682" w14:textId="782AC6B8" w:rsidR="00B45D71" w:rsidRPr="00592BB0" w:rsidRDefault="00B45D71" w:rsidP="00592BB0">
      <w:pPr>
        <w:pStyle w:val="Textonotapie"/>
        <w:tabs>
          <w:tab w:val="left" w:pos="284"/>
        </w:tabs>
        <w:spacing w:after="60"/>
        <w:ind w:left="284" w:hanging="284"/>
        <w:jc w:val="both"/>
        <w:rPr>
          <w:rFonts w:ascii="Times New Roman" w:hAnsi="Times New Roman" w:cs="Times New Roman"/>
          <w:b/>
          <w:bCs/>
          <w:sz w:val="18"/>
          <w:szCs w:val="18"/>
          <w:lang w:val="es-PE"/>
        </w:rPr>
      </w:pPr>
      <w:r w:rsidRPr="00592BB0">
        <w:rPr>
          <w:rFonts w:ascii="Times New Roman" w:hAnsi="Times New Roman" w:cs="Times New Roman"/>
          <w:b/>
          <w:bCs/>
          <w:sz w:val="18"/>
          <w:szCs w:val="18"/>
          <w:lang w:val="es-PE"/>
        </w:rPr>
        <w:tab/>
        <w:t>Artículo 37.- Corredor. Representación y comercialización</w:t>
      </w:r>
    </w:p>
    <w:p w14:paraId="17E939BE" w14:textId="268F790A" w:rsidR="00B45D71" w:rsidRPr="00592BB0" w:rsidRDefault="00B45D71"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La carta de nombramiento que el asegurado o contratante extiende a un corredor de seguro, faculta a este para realizar actos administrativos de representación, mas no de disposición.</w:t>
      </w:r>
    </w:p>
    <w:p w14:paraId="0F0428E2" w14:textId="1C16823F" w:rsidR="00B45D71" w:rsidRPr="00592BB0" w:rsidRDefault="00B45D71"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Cuando el asegurador designa un representante con facultades para actuar en su nombre se aplican las reglas del mandato.</w:t>
      </w:r>
    </w:p>
  </w:footnote>
  <w:footnote w:id="29">
    <w:p w14:paraId="3AF7C3FA" w14:textId="67EF4FA5" w:rsidR="00B67545" w:rsidRPr="00592BB0" w:rsidRDefault="00B67545" w:rsidP="00592BB0">
      <w:pPr>
        <w:pStyle w:val="Textonotapie"/>
        <w:tabs>
          <w:tab w:val="left" w:pos="284"/>
        </w:tabs>
        <w:spacing w:after="60"/>
        <w:ind w:left="284" w:hanging="284"/>
        <w:jc w:val="both"/>
        <w:rPr>
          <w:rFonts w:ascii="Times New Roman" w:hAnsi="Times New Roman" w:cs="Times New Roman"/>
          <w:b/>
          <w:bCs/>
          <w:sz w:val="18"/>
          <w:szCs w:val="18"/>
          <w:lang w:val="es-MX"/>
        </w:rPr>
      </w:pPr>
      <w:r w:rsidRPr="00592BB0">
        <w:rPr>
          <w:rStyle w:val="Refdenotaalpie"/>
          <w:rFonts w:ascii="Times New Roman" w:hAnsi="Times New Roman" w:cs="Times New Roman"/>
          <w:sz w:val="18"/>
          <w:szCs w:val="18"/>
        </w:rPr>
        <w:footnoteRef/>
      </w:r>
      <w:r w:rsidRPr="00592BB0">
        <w:rPr>
          <w:rFonts w:ascii="Times New Roman" w:hAnsi="Times New Roman" w:cs="Times New Roman"/>
          <w:sz w:val="18"/>
          <w:szCs w:val="18"/>
        </w:rPr>
        <w:t xml:space="preserve"> </w:t>
      </w:r>
      <w:r w:rsidRPr="00592BB0">
        <w:rPr>
          <w:rFonts w:ascii="Times New Roman" w:hAnsi="Times New Roman" w:cs="Times New Roman"/>
          <w:sz w:val="18"/>
          <w:szCs w:val="18"/>
        </w:rPr>
        <w:tab/>
      </w:r>
      <w:r w:rsidRPr="00592BB0">
        <w:rPr>
          <w:rFonts w:ascii="Times New Roman" w:hAnsi="Times New Roman" w:cs="Times New Roman"/>
          <w:b/>
          <w:bCs/>
          <w:sz w:val="18"/>
          <w:szCs w:val="18"/>
        </w:rPr>
        <w:t>Código Civil</w:t>
      </w:r>
    </w:p>
    <w:p w14:paraId="51CAC25E" w14:textId="62CF5D55" w:rsidR="00B67545" w:rsidRPr="00592BB0" w:rsidRDefault="00B67545" w:rsidP="00592BB0">
      <w:pPr>
        <w:pStyle w:val="Textonotapie"/>
        <w:tabs>
          <w:tab w:val="left" w:pos="284"/>
        </w:tabs>
        <w:spacing w:after="60"/>
        <w:ind w:left="284" w:hanging="284"/>
        <w:jc w:val="both"/>
        <w:rPr>
          <w:rFonts w:ascii="Times New Roman" w:hAnsi="Times New Roman" w:cs="Times New Roman"/>
          <w:sz w:val="18"/>
          <w:szCs w:val="18"/>
          <w:lang w:val="es-PE"/>
        </w:rPr>
      </w:pPr>
      <w:r w:rsidRPr="00592BB0">
        <w:rPr>
          <w:rFonts w:ascii="Times New Roman" w:hAnsi="Times New Roman" w:cs="Times New Roman"/>
          <w:b/>
          <w:bCs/>
          <w:sz w:val="18"/>
          <w:szCs w:val="18"/>
          <w:lang w:val="es-PE"/>
        </w:rPr>
        <w:tab/>
        <w:t>Origen de la representación</w:t>
      </w:r>
    </w:p>
    <w:p w14:paraId="6A8F7D3E" w14:textId="483C7167" w:rsidR="00B67545" w:rsidRPr="00592BB0" w:rsidRDefault="00B67545" w:rsidP="00592BB0">
      <w:pPr>
        <w:pStyle w:val="Textonotapie"/>
        <w:tabs>
          <w:tab w:val="left" w:pos="284"/>
        </w:tabs>
        <w:spacing w:after="60"/>
        <w:ind w:left="284" w:hanging="284"/>
        <w:jc w:val="both"/>
        <w:rPr>
          <w:rFonts w:ascii="Times New Roman" w:hAnsi="Times New Roman" w:cs="Times New Roman"/>
          <w:sz w:val="18"/>
          <w:szCs w:val="18"/>
          <w:lang w:val="es-PE"/>
        </w:rPr>
      </w:pPr>
      <w:bookmarkStart w:id="14" w:name="JD_m37914"/>
      <w:bookmarkEnd w:id="14"/>
      <w:r w:rsidRPr="00592BB0">
        <w:rPr>
          <w:rFonts w:ascii="Times New Roman" w:hAnsi="Times New Roman" w:cs="Times New Roman"/>
          <w:sz w:val="18"/>
          <w:szCs w:val="18"/>
          <w:lang w:val="es-PE"/>
        </w:rPr>
        <w:tab/>
      </w:r>
      <w:r w:rsidRPr="00592BB0">
        <w:rPr>
          <w:rFonts w:ascii="Times New Roman" w:hAnsi="Times New Roman" w:cs="Times New Roman"/>
          <w:b/>
          <w:bCs/>
          <w:sz w:val="18"/>
          <w:szCs w:val="18"/>
          <w:lang w:val="es-PE"/>
        </w:rPr>
        <w:t>Artículo 145.-</w:t>
      </w:r>
      <w:r w:rsidRPr="00592BB0">
        <w:rPr>
          <w:rFonts w:ascii="Times New Roman" w:hAnsi="Times New Roman" w:cs="Times New Roman"/>
          <w:sz w:val="18"/>
          <w:szCs w:val="18"/>
          <w:lang w:val="es-PE"/>
        </w:rPr>
        <w:t> El acto jurídico puede ser realizado mediante representante, salvo disposición contraria de la ley.</w:t>
      </w:r>
    </w:p>
    <w:p w14:paraId="3F1989DD" w14:textId="51D748FE" w:rsidR="00B67545" w:rsidRPr="00592BB0" w:rsidRDefault="00B67545" w:rsidP="00592BB0">
      <w:pPr>
        <w:pStyle w:val="Textonotapie"/>
        <w:tabs>
          <w:tab w:val="left" w:pos="284"/>
        </w:tabs>
        <w:spacing w:after="120"/>
        <w:ind w:left="284" w:hanging="284"/>
        <w:jc w:val="both"/>
        <w:rPr>
          <w:rFonts w:ascii="Times New Roman" w:hAnsi="Times New Roman" w:cs="Times New Roman"/>
          <w:sz w:val="18"/>
          <w:szCs w:val="18"/>
          <w:lang w:val="es-PE"/>
        </w:rPr>
      </w:pPr>
      <w:r w:rsidRPr="00592BB0">
        <w:rPr>
          <w:rFonts w:ascii="Times New Roman" w:hAnsi="Times New Roman" w:cs="Times New Roman"/>
          <w:sz w:val="18"/>
          <w:szCs w:val="18"/>
          <w:lang w:val="es-PE"/>
        </w:rPr>
        <w:tab/>
        <w:t>La facultad de representación la otorga el interesado o la confiere la ley.</w:t>
      </w:r>
    </w:p>
  </w:footnote>
  <w:footnote w:id="30">
    <w:p w14:paraId="19918465" w14:textId="6B5507A4" w:rsidR="006D2E8D" w:rsidRPr="008F3119" w:rsidRDefault="00690AA0" w:rsidP="00592BB0">
      <w:pPr>
        <w:pStyle w:val="Textonotapie"/>
        <w:tabs>
          <w:tab w:val="left" w:pos="284"/>
        </w:tabs>
        <w:spacing w:after="120"/>
        <w:ind w:left="284" w:hanging="284"/>
        <w:jc w:val="both"/>
        <w:rPr>
          <w:rFonts w:ascii="Georgia" w:hAnsi="Georgia" w:cs="Arial"/>
          <w:lang w:val="es-PE"/>
        </w:rPr>
      </w:pPr>
      <w:r w:rsidRPr="00592BB0">
        <w:rPr>
          <w:rStyle w:val="Refdenotaalpie"/>
          <w:rFonts w:ascii="Times New Roman" w:hAnsi="Times New Roman" w:cs="Times New Roman"/>
          <w:sz w:val="18"/>
          <w:szCs w:val="18"/>
          <w:lang w:val="es-PE"/>
        </w:rPr>
        <w:footnoteRef/>
      </w:r>
      <w:r w:rsidRPr="00592BB0">
        <w:rPr>
          <w:rFonts w:ascii="Times New Roman" w:hAnsi="Times New Roman" w:cs="Times New Roman"/>
          <w:sz w:val="18"/>
          <w:szCs w:val="18"/>
          <w:lang w:val="es-PE"/>
        </w:rPr>
        <w:t xml:space="preserve"> </w:t>
      </w:r>
      <w:r w:rsidR="00AA13BC" w:rsidRPr="00592BB0">
        <w:rPr>
          <w:rFonts w:ascii="Times New Roman" w:hAnsi="Times New Roman" w:cs="Times New Roman"/>
          <w:sz w:val="18"/>
          <w:szCs w:val="18"/>
          <w:lang w:val="es-PE"/>
        </w:rPr>
        <w:tab/>
        <w:t xml:space="preserve">Si bien la Póliza señala como </w:t>
      </w:r>
      <w:r w:rsidR="00F1064D" w:rsidRPr="00592BB0">
        <w:rPr>
          <w:rFonts w:ascii="Times New Roman" w:hAnsi="Times New Roman" w:cs="Times New Roman"/>
          <w:sz w:val="18"/>
          <w:szCs w:val="18"/>
          <w:lang w:val="es-PE"/>
        </w:rPr>
        <w:t>corredor</w:t>
      </w:r>
      <w:r w:rsidR="006D2E8D" w:rsidRPr="00592BB0">
        <w:rPr>
          <w:rFonts w:ascii="Times New Roman" w:hAnsi="Times New Roman" w:cs="Times New Roman"/>
          <w:sz w:val="18"/>
          <w:szCs w:val="18"/>
          <w:lang w:val="es-PE"/>
        </w:rPr>
        <w:t xml:space="preserve">a a Katherine Paola Chicoma Cuba no se señala cuál sería su dirección de correo electrónico. Asimismo, tampoco se ha presentado la carta de nombramiento de la corredora o alguna comunicación donde se </w:t>
      </w:r>
      <w:r w:rsidR="00C44FC6" w:rsidRPr="00592BB0">
        <w:rPr>
          <w:rFonts w:ascii="Times New Roman" w:hAnsi="Times New Roman" w:cs="Times New Roman"/>
          <w:sz w:val="18"/>
          <w:szCs w:val="18"/>
          <w:lang w:val="es-PE"/>
        </w:rPr>
        <w:t>indique</w:t>
      </w:r>
      <w:r w:rsidR="006D2E8D" w:rsidRPr="00592BB0">
        <w:rPr>
          <w:rFonts w:ascii="Times New Roman" w:hAnsi="Times New Roman" w:cs="Times New Roman"/>
          <w:sz w:val="18"/>
          <w:szCs w:val="18"/>
          <w:lang w:val="es-PE"/>
        </w:rPr>
        <w:t xml:space="preserve"> </w:t>
      </w:r>
      <w:r w:rsidR="00AD5C68" w:rsidRPr="00592BB0">
        <w:rPr>
          <w:rFonts w:ascii="Times New Roman" w:hAnsi="Times New Roman" w:cs="Times New Roman"/>
          <w:sz w:val="18"/>
          <w:szCs w:val="18"/>
          <w:lang w:val="es-PE"/>
        </w:rPr>
        <w:t xml:space="preserve">la dirección de </w:t>
      </w:r>
      <w:r w:rsidR="006D2E8D" w:rsidRPr="00592BB0">
        <w:rPr>
          <w:rFonts w:ascii="Times New Roman" w:hAnsi="Times New Roman" w:cs="Times New Roman"/>
          <w:sz w:val="18"/>
          <w:szCs w:val="18"/>
          <w:lang w:val="es-PE"/>
        </w:rPr>
        <w:t>correo electrónico para efecto de las comunicaciones referidas a la póliza intermediada</w:t>
      </w:r>
      <w:r w:rsidR="00AD5C68" w:rsidRPr="00592BB0">
        <w:rPr>
          <w:rFonts w:ascii="Times New Roman" w:hAnsi="Times New Roman" w:cs="Times New Roman"/>
          <w:sz w:val="18"/>
          <w:szCs w:val="18"/>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0DC73B3"/>
    <w:multiLevelType w:val="multilevel"/>
    <w:tmpl w:val="E36AE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3713598"/>
    <w:multiLevelType w:val="hybridMultilevel"/>
    <w:tmpl w:val="A6F6DF8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0F2C14"/>
    <w:multiLevelType w:val="singleLevel"/>
    <w:tmpl w:val="C7E66546"/>
    <w:lvl w:ilvl="0">
      <w:start w:val="1"/>
      <w:numFmt w:val="decimal"/>
      <w:lvlText w:val="%1."/>
      <w:lvlJc w:val="left"/>
      <w:pPr>
        <w:tabs>
          <w:tab w:val="num" w:pos="5322"/>
        </w:tabs>
        <w:ind w:left="5322" w:hanging="360"/>
      </w:pPr>
      <w:rPr>
        <w:rFonts w:ascii="Arial" w:hAnsi="Arial" w:cs="Arial" w:hint="default"/>
        <w:sz w:val="18"/>
        <w:szCs w:val="18"/>
      </w:rPr>
    </w:lvl>
  </w:abstractNum>
  <w:abstractNum w:abstractNumId="5" w15:restartNumberingAfterBreak="0">
    <w:nsid w:val="7860A4E2"/>
    <w:multiLevelType w:val="hybridMultilevel"/>
    <w:tmpl w:val="600E015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45515133">
    <w:abstractNumId w:val="0"/>
  </w:num>
  <w:num w:numId="2" w16cid:durableId="886183231">
    <w:abstractNumId w:val="6"/>
  </w:num>
  <w:num w:numId="3" w16cid:durableId="1098061181">
    <w:abstractNumId w:val="2"/>
  </w:num>
  <w:num w:numId="4" w16cid:durableId="1145393262">
    <w:abstractNumId w:val="5"/>
  </w:num>
  <w:num w:numId="5" w16cid:durableId="1621033109">
    <w:abstractNumId w:val="3"/>
  </w:num>
  <w:num w:numId="6" w16cid:durableId="608850157">
    <w:abstractNumId w:val="4"/>
  </w:num>
  <w:num w:numId="7" w16cid:durableId="13672938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459F"/>
    <w:rsid w:val="00076E73"/>
    <w:rsid w:val="00077B6F"/>
    <w:rsid w:val="000801BA"/>
    <w:rsid w:val="00080A9A"/>
    <w:rsid w:val="0008117D"/>
    <w:rsid w:val="000825F9"/>
    <w:rsid w:val="000835CB"/>
    <w:rsid w:val="0008387C"/>
    <w:rsid w:val="00083D69"/>
    <w:rsid w:val="00083F50"/>
    <w:rsid w:val="00084148"/>
    <w:rsid w:val="00084BA0"/>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1A2"/>
    <w:rsid w:val="000B734B"/>
    <w:rsid w:val="000C0734"/>
    <w:rsid w:val="000C1AAB"/>
    <w:rsid w:val="000C61C8"/>
    <w:rsid w:val="000D107E"/>
    <w:rsid w:val="000D288A"/>
    <w:rsid w:val="000D4AFC"/>
    <w:rsid w:val="000D5F00"/>
    <w:rsid w:val="000D7348"/>
    <w:rsid w:val="000D7B6B"/>
    <w:rsid w:val="000E6C90"/>
    <w:rsid w:val="000F17DA"/>
    <w:rsid w:val="000F1F1F"/>
    <w:rsid w:val="000F372E"/>
    <w:rsid w:val="000F4458"/>
    <w:rsid w:val="000F55CC"/>
    <w:rsid w:val="000F56CC"/>
    <w:rsid w:val="000F6340"/>
    <w:rsid w:val="001004B6"/>
    <w:rsid w:val="0010277D"/>
    <w:rsid w:val="001035ED"/>
    <w:rsid w:val="001064A0"/>
    <w:rsid w:val="00107CAE"/>
    <w:rsid w:val="00110157"/>
    <w:rsid w:val="00111342"/>
    <w:rsid w:val="00111B7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0CD4"/>
    <w:rsid w:val="001320DF"/>
    <w:rsid w:val="001347DF"/>
    <w:rsid w:val="0013694D"/>
    <w:rsid w:val="00136E12"/>
    <w:rsid w:val="001373AF"/>
    <w:rsid w:val="001377EF"/>
    <w:rsid w:val="00140304"/>
    <w:rsid w:val="00140CF5"/>
    <w:rsid w:val="001429BD"/>
    <w:rsid w:val="00142E00"/>
    <w:rsid w:val="00142F5B"/>
    <w:rsid w:val="00143F49"/>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5AFB"/>
    <w:rsid w:val="001A61E0"/>
    <w:rsid w:val="001A6EBB"/>
    <w:rsid w:val="001B1E59"/>
    <w:rsid w:val="001B3EE9"/>
    <w:rsid w:val="001B58A3"/>
    <w:rsid w:val="001B6C30"/>
    <w:rsid w:val="001C052B"/>
    <w:rsid w:val="001C3A70"/>
    <w:rsid w:val="001C49C6"/>
    <w:rsid w:val="001D0EED"/>
    <w:rsid w:val="001D1D31"/>
    <w:rsid w:val="001D2203"/>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37C4"/>
    <w:rsid w:val="002041EC"/>
    <w:rsid w:val="00204407"/>
    <w:rsid w:val="00205AC5"/>
    <w:rsid w:val="00206378"/>
    <w:rsid w:val="00206718"/>
    <w:rsid w:val="00207461"/>
    <w:rsid w:val="0020749F"/>
    <w:rsid w:val="002108AD"/>
    <w:rsid w:val="0021173F"/>
    <w:rsid w:val="00211977"/>
    <w:rsid w:val="00211C72"/>
    <w:rsid w:val="002130B0"/>
    <w:rsid w:val="00213628"/>
    <w:rsid w:val="0021627D"/>
    <w:rsid w:val="00217D74"/>
    <w:rsid w:val="0022049B"/>
    <w:rsid w:val="00225288"/>
    <w:rsid w:val="00227D02"/>
    <w:rsid w:val="00231C58"/>
    <w:rsid w:val="00232B40"/>
    <w:rsid w:val="002331C3"/>
    <w:rsid w:val="002333AB"/>
    <w:rsid w:val="00234777"/>
    <w:rsid w:val="00234A33"/>
    <w:rsid w:val="00240336"/>
    <w:rsid w:val="00241719"/>
    <w:rsid w:val="00242425"/>
    <w:rsid w:val="00243DFC"/>
    <w:rsid w:val="00243F6B"/>
    <w:rsid w:val="0024405B"/>
    <w:rsid w:val="002447A6"/>
    <w:rsid w:val="00245393"/>
    <w:rsid w:val="00246FF9"/>
    <w:rsid w:val="00247395"/>
    <w:rsid w:val="002528B8"/>
    <w:rsid w:val="00252D46"/>
    <w:rsid w:val="00253CBD"/>
    <w:rsid w:val="00254641"/>
    <w:rsid w:val="002557EF"/>
    <w:rsid w:val="00256E4E"/>
    <w:rsid w:val="00260B6D"/>
    <w:rsid w:val="00260F46"/>
    <w:rsid w:val="0026148B"/>
    <w:rsid w:val="0026162A"/>
    <w:rsid w:val="00261D97"/>
    <w:rsid w:val="00262031"/>
    <w:rsid w:val="0027261F"/>
    <w:rsid w:val="00272BD6"/>
    <w:rsid w:val="00272F4F"/>
    <w:rsid w:val="0027301E"/>
    <w:rsid w:val="00273738"/>
    <w:rsid w:val="00274985"/>
    <w:rsid w:val="00274A0C"/>
    <w:rsid w:val="0027653A"/>
    <w:rsid w:val="002766D1"/>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4852"/>
    <w:rsid w:val="002C5DF4"/>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35F0"/>
    <w:rsid w:val="002F478E"/>
    <w:rsid w:val="002F57BF"/>
    <w:rsid w:val="002F5F01"/>
    <w:rsid w:val="002F60A5"/>
    <w:rsid w:val="002F7D42"/>
    <w:rsid w:val="00300E51"/>
    <w:rsid w:val="003011C8"/>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24C96"/>
    <w:rsid w:val="00330790"/>
    <w:rsid w:val="003314D9"/>
    <w:rsid w:val="00331F16"/>
    <w:rsid w:val="00333BAA"/>
    <w:rsid w:val="00340E4B"/>
    <w:rsid w:val="00341784"/>
    <w:rsid w:val="00344B3D"/>
    <w:rsid w:val="0034542F"/>
    <w:rsid w:val="00345AC3"/>
    <w:rsid w:val="00345DF0"/>
    <w:rsid w:val="00345F7F"/>
    <w:rsid w:val="003477EF"/>
    <w:rsid w:val="00347D7E"/>
    <w:rsid w:val="003526ED"/>
    <w:rsid w:val="00353092"/>
    <w:rsid w:val="003534E0"/>
    <w:rsid w:val="003544B1"/>
    <w:rsid w:val="00356F61"/>
    <w:rsid w:val="00357D70"/>
    <w:rsid w:val="00360239"/>
    <w:rsid w:val="00361278"/>
    <w:rsid w:val="00361699"/>
    <w:rsid w:val="00361F6A"/>
    <w:rsid w:val="00362449"/>
    <w:rsid w:val="00362679"/>
    <w:rsid w:val="00363C5F"/>
    <w:rsid w:val="00364E0F"/>
    <w:rsid w:val="003653B3"/>
    <w:rsid w:val="00366294"/>
    <w:rsid w:val="00366842"/>
    <w:rsid w:val="00366F29"/>
    <w:rsid w:val="00367746"/>
    <w:rsid w:val="00370144"/>
    <w:rsid w:val="00372864"/>
    <w:rsid w:val="00372C56"/>
    <w:rsid w:val="00373102"/>
    <w:rsid w:val="0037363C"/>
    <w:rsid w:val="00374DFF"/>
    <w:rsid w:val="00374E5F"/>
    <w:rsid w:val="0037787C"/>
    <w:rsid w:val="00377F69"/>
    <w:rsid w:val="003812D2"/>
    <w:rsid w:val="0038290F"/>
    <w:rsid w:val="0038740F"/>
    <w:rsid w:val="00391C15"/>
    <w:rsid w:val="00391F72"/>
    <w:rsid w:val="00392259"/>
    <w:rsid w:val="003A0559"/>
    <w:rsid w:val="003A0905"/>
    <w:rsid w:val="003A12F3"/>
    <w:rsid w:val="003A3C08"/>
    <w:rsid w:val="003A3F8C"/>
    <w:rsid w:val="003A3FA8"/>
    <w:rsid w:val="003A5658"/>
    <w:rsid w:val="003A584D"/>
    <w:rsid w:val="003A5B5C"/>
    <w:rsid w:val="003B11E0"/>
    <w:rsid w:val="003B32A5"/>
    <w:rsid w:val="003B348C"/>
    <w:rsid w:val="003B3A93"/>
    <w:rsid w:val="003B41F7"/>
    <w:rsid w:val="003B5044"/>
    <w:rsid w:val="003B6892"/>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4ABD"/>
    <w:rsid w:val="003E7BAE"/>
    <w:rsid w:val="003F0C97"/>
    <w:rsid w:val="003F1149"/>
    <w:rsid w:val="003F1B5F"/>
    <w:rsid w:val="003F20C7"/>
    <w:rsid w:val="003F2DC2"/>
    <w:rsid w:val="003F5262"/>
    <w:rsid w:val="00401E6A"/>
    <w:rsid w:val="004030BC"/>
    <w:rsid w:val="00403814"/>
    <w:rsid w:val="004049B9"/>
    <w:rsid w:val="00406AFD"/>
    <w:rsid w:val="00411866"/>
    <w:rsid w:val="00414109"/>
    <w:rsid w:val="00414A7B"/>
    <w:rsid w:val="00417CFB"/>
    <w:rsid w:val="00417E23"/>
    <w:rsid w:val="00420399"/>
    <w:rsid w:val="00420F89"/>
    <w:rsid w:val="0042236E"/>
    <w:rsid w:val="00423BDE"/>
    <w:rsid w:val="00425ACB"/>
    <w:rsid w:val="00425F75"/>
    <w:rsid w:val="00426C11"/>
    <w:rsid w:val="00427787"/>
    <w:rsid w:val="004310D6"/>
    <w:rsid w:val="004324AC"/>
    <w:rsid w:val="00440AE0"/>
    <w:rsid w:val="00440BC2"/>
    <w:rsid w:val="00443191"/>
    <w:rsid w:val="00443875"/>
    <w:rsid w:val="00444232"/>
    <w:rsid w:val="00444DE9"/>
    <w:rsid w:val="00445D0D"/>
    <w:rsid w:val="004513F2"/>
    <w:rsid w:val="00452340"/>
    <w:rsid w:val="00452C11"/>
    <w:rsid w:val="00460C30"/>
    <w:rsid w:val="004623E6"/>
    <w:rsid w:val="00463C58"/>
    <w:rsid w:val="00465FB9"/>
    <w:rsid w:val="00466302"/>
    <w:rsid w:val="0046647B"/>
    <w:rsid w:val="00470AB9"/>
    <w:rsid w:val="0047370C"/>
    <w:rsid w:val="00475098"/>
    <w:rsid w:val="0047522D"/>
    <w:rsid w:val="00475B39"/>
    <w:rsid w:val="00476BA1"/>
    <w:rsid w:val="00477488"/>
    <w:rsid w:val="00477A6F"/>
    <w:rsid w:val="004814D2"/>
    <w:rsid w:val="00482C9F"/>
    <w:rsid w:val="0048408F"/>
    <w:rsid w:val="004858EC"/>
    <w:rsid w:val="00486637"/>
    <w:rsid w:val="004872DA"/>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0D35"/>
    <w:rsid w:val="004C1C34"/>
    <w:rsid w:val="004C34ED"/>
    <w:rsid w:val="004C3692"/>
    <w:rsid w:val="004C51EC"/>
    <w:rsid w:val="004C5A91"/>
    <w:rsid w:val="004C7FB3"/>
    <w:rsid w:val="004D349A"/>
    <w:rsid w:val="004E04CE"/>
    <w:rsid w:val="004E210D"/>
    <w:rsid w:val="004E28FB"/>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07877"/>
    <w:rsid w:val="005152C7"/>
    <w:rsid w:val="00516293"/>
    <w:rsid w:val="0051692C"/>
    <w:rsid w:val="005175FE"/>
    <w:rsid w:val="005201C0"/>
    <w:rsid w:val="005201E9"/>
    <w:rsid w:val="00521B4C"/>
    <w:rsid w:val="00522E2A"/>
    <w:rsid w:val="00524557"/>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194"/>
    <w:rsid w:val="00541534"/>
    <w:rsid w:val="00542878"/>
    <w:rsid w:val="00542AFD"/>
    <w:rsid w:val="00543E68"/>
    <w:rsid w:val="00544BFC"/>
    <w:rsid w:val="0054553F"/>
    <w:rsid w:val="005466DB"/>
    <w:rsid w:val="00547EE5"/>
    <w:rsid w:val="00547F11"/>
    <w:rsid w:val="00550366"/>
    <w:rsid w:val="00551F42"/>
    <w:rsid w:val="00555D87"/>
    <w:rsid w:val="00556399"/>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1286"/>
    <w:rsid w:val="00592BB0"/>
    <w:rsid w:val="00593730"/>
    <w:rsid w:val="005948EF"/>
    <w:rsid w:val="005949B4"/>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17D1"/>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F6B"/>
    <w:rsid w:val="005F2582"/>
    <w:rsid w:val="005F265B"/>
    <w:rsid w:val="005F34F8"/>
    <w:rsid w:val="005F4C97"/>
    <w:rsid w:val="005F50AF"/>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6AC"/>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183"/>
    <w:rsid w:val="00670241"/>
    <w:rsid w:val="00671B55"/>
    <w:rsid w:val="00671DB5"/>
    <w:rsid w:val="00674872"/>
    <w:rsid w:val="00674DE5"/>
    <w:rsid w:val="0067797A"/>
    <w:rsid w:val="00680D8A"/>
    <w:rsid w:val="00682454"/>
    <w:rsid w:val="006829E6"/>
    <w:rsid w:val="006832CF"/>
    <w:rsid w:val="00686BB2"/>
    <w:rsid w:val="006878E1"/>
    <w:rsid w:val="00690AA0"/>
    <w:rsid w:val="0069304A"/>
    <w:rsid w:val="0069590B"/>
    <w:rsid w:val="00695BD5"/>
    <w:rsid w:val="0069684A"/>
    <w:rsid w:val="006969AA"/>
    <w:rsid w:val="006970EB"/>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2E8D"/>
    <w:rsid w:val="006D397E"/>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514C"/>
    <w:rsid w:val="006F6085"/>
    <w:rsid w:val="006F6CBD"/>
    <w:rsid w:val="0070030F"/>
    <w:rsid w:val="007003E3"/>
    <w:rsid w:val="00701598"/>
    <w:rsid w:val="007015BB"/>
    <w:rsid w:val="00701639"/>
    <w:rsid w:val="00701893"/>
    <w:rsid w:val="007021E5"/>
    <w:rsid w:val="00703430"/>
    <w:rsid w:val="00703640"/>
    <w:rsid w:val="00703F89"/>
    <w:rsid w:val="00704A95"/>
    <w:rsid w:val="00705F2D"/>
    <w:rsid w:val="00706392"/>
    <w:rsid w:val="007065DE"/>
    <w:rsid w:val="00706EB2"/>
    <w:rsid w:val="00707C71"/>
    <w:rsid w:val="00707C99"/>
    <w:rsid w:val="0071145A"/>
    <w:rsid w:val="00711C9A"/>
    <w:rsid w:val="007130CB"/>
    <w:rsid w:val="00716AB1"/>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1DAF"/>
    <w:rsid w:val="00733004"/>
    <w:rsid w:val="0073378D"/>
    <w:rsid w:val="00733D4C"/>
    <w:rsid w:val="007352EE"/>
    <w:rsid w:val="00737844"/>
    <w:rsid w:val="007413BB"/>
    <w:rsid w:val="007415C6"/>
    <w:rsid w:val="007416F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76EE7"/>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506"/>
    <w:rsid w:val="007A09BB"/>
    <w:rsid w:val="007A1D74"/>
    <w:rsid w:val="007A20FA"/>
    <w:rsid w:val="007A3F3F"/>
    <w:rsid w:val="007A4108"/>
    <w:rsid w:val="007A4B5F"/>
    <w:rsid w:val="007A4E68"/>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5DCA"/>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57CD4"/>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0096"/>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093"/>
    <w:rsid w:val="008B47F3"/>
    <w:rsid w:val="008B5C61"/>
    <w:rsid w:val="008B6C1E"/>
    <w:rsid w:val="008B760D"/>
    <w:rsid w:val="008C44CB"/>
    <w:rsid w:val="008C50AF"/>
    <w:rsid w:val="008C70D4"/>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202B"/>
    <w:rsid w:val="008F3119"/>
    <w:rsid w:val="008F479E"/>
    <w:rsid w:val="009011F1"/>
    <w:rsid w:val="00903260"/>
    <w:rsid w:val="00903C28"/>
    <w:rsid w:val="00905BA5"/>
    <w:rsid w:val="00907807"/>
    <w:rsid w:val="00910014"/>
    <w:rsid w:val="009117F7"/>
    <w:rsid w:val="009123CD"/>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479EA"/>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464"/>
    <w:rsid w:val="009D55E8"/>
    <w:rsid w:val="009D56D8"/>
    <w:rsid w:val="009D5ECD"/>
    <w:rsid w:val="009D6055"/>
    <w:rsid w:val="009D6445"/>
    <w:rsid w:val="009D7898"/>
    <w:rsid w:val="009D7BF6"/>
    <w:rsid w:val="009E0D31"/>
    <w:rsid w:val="009E10EE"/>
    <w:rsid w:val="009E12A8"/>
    <w:rsid w:val="009E2DB1"/>
    <w:rsid w:val="009E5446"/>
    <w:rsid w:val="009E5F11"/>
    <w:rsid w:val="009E6480"/>
    <w:rsid w:val="009E7994"/>
    <w:rsid w:val="009F143B"/>
    <w:rsid w:val="009F23E6"/>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1B13"/>
    <w:rsid w:val="00A11E57"/>
    <w:rsid w:val="00A16942"/>
    <w:rsid w:val="00A17A72"/>
    <w:rsid w:val="00A20E69"/>
    <w:rsid w:val="00A22B41"/>
    <w:rsid w:val="00A23D9B"/>
    <w:rsid w:val="00A23DD8"/>
    <w:rsid w:val="00A2528C"/>
    <w:rsid w:val="00A25909"/>
    <w:rsid w:val="00A25F51"/>
    <w:rsid w:val="00A268C5"/>
    <w:rsid w:val="00A27055"/>
    <w:rsid w:val="00A27E33"/>
    <w:rsid w:val="00A30393"/>
    <w:rsid w:val="00A30F1C"/>
    <w:rsid w:val="00A31AB4"/>
    <w:rsid w:val="00A31C41"/>
    <w:rsid w:val="00A321E2"/>
    <w:rsid w:val="00A32246"/>
    <w:rsid w:val="00A323F4"/>
    <w:rsid w:val="00A328C0"/>
    <w:rsid w:val="00A339A7"/>
    <w:rsid w:val="00A3714C"/>
    <w:rsid w:val="00A405C7"/>
    <w:rsid w:val="00A410BC"/>
    <w:rsid w:val="00A4125F"/>
    <w:rsid w:val="00A41BD6"/>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661"/>
    <w:rsid w:val="00A96EE6"/>
    <w:rsid w:val="00A97287"/>
    <w:rsid w:val="00AA0B0F"/>
    <w:rsid w:val="00AA13BC"/>
    <w:rsid w:val="00AA15E5"/>
    <w:rsid w:val="00AA18F9"/>
    <w:rsid w:val="00AA2AA2"/>
    <w:rsid w:val="00AA2DED"/>
    <w:rsid w:val="00AA4E5D"/>
    <w:rsid w:val="00AA79FD"/>
    <w:rsid w:val="00AB0989"/>
    <w:rsid w:val="00AB1C66"/>
    <w:rsid w:val="00AB2B72"/>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5C68"/>
    <w:rsid w:val="00AD61A7"/>
    <w:rsid w:val="00AD772E"/>
    <w:rsid w:val="00AE131E"/>
    <w:rsid w:val="00AE4125"/>
    <w:rsid w:val="00AE58A1"/>
    <w:rsid w:val="00AE6BD5"/>
    <w:rsid w:val="00AF11B1"/>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4463"/>
    <w:rsid w:val="00B35531"/>
    <w:rsid w:val="00B355EC"/>
    <w:rsid w:val="00B4047A"/>
    <w:rsid w:val="00B411A3"/>
    <w:rsid w:val="00B431AF"/>
    <w:rsid w:val="00B443CF"/>
    <w:rsid w:val="00B45C2D"/>
    <w:rsid w:val="00B45D71"/>
    <w:rsid w:val="00B46D45"/>
    <w:rsid w:val="00B47985"/>
    <w:rsid w:val="00B50F76"/>
    <w:rsid w:val="00B51E54"/>
    <w:rsid w:val="00B53696"/>
    <w:rsid w:val="00B53D48"/>
    <w:rsid w:val="00B541DE"/>
    <w:rsid w:val="00B56649"/>
    <w:rsid w:val="00B625F2"/>
    <w:rsid w:val="00B62982"/>
    <w:rsid w:val="00B62B5B"/>
    <w:rsid w:val="00B64FA2"/>
    <w:rsid w:val="00B65520"/>
    <w:rsid w:val="00B663DC"/>
    <w:rsid w:val="00B66E9D"/>
    <w:rsid w:val="00B67430"/>
    <w:rsid w:val="00B67545"/>
    <w:rsid w:val="00B70EC3"/>
    <w:rsid w:val="00B710D8"/>
    <w:rsid w:val="00B73629"/>
    <w:rsid w:val="00B7466E"/>
    <w:rsid w:val="00B74AA1"/>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2152"/>
    <w:rsid w:val="00BB2BE0"/>
    <w:rsid w:val="00BB3529"/>
    <w:rsid w:val="00BB4047"/>
    <w:rsid w:val="00BB405B"/>
    <w:rsid w:val="00BB4B19"/>
    <w:rsid w:val="00BB68F9"/>
    <w:rsid w:val="00BB7FC6"/>
    <w:rsid w:val="00BC1799"/>
    <w:rsid w:val="00BC2663"/>
    <w:rsid w:val="00BC29D0"/>
    <w:rsid w:val="00BC4043"/>
    <w:rsid w:val="00BC4A27"/>
    <w:rsid w:val="00BC4FD6"/>
    <w:rsid w:val="00BC6B65"/>
    <w:rsid w:val="00BC6D3A"/>
    <w:rsid w:val="00BC7548"/>
    <w:rsid w:val="00BD128D"/>
    <w:rsid w:val="00BD3016"/>
    <w:rsid w:val="00BD6F2D"/>
    <w:rsid w:val="00BD797F"/>
    <w:rsid w:val="00BD7F12"/>
    <w:rsid w:val="00BE1470"/>
    <w:rsid w:val="00BE2EDB"/>
    <w:rsid w:val="00BE6714"/>
    <w:rsid w:val="00BE7C72"/>
    <w:rsid w:val="00BF1421"/>
    <w:rsid w:val="00BF2468"/>
    <w:rsid w:val="00BF414E"/>
    <w:rsid w:val="00BF5CEF"/>
    <w:rsid w:val="00BF78BF"/>
    <w:rsid w:val="00C00BBF"/>
    <w:rsid w:val="00C02CC4"/>
    <w:rsid w:val="00C03B68"/>
    <w:rsid w:val="00C04AA4"/>
    <w:rsid w:val="00C04EC8"/>
    <w:rsid w:val="00C05445"/>
    <w:rsid w:val="00C05CE1"/>
    <w:rsid w:val="00C06BE9"/>
    <w:rsid w:val="00C112C9"/>
    <w:rsid w:val="00C12CBD"/>
    <w:rsid w:val="00C13469"/>
    <w:rsid w:val="00C134DB"/>
    <w:rsid w:val="00C16D8A"/>
    <w:rsid w:val="00C20847"/>
    <w:rsid w:val="00C222E3"/>
    <w:rsid w:val="00C25B78"/>
    <w:rsid w:val="00C264DC"/>
    <w:rsid w:val="00C26907"/>
    <w:rsid w:val="00C32068"/>
    <w:rsid w:val="00C32301"/>
    <w:rsid w:val="00C33FEF"/>
    <w:rsid w:val="00C34017"/>
    <w:rsid w:val="00C355DF"/>
    <w:rsid w:val="00C4007D"/>
    <w:rsid w:val="00C4163B"/>
    <w:rsid w:val="00C41F24"/>
    <w:rsid w:val="00C43FD0"/>
    <w:rsid w:val="00C44FC6"/>
    <w:rsid w:val="00C4691E"/>
    <w:rsid w:val="00C47619"/>
    <w:rsid w:val="00C51445"/>
    <w:rsid w:val="00C5168E"/>
    <w:rsid w:val="00C51D2A"/>
    <w:rsid w:val="00C52848"/>
    <w:rsid w:val="00C55704"/>
    <w:rsid w:val="00C6074A"/>
    <w:rsid w:val="00C61FF5"/>
    <w:rsid w:val="00C63606"/>
    <w:rsid w:val="00C649B2"/>
    <w:rsid w:val="00C65B8D"/>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32F"/>
    <w:rsid w:val="00CB3481"/>
    <w:rsid w:val="00CB4013"/>
    <w:rsid w:val="00CB44BB"/>
    <w:rsid w:val="00CB4580"/>
    <w:rsid w:val="00CB5FE1"/>
    <w:rsid w:val="00CC2A7C"/>
    <w:rsid w:val="00CC4AEF"/>
    <w:rsid w:val="00CC6C0C"/>
    <w:rsid w:val="00CC719D"/>
    <w:rsid w:val="00CC724A"/>
    <w:rsid w:val="00CC77BA"/>
    <w:rsid w:val="00CD38AE"/>
    <w:rsid w:val="00CD44B9"/>
    <w:rsid w:val="00CD482D"/>
    <w:rsid w:val="00CD4BE8"/>
    <w:rsid w:val="00CE2834"/>
    <w:rsid w:val="00CE7264"/>
    <w:rsid w:val="00CF158B"/>
    <w:rsid w:val="00CF3AE3"/>
    <w:rsid w:val="00CF5301"/>
    <w:rsid w:val="00CF534A"/>
    <w:rsid w:val="00CF55D6"/>
    <w:rsid w:val="00CF6484"/>
    <w:rsid w:val="00CF78D3"/>
    <w:rsid w:val="00D016C5"/>
    <w:rsid w:val="00D01D1A"/>
    <w:rsid w:val="00D02312"/>
    <w:rsid w:val="00D07B07"/>
    <w:rsid w:val="00D10177"/>
    <w:rsid w:val="00D10885"/>
    <w:rsid w:val="00D10B27"/>
    <w:rsid w:val="00D11264"/>
    <w:rsid w:val="00D121FA"/>
    <w:rsid w:val="00D12B6B"/>
    <w:rsid w:val="00D12CFF"/>
    <w:rsid w:val="00D14AF4"/>
    <w:rsid w:val="00D156AF"/>
    <w:rsid w:val="00D15A86"/>
    <w:rsid w:val="00D16367"/>
    <w:rsid w:val="00D16699"/>
    <w:rsid w:val="00D202C6"/>
    <w:rsid w:val="00D2092C"/>
    <w:rsid w:val="00D21076"/>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494E"/>
    <w:rsid w:val="00D6513C"/>
    <w:rsid w:val="00D65324"/>
    <w:rsid w:val="00D65726"/>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678C"/>
    <w:rsid w:val="00DD6DB6"/>
    <w:rsid w:val="00DE1A4C"/>
    <w:rsid w:val="00DE2966"/>
    <w:rsid w:val="00DE5C24"/>
    <w:rsid w:val="00DE6DA2"/>
    <w:rsid w:val="00DF0424"/>
    <w:rsid w:val="00DF3781"/>
    <w:rsid w:val="00DF6291"/>
    <w:rsid w:val="00DF6E69"/>
    <w:rsid w:val="00DF779F"/>
    <w:rsid w:val="00E0140B"/>
    <w:rsid w:val="00E01785"/>
    <w:rsid w:val="00E01BEC"/>
    <w:rsid w:val="00E02E70"/>
    <w:rsid w:val="00E03F92"/>
    <w:rsid w:val="00E0595F"/>
    <w:rsid w:val="00E06847"/>
    <w:rsid w:val="00E06EE2"/>
    <w:rsid w:val="00E07CB1"/>
    <w:rsid w:val="00E107CA"/>
    <w:rsid w:val="00E1216B"/>
    <w:rsid w:val="00E1477F"/>
    <w:rsid w:val="00E14C65"/>
    <w:rsid w:val="00E16148"/>
    <w:rsid w:val="00E16C63"/>
    <w:rsid w:val="00E23093"/>
    <w:rsid w:val="00E25D54"/>
    <w:rsid w:val="00E2709A"/>
    <w:rsid w:val="00E30E76"/>
    <w:rsid w:val="00E31E0C"/>
    <w:rsid w:val="00E32DAA"/>
    <w:rsid w:val="00E3322A"/>
    <w:rsid w:val="00E341F5"/>
    <w:rsid w:val="00E3654E"/>
    <w:rsid w:val="00E367B7"/>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35E8"/>
    <w:rsid w:val="00EE6052"/>
    <w:rsid w:val="00EE6D21"/>
    <w:rsid w:val="00EE6F4A"/>
    <w:rsid w:val="00EE75F9"/>
    <w:rsid w:val="00EF15EF"/>
    <w:rsid w:val="00EF379C"/>
    <w:rsid w:val="00F01B55"/>
    <w:rsid w:val="00F0237B"/>
    <w:rsid w:val="00F03C15"/>
    <w:rsid w:val="00F04BDE"/>
    <w:rsid w:val="00F06498"/>
    <w:rsid w:val="00F06E99"/>
    <w:rsid w:val="00F0723B"/>
    <w:rsid w:val="00F0786F"/>
    <w:rsid w:val="00F1064D"/>
    <w:rsid w:val="00F115EE"/>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570"/>
    <w:rsid w:val="00F33742"/>
    <w:rsid w:val="00F33829"/>
    <w:rsid w:val="00F349E0"/>
    <w:rsid w:val="00F3551B"/>
    <w:rsid w:val="00F368DD"/>
    <w:rsid w:val="00F36AB3"/>
    <w:rsid w:val="00F36BF0"/>
    <w:rsid w:val="00F37DF8"/>
    <w:rsid w:val="00F439B5"/>
    <w:rsid w:val="00F43D2A"/>
    <w:rsid w:val="00F44002"/>
    <w:rsid w:val="00F45F80"/>
    <w:rsid w:val="00F52E75"/>
    <w:rsid w:val="00F52FDD"/>
    <w:rsid w:val="00F53FC9"/>
    <w:rsid w:val="00F54303"/>
    <w:rsid w:val="00F54C75"/>
    <w:rsid w:val="00F57DED"/>
    <w:rsid w:val="00F636F7"/>
    <w:rsid w:val="00F63F49"/>
    <w:rsid w:val="00F6477C"/>
    <w:rsid w:val="00F65837"/>
    <w:rsid w:val="00F663F6"/>
    <w:rsid w:val="00F6707C"/>
    <w:rsid w:val="00F67367"/>
    <w:rsid w:val="00F70C4B"/>
    <w:rsid w:val="00F70E18"/>
    <w:rsid w:val="00F713A4"/>
    <w:rsid w:val="00F715EA"/>
    <w:rsid w:val="00F72D00"/>
    <w:rsid w:val="00F73A95"/>
    <w:rsid w:val="00F73C1E"/>
    <w:rsid w:val="00F771DE"/>
    <w:rsid w:val="00F81150"/>
    <w:rsid w:val="00F833B7"/>
    <w:rsid w:val="00F83A22"/>
    <w:rsid w:val="00F843B1"/>
    <w:rsid w:val="00F84CF9"/>
    <w:rsid w:val="00F85367"/>
    <w:rsid w:val="00F87C6C"/>
    <w:rsid w:val="00F87E38"/>
    <w:rsid w:val="00F9075C"/>
    <w:rsid w:val="00F91A73"/>
    <w:rsid w:val="00F92849"/>
    <w:rsid w:val="00F92DBC"/>
    <w:rsid w:val="00F94424"/>
    <w:rsid w:val="00F97EA2"/>
    <w:rsid w:val="00FA155E"/>
    <w:rsid w:val="00FA1E75"/>
    <w:rsid w:val="00FA2322"/>
    <w:rsid w:val="00FA244A"/>
    <w:rsid w:val="00FA31B9"/>
    <w:rsid w:val="00FB297F"/>
    <w:rsid w:val="00FB30BF"/>
    <w:rsid w:val="00FB4B0C"/>
    <w:rsid w:val="00FB638E"/>
    <w:rsid w:val="00FC0980"/>
    <w:rsid w:val="00FC0D10"/>
    <w:rsid w:val="00FC0FA3"/>
    <w:rsid w:val="00FC1934"/>
    <w:rsid w:val="00FC3693"/>
    <w:rsid w:val="00FC3CCB"/>
    <w:rsid w:val="00FC4399"/>
    <w:rsid w:val="00FC5555"/>
    <w:rsid w:val="00FD127E"/>
    <w:rsid w:val="00FD58AE"/>
    <w:rsid w:val="00FD78D4"/>
    <w:rsid w:val="00FE1D8F"/>
    <w:rsid w:val="00FE2169"/>
    <w:rsid w:val="00FE288E"/>
    <w:rsid w:val="00FE38F0"/>
    <w:rsid w:val="00FE400D"/>
    <w:rsid w:val="00FE43A9"/>
    <w:rsid w:val="00FE6588"/>
    <w:rsid w:val="00FE70D2"/>
    <w:rsid w:val="00FE7205"/>
    <w:rsid w:val="00FE73F3"/>
    <w:rsid w:val="00FE7B84"/>
    <w:rsid w:val="00FF24F4"/>
    <w:rsid w:val="00FF2CF8"/>
    <w:rsid w:val="00FF32B0"/>
    <w:rsid w:val="00FF41F3"/>
    <w:rsid w:val="00FF548B"/>
    <w:rsid w:val="00FF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B03"/>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character" w:customStyle="1" w:styleId="cita">
    <w:name w:val="cita"/>
    <w:basedOn w:val="Fuentedeprrafopredeter"/>
    <w:rsid w:val="00BC6B65"/>
  </w:style>
  <w:style w:type="paragraph" w:customStyle="1" w:styleId="cuerpo">
    <w:name w:val="cuerpo"/>
    <w:basedOn w:val="Normal"/>
    <w:rsid w:val="00F3551B"/>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no-style-override-4">
    <w:name w:val="no-style-override-4"/>
    <w:basedOn w:val="Fuentedeprrafopredeter"/>
    <w:rsid w:val="00F3551B"/>
  </w:style>
  <w:style w:type="character" w:customStyle="1" w:styleId="no-style-override-5">
    <w:name w:val="no-style-override-5"/>
    <w:basedOn w:val="Fuentedeprrafopredeter"/>
    <w:rsid w:val="00BD3016"/>
  </w:style>
  <w:style w:type="character" w:styleId="Refdecomentario">
    <w:name w:val="annotation reference"/>
    <w:basedOn w:val="Fuentedeprrafopredeter"/>
    <w:uiPriority w:val="99"/>
    <w:semiHidden/>
    <w:unhideWhenUsed/>
    <w:rsid w:val="004030BC"/>
    <w:rPr>
      <w:sz w:val="16"/>
      <w:szCs w:val="16"/>
    </w:rPr>
  </w:style>
  <w:style w:type="paragraph" w:styleId="Textocomentario">
    <w:name w:val="annotation text"/>
    <w:basedOn w:val="Normal"/>
    <w:link w:val="TextocomentarioCar"/>
    <w:uiPriority w:val="99"/>
    <w:unhideWhenUsed/>
    <w:rsid w:val="004030BC"/>
    <w:pPr>
      <w:spacing w:line="240" w:lineRule="auto"/>
    </w:pPr>
    <w:rPr>
      <w:sz w:val="20"/>
      <w:szCs w:val="20"/>
    </w:rPr>
  </w:style>
  <w:style w:type="character" w:customStyle="1" w:styleId="TextocomentarioCar">
    <w:name w:val="Texto comentario Car"/>
    <w:basedOn w:val="Fuentedeprrafopredeter"/>
    <w:link w:val="Textocomentario"/>
    <w:uiPriority w:val="99"/>
    <w:rsid w:val="004030BC"/>
    <w:rPr>
      <w:sz w:val="20"/>
      <w:szCs w:val="20"/>
    </w:rPr>
  </w:style>
  <w:style w:type="paragraph" w:styleId="Asuntodelcomentario">
    <w:name w:val="annotation subject"/>
    <w:basedOn w:val="Textocomentario"/>
    <w:next w:val="Textocomentario"/>
    <w:link w:val="AsuntodelcomentarioCar"/>
    <w:uiPriority w:val="99"/>
    <w:semiHidden/>
    <w:unhideWhenUsed/>
    <w:rsid w:val="004030BC"/>
    <w:rPr>
      <w:b/>
      <w:bCs/>
    </w:rPr>
  </w:style>
  <w:style w:type="character" w:customStyle="1" w:styleId="AsuntodelcomentarioCar">
    <w:name w:val="Asunto del comentario Car"/>
    <w:basedOn w:val="TextocomentarioCar"/>
    <w:link w:val="Asuntodelcomentario"/>
    <w:uiPriority w:val="99"/>
    <w:semiHidden/>
    <w:rsid w:val="004030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3041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1263049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75943610">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3076148">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7133075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744677">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50303888">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rybdm12@gmail.com"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valerybdm12@gmail.com"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mailto:katherinechicomacuba@gmail.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ntaspetithome@gmail.com"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mailto:ventaspetithome@gmail.com" TargetMode="External"/><Relationship Id="rId23" Type="http://schemas.openxmlformats.org/officeDocument/2006/relationships/customXml" Target="../customXml/item2.xml"/><Relationship Id="rId10" Type="http://schemas.openxmlformats.org/officeDocument/2006/relationships/hyperlink" Target="mailto:valerybdm12@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therinechicomacuba@gmail.com" TargetMode="External"/><Relationship Id="rId14" Type="http://schemas.openxmlformats.org/officeDocument/2006/relationships/hyperlink" Target="mailto:ventaspetithome@gmail.com"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about.evicertia.com/" TargetMode="External"/><Relationship Id="rId2" Type="http://schemas.openxmlformats.org/officeDocument/2006/relationships/hyperlink" Target="https://revistas.pucp.edu.pe/index.php/derechopucp/article/view/13242/13854" TargetMode="External"/><Relationship Id="rId1" Type="http://schemas.openxmlformats.org/officeDocument/2006/relationships/hyperlink" Target="https://dpej.rae.es/" TargetMode="External"/><Relationship Id="rId5" Type="http://schemas.openxmlformats.org/officeDocument/2006/relationships/hyperlink" Target="https://www.msn.com/es-es/general/general/todas-las-alternativas-para-activar-el-acuse-de-recibo-en-gmail-gu%C3%ADa-completa/ar-AA1xbrP7" TargetMode="External"/><Relationship Id="rId4" Type="http://schemas.openxmlformats.org/officeDocument/2006/relationships/hyperlink" Target="https://www.gob.pe/59924-registro-oficial-de-prestadores-de-servicios-de-certificacion-oficial-rop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62BE3CD-A5E6-4F2B-824A-F811C9710E54}"/>
</file>

<file path=customXml/itemProps3.xml><?xml version="1.0" encoding="utf-8"?>
<ds:datastoreItem xmlns:ds="http://schemas.openxmlformats.org/officeDocument/2006/customXml" ds:itemID="{99647B2C-1B84-489F-AD07-80580C0AF4DB}"/>
</file>

<file path=customXml/itemProps4.xml><?xml version="1.0" encoding="utf-8"?>
<ds:datastoreItem xmlns:ds="http://schemas.openxmlformats.org/officeDocument/2006/customXml" ds:itemID="{93BCCF1D-BE9D-4011-B259-783237A8998B}"/>
</file>

<file path=docProps/app.xml><?xml version="1.0" encoding="utf-8"?>
<Properties xmlns="http://schemas.openxmlformats.org/officeDocument/2006/extended-properties" xmlns:vt="http://schemas.openxmlformats.org/officeDocument/2006/docPropsVTypes">
  <Template>Normal</Template>
  <TotalTime>78</TotalTime>
  <Pages>11</Pages>
  <Words>4112</Words>
  <Characters>21799</Characters>
  <Application>Microsoft Office Word</Application>
  <DocSecurity>0</DocSecurity>
  <Lines>363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8</cp:revision>
  <cp:lastPrinted>2023-10-11T16:32:00Z</cp:lastPrinted>
  <dcterms:created xsi:type="dcterms:W3CDTF">2025-11-11T00:48:00Z</dcterms:created>
  <dcterms:modified xsi:type="dcterms:W3CDTF">2025-11-17T21:10:00Z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