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151C4A" w:rsidRDefault="00D12B6B" w:rsidP="00151C4A">
      <w:pPr>
        <w:spacing w:after="0" w:line="240" w:lineRule="auto"/>
        <w:jc w:val="center"/>
        <w:rPr>
          <w:rFonts w:ascii="Times New Roman" w:hAnsi="Times New Roman" w:cs="Times New Roman"/>
          <w:b/>
          <w:sz w:val="24"/>
          <w:szCs w:val="24"/>
          <w:lang w:val="es-PE" w:eastAsia="ar-SA"/>
        </w:rPr>
      </w:pPr>
    </w:p>
    <w:p w14:paraId="2E2FA649" w14:textId="0B94A3E7" w:rsidR="00D12B6B" w:rsidRDefault="00201C0D" w:rsidP="00151C4A">
      <w:pPr>
        <w:spacing w:after="0" w:line="240" w:lineRule="auto"/>
        <w:jc w:val="center"/>
        <w:rPr>
          <w:rFonts w:ascii="Times New Roman" w:hAnsi="Times New Roman" w:cs="Times New Roman"/>
          <w:b/>
          <w:sz w:val="24"/>
          <w:szCs w:val="24"/>
          <w:lang w:val="es-PE" w:eastAsia="ar-SA"/>
        </w:rPr>
      </w:pPr>
      <w:r w:rsidRPr="00151C4A">
        <w:rPr>
          <w:rFonts w:ascii="Times New Roman" w:hAnsi="Times New Roman" w:cs="Times New Roman"/>
          <w:b/>
          <w:sz w:val="24"/>
          <w:szCs w:val="24"/>
          <w:lang w:val="es-PE" w:eastAsia="ar-SA"/>
        </w:rPr>
        <w:t>RESOLUCIÓN</w:t>
      </w:r>
      <w:r w:rsidR="009D55E8" w:rsidRPr="00151C4A">
        <w:rPr>
          <w:rFonts w:ascii="Times New Roman" w:hAnsi="Times New Roman" w:cs="Times New Roman"/>
          <w:b/>
          <w:sz w:val="24"/>
          <w:szCs w:val="24"/>
          <w:lang w:val="es-PE" w:eastAsia="ar-SA"/>
        </w:rPr>
        <w:t xml:space="preserve"> DE IMPUGNACIÓN</w:t>
      </w:r>
      <w:r w:rsidRPr="00151C4A">
        <w:rPr>
          <w:rFonts w:ascii="Times New Roman" w:hAnsi="Times New Roman" w:cs="Times New Roman"/>
          <w:b/>
          <w:sz w:val="24"/>
          <w:szCs w:val="24"/>
          <w:lang w:val="es-PE" w:eastAsia="ar-SA"/>
        </w:rPr>
        <w:t xml:space="preserve"> </w:t>
      </w:r>
      <w:r w:rsidR="00D12B6B" w:rsidRPr="00151C4A">
        <w:rPr>
          <w:rFonts w:ascii="Times New Roman" w:hAnsi="Times New Roman" w:cs="Times New Roman"/>
          <w:b/>
          <w:sz w:val="24"/>
          <w:szCs w:val="24"/>
          <w:lang w:val="es-PE" w:eastAsia="ar-SA"/>
        </w:rPr>
        <w:t>N</w:t>
      </w:r>
      <w:r w:rsidR="00151C4A" w:rsidRPr="00151C4A">
        <w:rPr>
          <w:rFonts w:ascii="Times New Roman" w:hAnsi="Times New Roman" w:cs="Times New Roman"/>
          <w:b/>
          <w:sz w:val="24"/>
          <w:szCs w:val="24"/>
          <w:lang w:val="es-PE" w:eastAsia="ar-SA"/>
        </w:rPr>
        <w:t>° 070</w:t>
      </w:r>
      <w:r w:rsidR="00AA2AA2" w:rsidRPr="00151C4A">
        <w:rPr>
          <w:rFonts w:ascii="Times New Roman" w:hAnsi="Times New Roman" w:cs="Times New Roman"/>
          <w:b/>
          <w:sz w:val="24"/>
          <w:szCs w:val="24"/>
          <w:lang w:val="es-PE" w:eastAsia="ar-SA"/>
        </w:rPr>
        <w:t>/25</w:t>
      </w:r>
    </w:p>
    <w:p w14:paraId="7396AE44" w14:textId="77777777" w:rsidR="00151C4A" w:rsidRPr="00151C4A" w:rsidRDefault="00151C4A" w:rsidP="00151C4A">
      <w:pPr>
        <w:spacing w:after="0" w:line="240" w:lineRule="auto"/>
        <w:jc w:val="center"/>
        <w:rPr>
          <w:rFonts w:ascii="Times New Roman" w:hAnsi="Times New Roman" w:cs="Times New Roman"/>
          <w:b/>
          <w:sz w:val="24"/>
          <w:szCs w:val="24"/>
          <w:lang w:val="es-PE" w:eastAsia="ar-SA"/>
        </w:rPr>
      </w:pPr>
    </w:p>
    <w:p w14:paraId="01A76CCD" w14:textId="025912B7" w:rsidR="009117F7" w:rsidRPr="00151C4A" w:rsidRDefault="009117F7" w:rsidP="00151C4A">
      <w:pPr>
        <w:spacing w:after="200" w:line="240" w:lineRule="auto"/>
        <w:jc w:val="both"/>
        <w:outlineLvl w:val="0"/>
        <w:rPr>
          <w:rFonts w:ascii="Times New Roman" w:hAnsi="Times New Roman" w:cs="Times New Roman"/>
          <w:b/>
          <w:bCs/>
          <w:sz w:val="24"/>
          <w:szCs w:val="24"/>
          <w:lang w:val="es-MX"/>
        </w:rPr>
      </w:pPr>
      <w:r w:rsidRPr="00151C4A">
        <w:rPr>
          <w:rFonts w:ascii="Times New Roman" w:hAnsi="Times New Roman" w:cs="Times New Roman"/>
          <w:b/>
          <w:bCs/>
          <w:sz w:val="24"/>
          <w:szCs w:val="24"/>
          <w:lang w:val="es-MX"/>
        </w:rPr>
        <w:t>VISTOS:</w:t>
      </w:r>
    </w:p>
    <w:p w14:paraId="2CE1BA5D" w14:textId="20BE4A14" w:rsidR="00C80F25" w:rsidRPr="00151C4A" w:rsidRDefault="00D12B6B"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con fecha 16 de septiembre de 2025, ………………… PERÚ COMPAÑÍA DE SEGUROS Y REASEGUROS (“…………………”) interpuso Recurso de Impugnación ante la Defensoría del Asegurado (“…………………”) contra la Resolución n.° 130/25 (la “Resolución Impugnada”) de fecha 25 de agosto de 2025, expedida por la Sala Colegiada a través de la cual se declaró PARCIALMENTE FUNDADO el reclamo presentado por el señor ………………… (“…………………”) contra ………………… para que se le otorgue cobertura completa por el siniestro inmobiliario sufrido el 14 de abril de 2024, de acuerdo con la Póliza Hipotecaria n.º ………………… (la “Póliza”).</w:t>
      </w:r>
    </w:p>
    <w:bookmarkEnd w:id="0"/>
    <w:bookmarkEnd w:id="1"/>
    <w:p w14:paraId="4FE7DD97" w14:textId="194BF27B" w:rsidR="00C80F25" w:rsidRPr="00151C4A" w:rsidRDefault="003D1A7E"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 solicita que se revoque la Resolución Impugnada y se declare infundado el reclamo del asegurado sobre la base de los siguientes argumentos: a) que, los conceptos de instalación de zócalos, herramientas manuales y supervisión de obra fueron correctamente rechazados por el Informe final; b) que, el Informe final concluye que los daños reclamados no constituyen daños por agua, sino derivados de los trabajos de reparación del desperfecto que originó el siniestro; c) que, el Informe final llegó a dicha conclusión en consideración a lo estipulado en las Condiciones Generales de la Póliza, la cual excluye de cobertura a aquellos gastos destinados a implementar modificaciones, mejoras, mantenimiento, reparaciones o arreglos en los bienes afectados, así como los gastos de reparación del desperfecto que originó la pérdida; d) que, las exclusiones deben interpretarse de manera literal, conforme a la Regla Séptima del Artículo IV de la Ley del Contrato de Seguro; e) que, los gastos vinculados a la instalación de zócalos, herramientas manuales y supervisión de obra se encuentran excluidos de la cobertura, al corresponder a reparaciones derivadas del desperfecto original y no a daños directos ocasionados por el agua; f) que, consideran inválidos los pagos por las coberturas de gastos de herramientas manuales y supervisión de obra, toda vez que derivan directamente de la reparación o reemplazo de zócalos, lo cual se encuentra excluido de la cobertura de la Póliza; y, g) que, solicita que el Colegiado revierta su criterio inicial y declare infundado el reclamo presentado por el asegurado en todos sus extremos.</w:t>
      </w:r>
    </w:p>
    <w:bookmarkEnd w:id="3"/>
    <w:p w14:paraId="7B2CEFD9" w14:textId="234315FF" w:rsidR="00CB3481" w:rsidRPr="00151C4A" w:rsidRDefault="002333AB"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27 de octubre de 2025, el señor ………………… absolvió el Recurso de Impugnación presentado por ………………… señalando lo siguiente: a) que, ………………… invoca la interpretación literal de exclusiones, pero omite el principio fundamental de la misma norma, que en caso de duda sobre el contenido de una estipulación del contrato de seguro, se aplica la interpretación más favorable al asegurado; b) que, la aplicación selectiva de la ley vulnera el equilibrio contractual y el principio pro consumidor que debe regir en materia de seguros; c) que, ………………… sostiene que los zócalos no demuestran daños ocasionados por agua, lo cual es técnicamente incorrecto; d) que, el siniestro cubierto fue una filtración de agua, los zócalos absorbieron humedad, requiriendo su remoción para permitir el secado de paredes, prevenir hongos y deterioro estructural, y, acceder a la estructura dañada por el agua; e) que, no es una mejora, es la reposición necesaria tras un daño directo por agua, la causa-efecto es clara, sin filtración de agua ni existe daño a zócalos; f) que, reponer zócalos con las mismas características que tenían antes del siniestro no es una mejora, es cumplir con el principio indemnizatorio del seguro, restituir al estado anterior; g) que, el desperfecto que originó la pérdida es la filtración, no los elementos dañados por ella; h) que, si aceptamos la tesis de …………………, ningún daño consecuencial estaría cubierto, esto contradice la naturaleza y finalidad de la cobertura contratada; i) que, ………………… pretende excluir, herramientas manuales y supervisión de obra, costos inherentes a toda reparación profesional, excluirlos equivaldría a cubrir el daño en teoría pero no en la práctica, lo cual es contrario al carácter indemnizatorio del contrato de seguro y a la buena fe contractual; j) que, si bien el informe del ajustador describe aspectos técnicos, la calificación justa de si un daño está o no cubierto corresponde a una interpretación contractual; k) que, la doctrina y jurisprudencia nacional establecen consistentemente que: 1. las exclusiones deben ser expresas, claras y específicas, 2. en caso de ambigüedad, se aplica el principio contra proferentem (contra quien redactó), 3. no puede excluirse la consecuencia natural y directa del riesgo cubierto; y, l) que, solicita rechazar el recurso impugnativo presentado por …………………. </w:t>
      </w:r>
    </w:p>
    <w:p w14:paraId="5E5FAFD2" w14:textId="23E536A4" w:rsidR="00EF15EF" w:rsidRPr="00151C4A" w:rsidRDefault="00EF15EF" w:rsidP="00151C4A">
      <w:pPr>
        <w:spacing w:after="200" w:line="240" w:lineRule="auto"/>
        <w:jc w:val="both"/>
        <w:rPr>
          <w:rFonts w:ascii="Times New Roman" w:hAnsi="Times New Roman" w:cs="Times New Roman"/>
          <w:color w:val="000000"/>
          <w:sz w:val="24"/>
          <w:szCs w:val="24"/>
          <w:lang w:val="es-PE"/>
        </w:rPr>
      </w:pPr>
      <w:r w:rsidRPr="00151C4A">
        <w:rPr>
          <w:rFonts w:ascii="Times New Roman" w:hAnsi="Times New Roman" w:cs="Times New Roman"/>
          <w:sz w:val="24"/>
          <w:szCs w:val="24"/>
          <w:lang w:val="es-PE"/>
        </w:rPr>
        <w:t>Al resolver, este Colegiado ha tomado en cuenta las argumentaciones de las partes expresadas a lo largo del procedimiento.</w:t>
      </w:r>
    </w:p>
    <w:p w14:paraId="7441012C" w14:textId="682DBE99" w:rsidR="00A90707" w:rsidRPr="00151C4A" w:rsidRDefault="00E07CB1" w:rsidP="00151C4A">
      <w:pPr>
        <w:spacing w:after="200" w:line="240" w:lineRule="auto"/>
        <w:jc w:val="both"/>
        <w:outlineLvl w:val="0"/>
        <w:rPr>
          <w:rFonts w:ascii="Times New Roman" w:hAnsi="Times New Roman" w:cs="Times New Roman"/>
          <w:b/>
          <w:bCs/>
          <w:sz w:val="24"/>
          <w:szCs w:val="24"/>
          <w:lang w:val="es-MX"/>
        </w:rPr>
      </w:pPr>
      <w:r w:rsidRPr="00151C4A">
        <w:rPr>
          <w:rFonts w:ascii="Times New Roman" w:hAnsi="Times New Roman" w:cs="Times New Roman"/>
          <w:b/>
          <w:bCs/>
          <w:sz w:val="24"/>
          <w:szCs w:val="24"/>
          <w:lang w:val="es-MX"/>
        </w:rPr>
        <w:t>C</w:t>
      </w:r>
      <w:r w:rsidR="00A90707" w:rsidRPr="00151C4A">
        <w:rPr>
          <w:rFonts w:ascii="Times New Roman" w:hAnsi="Times New Roman" w:cs="Times New Roman"/>
          <w:b/>
          <w:bCs/>
          <w:sz w:val="24"/>
          <w:szCs w:val="24"/>
          <w:lang w:val="es-MX"/>
        </w:rPr>
        <w:t>ONSIDERANDO:</w:t>
      </w:r>
    </w:p>
    <w:p w14:paraId="5B38040C" w14:textId="25F4C37E" w:rsidR="00142F5B" w:rsidRPr="00151C4A" w:rsidRDefault="00A90707"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del Reglamento de la DEFASEG (el “Reglamento”) establece que cualquiera de las partes que no se encuentre de acuerdo con la decisión adoptada por la Sala Colegiada sobre la materia reclamada, podrá cuestionarla, interponiendo el correspondiente Recurso de Impugnación. </w:t>
      </w:r>
    </w:p>
    <w:p w14:paraId="7918B6A4" w14:textId="27DFA49D" w:rsidR="00142F5B" w:rsidRPr="00151C4A" w:rsidRDefault="00142F5B"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su Recurso de Impugnación la empresa ………………… resuelto por la Sala Colegiada de esta Defensoría.</w:t>
      </w:r>
    </w:p>
    <w:p w14:paraId="76FCFB21" w14:textId="5A0D09AF" w:rsidR="00877125" w:rsidRPr="00151C4A" w:rsidRDefault="000D7E15"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SEGUNDO: Como hemos resumido en la sección de vistos, a través de su recurso impugnativo, la empresa ………………… Sala Colegiada sobre la base de los siguientes argumentos: i) discrepa respecto del extremo que tenga que brindar cobertura a la instalación de zócalos, y, por ende, a los gastos por herramientas manuales y supervisión técnica; ii) las exclusiones deben ser interpretadas literalmente; y, iii) los gastos incurridos por el asegurado derivan de la reparación de la vía de agua, puesto que no se ha evidenciado daño por agua en los zócalos. </w:t>
      </w:r>
    </w:p>
    <w:p w14:paraId="72C51D47" w14:textId="7241AA8D" w:rsidR="009A2234" w:rsidRPr="00151C4A" w:rsidRDefault="00137429"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TERCERO: De acuerdo con lo señalado en el recurso impugnativo de …………………, es claro que corresponde en esta instancia, determinar si la reparación de los zócalos constituye un gasto derivado de la reparación del desperfecto, en cuyo caso nos encontramos ante una exclusión. </w:t>
      </w:r>
    </w:p>
    <w:p w14:paraId="26E8C3F6" w14:textId="157A54E8" w:rsidR="003C0299" w:rsidRPr="00151C4A" w:rsidRDefault="003C0299"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 señala correctamente en su recurso impugnativo que la Regla Séptima del Artículo IV de la Ley del Contrato de Seguro señala que las exclusiones deben interpretarse literalmente. Sin embargo, como contrapeso a lo señalado en el mencionado dispositivo, debe tenerse en cuenta lo dispuesto en el artículo 77 de la Ley del Contrato de Seguro, artículo que pone en cabeza de la empresa ………………… ocurrió efectivamente. Para este Colegiado, siguiendo la jurisprudencia agregada en la materia, una exclusión solo es oponible al asegurado si la empresa ………………… «test de exclusión», lo que implica demostrar el supuesto de hecho que la activa, tal como es de conocimiento de la empresa aseguradora, pues fue desarrollado ampliamente al momento de resolver la Resolución Impugnada. </w:t>
      </w:r>
    </w:p>
    <w:p w14:paraId="75CBF42E" w14:textId="2DDA1ACE" w:rsidR="0016763E" w:rsidRPr="00151C4A" w:rsidRDefault="006B7AF8"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El Informe Técnico -en un aspecto respecto del cual no se pronunciado el Informe final-, señala como causa del siniestro, la rotura de las tuberías del inmueble en múltiples puntos. Esta rotura produjo una serie de filtraciones, las cuales permitieron que el agua avanzara a través del muro y hacia el piso de la cocina y lavandería, provocando que el agua se derrame por los dos ambientes. </w:t>
      </w:r>
    </w:p>
    <w:p w14:paraId="5EF21B29" w14:textId="2716A360" w:rsidR="0016763E" w:rsidRPr="00151C4A" w:rsidRDefault="00534B05" w:rsidP="00151C4A">
      <w:pPr>
        <w:spacing w:after="200" w:line="240" w:lineRule="auto"/>
        <w:jc w:val="both"/>
        <w:rPr>
          <w:rFonts w:ascii="Times New Roman" w:hAnsi="Times New Roman" w:cs="Times New Roman"/>
          <w:sz w:val="24"/>
          <w:szCs w:val="24"/>
          <w:lang w:val="es-PE"/>
        </w:rPr>
      </w:pPr>
      <w:r w:rsidRPr="00151C4A">
        <w:rPr>
          <w:rFonts w:ascii="Times New Roman" w:hAnsi="Times New Roman" w:cs="Times New Roman"/>
          <w:sz w:val="24"/>
          <w:szCs w:val="24"/>
          <w:lang w:val="es-PE"/>
        </w:rPr>
        <w:t>S</w:t>
      </w:r>
      <w:r w:rsidR="006B7AF8" w:rsidRPr="00151C4A">
        <w:rPr>
          <w:rFonts w:ascii="Times New Roman" w:hAnsi="Times New Roman" w:cs="Times New Roman"/>
          <w:sz w:val="24"/>
          <w:szCs w:val="24"/>
          <w:lang w:val="es-PE"/>
        </w:rPr>
        <w:t xml:space="preserve">i bien el Informe </w:t>
      </w:r>
      <w:r w:rsidR="00E10D0D" w:rsidRPr="00151C4A">
        <w:rPr>
          <w:rFonts w:ascii="Times New Roman" w:hAnsi="Times New Roman" w:cs="Times New Roman"/>
          <w:sz w:val="24"/>
          <w:szCs w:val="24"/>
          <w:lang w:val="es-PE"/>
        </w:rPr>
        <w:t>f</w:t>
      </w:r>
      <w:r w:rsidR="006B7AF8" w:rsidRPr="00151C4A">
        <w:rPr>
          <w:rFonts w:ascii="Times New Roman" w:hAnsi="Times New Roman" w:cs="Times New Roman"/>
          <w:sz w:val="24"/>
          <w:szCs w:val="24"/>
          <w:lang w:val="es-PE"/>
        </w:rPr>
        <w:t xml:space="preserve">inal indica que </w:t>
      </w:r>
      <w:r w:rsidR="006B7AF8" w:rsidRPr="00151C4A">
        <w:rPr>
          <w:rFonts w:ascii="Times New Roman" w:hAnsi="Times New Roman" w:cs="Times New Roman"/>
          <w:i/>
          <w:iCs/>
          <w:sz w:val="24"/>
          <w:szCs w:val="24"/>
          <w:lang w:val="es-PE"/>
        </w:rPr>
        <w:t>«[n]o presenta daño por agua; la reposición del zócalo es por la ejecución de los trabajos de reparación del desperfecto</w:t>
      </w:r>
      <w:r w:rsidR="006B7AF8" w:rsidRPr="00151C4A">
        <w:rPr>
          <w:rFonts w:ascii="Times New Roman" w:hAnsi="Times New Roman" w:cs="Times New Roman"/>
          <w:sz w:val="24"/>
          <w:szCs w:val="24"/>
          <w:lang w:val="es-PE"/>
        </w:rPr>
        <w:t>»,</w:t>
      </w:r>
      <w:r w:rsidR="007146E7" w:rsidRPr="00151C4A">
        <w:rPr>
          <w:rFonts w:ascii="Times New Roman" w:hAnsi="Times New Roman" w:cs="Times New Roman"/>
          <w:sz w:val="24"/>
          <w:szCs w:val="24"/>
          <w:lang w:val="es-PE"/>
        </w:rPr>
        <w:t xml:space="preserve"> este Colegiado considera que no</w:t>
      </w:r>
      <w:r w:rsidR="0003104E" w:rsidRPr="00151C4A">
        <w:rPr>
          <w:rFonts w:ascii="Times New Roman" w:hAnsi="Times New Roman" w:cs="Times New Roman"/>
          <w:sz w:val="24"/>
          <w:szCs w:val="24"/>
          <w:lang w:val="es-PE"/>
        </w:rPr>
        <w:t xml:space="preserve"> se</w:t>
      </w:r>
      <w:r w:rsidR="007146E7" w:rsidRPr="00151C4A">
        <w:rPr>
          <w:rFonts w:ascii="Times New Roman" w:hAnsi="Times New Roman" w:cs="Times New Roman"/>
          <w:sz w:val="24"/>
          <w:szCs w:val="24"/>
          <w:lang w:val="es-PE"/>
        </w:rPr>
        <w:t xml:space="preserve"> toma en cuenta que </w:t>
      </w:r>
      <w:r w:rsidR="006B7AF8" w:rsidRPr="00151C4A">
        <w:rPr>
          <w:rFonts w:ascii="Times New Roman" w:hAnsi="Times New Roman" w:cs="Times New Roman"/>
          <w:sz w:val="24"/>
          <w:szCs w:val="24"/>
          <w:lang w:val="es-PE"/>
        </w:rPr>
        <w:t>los zócalos son elementos</w:t>
      </w:r>
      <w:r w:rsidR="007146E7" w:rsidRPr="00151C4A">
        <w:rPr>
          <w:rFonts w:ascii="Times New Roman" w:hAnsi="Times New Roman" w:cs="Times New Roman"/>
          <w:sz w:val="24"/>
          <w:szCs w:val="24"/>
          <w:lang w:val="es-PE"/>
        </w:rPr>
        <w:t xml:space="preserve"> arquitectónicos </w:t>
      </w:r>
      <w:r w:rsidR="006B7AF8" w:rsidRPr="00151C4A">
        <w:rPr>
          <w:rFonts w:ascii="Times New Roman" w:hAnsi="Times New Roman" w:cs="Times New Roman"/>
          <w:sz w:val="24"/>
          <w:szCs w:val="24"/>
          <w:lang w:val="es-PE"/>
        </w:rPr>
        <w:t xml:space="preserve">ubicados en la parte inferior de muros y columnas y, por esta naturaleza, susceptibles de </w:t>
      </w:r>
      <w:r w:rsidR="007146E7" w:rsidRPr="00151C4A">
        <w:rPr>
          <w:rFonts w:ascii="Times New Roman" w:hAnsi="Times New Roman" w:cs="Times New Roman"/>
          <w:sz w:val="24"/>
          <w:szCs w:val="24"/>
          <w:lang w:val="es-PE"/>
        </w:rPr>
        <w:t xml:space="preserve">sufrir los efectos de la </w:t>
      </w:r>
      <w:r w:rsidR="006B7AF8" w:rsidRPr="00151C4A">
        <w:rPr>
          <w:rFonts w:ascii="Times New Roman" w:hAnsi="Times New Roman" w:cs="Times New Roman"/>
          <w:sz w:val="24"/>
          <w:szCs w:val="24"/>
          <w:lang w:val="es-PE"/>
        </w:rPr>
        <w:t>humedad en caso</w:t>
      </w:r>
      <w:r w:rsidR="00CB4A2C" w:rsidRPr="00151C4A">
        <w:rPr>
          <w:rFonts w:ascii="Times New Roman" w:hAnsi="Times New Roman" w:cs="Times New Roman"/>
          <w:sz w:val="24"/>
          <w:szCs w:val="24"/>
          <w:lang w:val="es-PE"/>
        </w:rPr>
        <w:t>s</w:t>
      </w:r>
      <w:r w:rsidR="006B7AF8" w:rsidRPr="00151C4A">
        <w:rPr>
          <w:rFonts w:ascii="Times New Roman" w:hAnsi="Times New Roman" w:cs="Times New Roman"/>
          <w:sz w:val="24"/>
          <w:szCs w:val="24"/>
          <w:lang w:val="es-PE"/>
        </w:rPr>
        <w:t xml:space="preserve"> de fuga</w:t>
      </w:r>
      <w:r w:rsidR="00CB4A2C" w:rsidRPr="00151C4A">
        <w:rPr>
          <w:rFonts w:ascii="Times New Roman" w:hAnsi="Times New Roman" w:cs="Times New Roman"/>
          <w:sz w:val="24"/>
          <w:szCs w:val="24"/>
          <w:lang w:val="es-PE"/>
        </w:rPr>
        <w:t>s</w:t>
      </w:r>
      <w:r w:rsidR="006B7AF8" w:rsidRPr="00151C4A">
        <w:rPr>
          <w:rFonts w:ascii="Times New Roman" w:hAnsi="Times New Roman" w:cs="Times New Roman"/>
          <w:sz w:val="24"/>
          <w:szCs w:val="24"/>
          <w:lang w:val="es-PE"/>
        </w:rPr>
        <w:t xml:space="preserve"> de agua. </w:t>
      </w:r>
    </w:p>
    <w:p w14:paraId="3CA96D36" w14:textId="01153C0C" w:rsidR="003C0299" w:rsidRPr="00151C4A" w:rsidRDefault="003A2AA0"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En este extremo, ………………… se ha limitado a repetir lo señalado por Master Ajustadores de Seguros en su Informe final, en el sentido que los zócalos «no presentan daño por agua», sin embargo, dicho documento no constituye una pericia técnica que desvirtúe las conclusiones a las que arribó este Colegiado en la Resolución Impugnada. </w:t>
      </w:r>
    </w:p>
    <w:p w14:paraId="1530B100" w14:textId="6CD34AAB" w:rsidR="009622FB" w:rsidRPr="00151C4A" w:rsidRDefault="00133894"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Para este Colegiado, ………………… no ha cumplido con la prueba de exclusiones, así como tampoco con lo dispuesto en el artículo 77 de la Ley del Contrato de Seguro, en el sentido que no ha probado el supuesto que activa la exclusión, esto es, que los zócalos no se vieron afectados por la fuga de agua y que, por el contrario, su reemplazo se debió a los trabajos de reparación del desperfecto. </w:t>
      </w:r>
    </w:p>
    <w:p w14:paraId="0A71F8D0" w14:textId="5FAFA436" w:rsidR="009622FB" w:rsidRPr="00151C4A" w:rsidRDefault="009622FB"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Respecto de las partidas accesorias, correspondientes a las partidas por herramientas manuales y supervisión de obra, cabe destacar que en la Resolución Impugnada se consideró que dichos gastos debían calcularse proporcionalmente al valor del costo de instalación de los zócalos dentro del total de gastos incurridos por concepto de reparación de la tubería que ocasionó el siniestro. En dicha medida, dado que se ha determinado que la reposición de los zócalos debe ser cubierta por la empresa aseguradora, la misma suerte deben correr estas partidas accesorias, lógica que por otro lado es coincidente con lo señalado por ………………… en su Recurso impugnativo.</w:t>
      </w:r>
    </w:p>
    <w:p w14:paraId="38AC3944" w14:textId="4348CAD7" w:rsidR="00016B4E" w:rsidRPr="00151C4A" w:rsidRDefault="00016B4E"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De acuerdo con las Condiciones generales de la Póliza, no son indemnizables aquellos gastos de reparación del desperfecto que originó el daño cubierto por la Póliza, así como tampoco, aquellos costos incurridos para implementar mejoras, mantenimiento, reparaciones o arreglos, en los bienes dañados por el siniestro. Criterio que ha sido respetado en la Resolución Impugnada, en la medida que no se reconocen los gastos incluidos en las demás 16 partidas, precisamente por considerar el Colegiado que se encontraban dentro de las exclusiones pactadas, como son aquellas por: detección de la fuga, desmontaje e instalación del lavadero, demolición de pisos y muro de la cocina y lavandería, cambio de tuberías, reinstalación de pared y piso, sellado de juntas y uniones, pruebas de presión, aplicación de antisalitre en muros bajos, entre otras. La Resolución Impugnada solo dispone que se cubra la reparación de un elemento que sí había sido dañado por el agua, dada la naturaleza del siniestro y sus características, y, como consecuencia de ello, también se debían cubrir dos partidas accesorias adicionales, proporcionalmente a su participación en el costo de reposición del elemento dañado (zócalos). </w:t>
      </w:r>
    </w:p>
    <w:p w14:paraId="68E2C4AF" w14:textId="733672E2" w:rsidR="007A0506" w:rsidRPr="00151C4A" w:rsidRDefault="00B17DB2"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Por lo tanto, en la medida que ………………… no ha cumplido con acreditar que los zócalos no fueron afectados por agua o que su reposición constituye una mejora o mantenimiento, este Colegiado no encuentra razón para variar el sentido de lo resuelto en la Resolución Impugnada. </w:t>
      </w:r>
    </w:p>
    <w:p w14:paraId="4D599CF7" w14:textId="7F8422A8" w:rsidR="00204272" w:rsidRPr="00151C4A" w:rsidRDefault="00204272"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CUARTO: Se aprecia de la revisión integral del recurso impugnativo, que la empresa ………………… decisión emitida por la Sala Colegiada de la DEFASEG. Este Colegiado advierte que el recurso presentado se configura, en esencia, como una solicitud de revisión general, sustentada únicamente en la reiteración de alegaciones que ya fueron examinadas y desestimadas en su oportunidad, sin identificar nuevos hechos o incorporar medios probatorios adicionales que permitan advertir la existencia de un error de hecho o de derecho en la Resolución Impugnada. Por tales razones, este Colegiado ratifica los fundamentos y conclusiones ya expuestos en su oportunidad.</w:t>
      </w:r>
    </w:p>
    <w:p w14:paraId="3356E798" w14:textId="51F8B58C" w:rsidR="006E1CCD" w:rsidRPr="00151C4A" w:rsidRDefault="00B17DB2" w:rsidP="00151C4A">
      <w:pPr>
        <w:spacing w:after="200" w:line="240" w:lineRule="auto"/>
        <w:jc w:val="both"/>
        <w:rPr>
          <w:rFonts w:ascii="Times New Roman" w:hAnsi="Times New Roman" w:cs="Times New Roman"/>
          <w:sz w:val="24"/>
          <w:szCs w:val="24"/>
          <w:lang w:val="es-PE"/>
        </w:rPr>
      </w:pPr>
      <w:r w:rsidRPr="00151C4A">
        <w:rPr>
          <w:rFonts w:ascii="Times New Roman" w:hAnsi="Times New Roman" w:cs="Times New Roman"/>
          <w:sz w:val="24"/>
          <w:szCs w:val="24"/>
          <w:lang w:val="es-PE"/>
        </w:rPr>
        <w:t>E</w:t>
      </w:r>
      <w:r w:rsidR="006E1CCD" w:rsidRPr="00151C4A">
        <w:rPr>
          <w:rFonts w:ascii="Times New Roman" w:hAnsi="Times New Roman" w:cs="Times New Roman"/>
          <w:sz w:val="24"/>
          <w:szCs w:val="24"/>
          <w:lang w:val="es-PE"/>
        </w:rPr>
        <w:t>n consecuencia, esta Defensoría del Asegurado concluye su apreciación razonada y conjunta al amparo de lo establecido en su Reglamento, por lo que:</w:t>
      </w:r>
    </w:p>
    <w:p w14:paraId="27FF9234" w14:textId="77777777" w:rsidR="006E1CCD" w:rsidRPr="00151C4A" w:rsidRDefault="006E1CCD" w:rsidP="00151C4A">
      <w:pPr>
        <w:spacing w:after="200" w:line="240" w:lineRule="auto"/>
        <w:jc w:val="both"/>
        <w:rPr>
          <w:rFonts w:ascii="Times New Roman" w:hAnsi="Times New Roman" w:cs="Times New Roman"/>
          <w:b/>
          <w:bCs/>
          <w:sz w:val="24"/>
          <w:szCs w:val="24"/>
          <w:u w:val="single"/>
          <w:lang w:val="es-PE"/>
        </w:rPr>
      </w:pPr>
      <w:r w:rsidRPr="00151C4A">
        <w:rPr>
          <w:rFonts w:ascii="Times New Roman" w:hAnsi="Times New Roman" w:cs="Times New Roman"/>
          <w:b/>
          <w:bCs/>
          <w:sz w:val="24"/>
          <w:szCs w:val="24"/>
          <w:lang w:val="es-PE"/>
        </w:rPr>
        <w:t>RESUELVE:</w:t>
      </w:r>
    </w:p>
    <w:p w14:paraId="19E19112" w14:textId="492A2A92" w:rsidR="00FF5B03" w:rsidRPr="00151C4A" w:rsidRDefault="00AB4214" w:rsidP="00151C4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de Impugnación interpuesto por ………………… PERÚ COMPAÑÍA DE SEGUROS Y REASEGUROS contra la Resolución n.° 130/25 de fecha 25 de agosto de 2025; y, en consecuencia, CONFIRMAR todos sus extremos.</w:t>
      </w:r>
    </w:p>
    <w:p w14:paraId="5ED79E9E" w14:textId="07C73270" w:rsidR="00033B9E" w:rsidRPr="00151C4A" w:rsidRDefault="00033B9E" w:rsidP="00151C4A">
      <w:pPr>
        <w:spacing w:after="200" w:line="240" w:lineRule="auto"/>
        <w:jc w:val="right"/>
        <w:rPr>
          <w:rFonts w:ascii="Times New Roman" w:hAnsi="Times New Roman" w:cs="Times New Roman"/>
          <w:sz w:val="24"/>
          <w:szCs w:val="24"/>
          <w:lang w:val="es-PE"/>
        </w:rPr>
      </w:pPr>
      <w:r w:rsidRPr="00151C4A">
        <w:rPr>
          <w:rFonts w:ascii="Times New Roman" w:hAnsi="Times New Roman" w:cs="Times New Roman"/>
          <w:sz w:val="24"/>
          <w:szCs w:val="24"/>
          <w:lang w:val="es-PE"/>
        </w:rPr>
        <w:t xml:space="preserve">Lima, </w:t>
      </w:r>
      <w:r w:rsidR="009622FB" w:rsidRPr="00151C4A">
        <w:rPr>
          <w:rFonts w:ascii="Times New Roman" w:hAnsi="Times New Roman" w:cs="Times New Roman"/>
          <w:sz w:val="24"/>
          <w:szCs w:val="24"/>
          <w:lang w:val="es-PE"/>
        </w:rPr>
        <w:t>2</w:t>
      </w:r>
      <w:r w:rsidR="00151C4A" w:rsidRPr="00151C4A">
        <w:rPr>
          <w:rFonts w:ascii="Times New Roman" w:hAnsi="Times New Roman" w:cs="Times New Roman"/>
          <w:sz w:val="24"/>
          <w:szCs w:val="24"/>
          <w:lang w:val="es-PE"/>
        </w:rPr>
        <w:t>1</w:t>
      </w:r>
      <w:r w:rsidRPr="00151C4A">
        <w:rPr>
          <w:rFonts w:ascii="Times New Roman" w:hAnsi="Times New Roman" w:cs="Times New Roman"/>
          <w:sz w:val="24"/>
          <w:szCs w:val="24"/>
          <w:lang w:val="es-PE"/>
        </w:rPr>
        <w:t xml:space="preserve"> de </w:t>
      </w:r>
      <w:r w:rsidR="00CA52B4" w:rsidRPr="00151C4A">
        <w:rPr>
          <w:rFonts w:ascii="Times New Roman" w:hAnsi="Times New Roman" w:cs="Times New Roman"/>
          <w:sz w:val="24"/>
          <w:szCs w:val="24"/>
          <w:lang w:val="es-PE"/>
        </w:rPr>
        <w:t xml:space="preserve">noviembre </w:t>
      </w:r>
      <w:r w:rsidRPr="00151C4A">
        <w:rPr>
          <w:rFonts w:ascii="Times New Roman" w:hAnsi="Times New Roman" w:cs="Times New Roman"/>
          <w:sz w:val="24"/>
          <w:szCs w:val="24"/>
          <w:lang w:val="es-PE"/>
        </w:rPr>
        <w:t xml:space="preserve">de 2025 </w:t>
      </w:r>
    </w:p>
    <w:p w14:paraId="10ECF88E" w14:textId="77777777" w:rsidR="00033B9E" w:rsidRPr="00151C4A" w:rsidRDefault="00033B9E" w:rsidP="00151C4A">
      <w:pPr>
        <w:suppressAutoHyphens/>
        <w:spacing w:after="0" w:line="240" w:lineRule="auto"/>
        <w:outlineLvl w:val="0"/>
        <w:rPr>
          <w:rFonts w:ascii="Times New Roman" w:eastAsia="Times New Roman" w:hAnsi="Times New Roman" w:cs="Times New Roman"/>
          <w:sz w:val="24"/>
          <w:szCs w:val="24"/>
          <w:lang w:val="es-PE" w:eastAsia="ar-SA"/>
        </w:rPr>
      </w:pPr>
    </w:p>
    <w:p w14:paraId="6E081B4D" w14:textId="77777777" w:rsidR="00033B9E" w:rsidRPr="00151C4A" w:rsidRDefault="00033B9E" w:rsidP="00151C4A">
      <w:pPr>
        <w:spacing w:after="200" w:line="240" w:lineRule="auto"/>
        <w:jc w:val="both"/>
        <w:rPr>
          <w:rFonts w:ascii="Times New Roman" w:hAnsi="Times New Roman" w:cs="Times New Roman"/>
          <w:b/>
          <w:bCs/>
          <w:i/>
          <w:iCs/>
          <w:sz w:val="24"/>
          <w:szCs w:val="24"/>
          <w:lang w:val="es-PE"/>
        </w:rPr>
      </w:pPr>
      <w:r w:rsidRPr="00151C4A">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480C5042" w14:textId="7DC746C6" w:rsidR="00033B9E" w:rsidRPr="00151C4A" w:rsidRDefault="00151C4A" w:rsidP="00151C4A">
      <w:pPr>
        <w:spacing w:after="0" w:line="360" w:lineRule="auto"/>
        <w:jc w:val="center"/>
        <w:rPr>
          <w:rFonts w:ascii="Times New Roman" w:hAnsi="Times New Roman" w:cs="Times New Roman"/>
          <w:b/>
          <w:bCs/>
          <w:sz w:val="24"/>
          <w:szCs w:val="24"/>
          <w:lang w:val="es-PE"/>
        </w:rPr>
      </w:pPr>
      <w:r w:rsidRPr="00151C4A">
        <w:rPr>
          <w:rFonts w:ascii="Times New Roman" w:hAnsi="Times New Roman" w:cs="Times New Roman"/>
          <w:b/>
          <w:bCs/>
          <w:sz w:val="24"/>
          <w:szCs w:val="24"/>
          <w:lang w:val="es-PE"/>
        </w:rPr>
        <w:t xml:space="preserve">Antonio Rodriguez Lobatón </w:t>
      </w:r>
      <w:r w:rsidR="00033B9E" w:rsidRPr="00151C4A">
        <w:rPr>
          <w:rFonts w:ascii="Times New Roman" w:hAnsi="Times New Roman" w:cs="Times New Roman"/>
          <w:b/>
          <w:bCs/>
          <w:sz w:val="24"/>
          <w:szCs w:val="24"/>
          <w:lang w:val="es-PE"/>
        </w:rPr>
        <w:t xml:space="preserve">- </w:t>
      </w:r>
      <w:proofErr w:type="gramStart"/>
      <w:r w:rsidR="00033B9E" w:rsidRPr="00151C4A">
        <w:rPr>
          <w:rFonts w:ascii="Times New Roman" w:hAnsi="Times New Roman" w:cs="Times New Roman"/>
          <w:b/>
          <w:bCs/>
          <w:sz w:val="24"/>
          <w:szCs w:val="24"/>
          <w:lang w:val="es-PE"/>
        </w:rPr>
        <w:t>Presidente</w:t>
      </w:r>
      <w:proofErr w:type="gramEnd"/>
    </w:p>
    <w:p w14:paraId="1B6FD469" w14:textId="77777777" w:rsidR="00033B9E" w:rsidRPr="00151C4A" w:rsidRDefault="00033B9E" w:rsidP="00151C4A">
      <w:pPr>
        <w:spacing w:after="0" w:line="360" w:lineRule="auto"/>
        <w:jc w:val="center"/>
        <w:rPr>
          <w:rFonts w:ascii="Times New Roman" w:hAnsi="Times New Roman" w:cs="Times New Roman"/>
          <w:b/>
          <w:bCs/>
          <w:sz w:val="24"/>
          <w:szCs w:val="24"/>
          <w:lang w:val="es-PE"/>
        </w:rPr>
      </w:pPr>
      <w:r w:rsidRPr="00151C4A">
        <w:rPr>
          <w:rFonts w:ascii="Times New Roman" w:hAnsi="Times New Roman" w:cs="Times New Roman"/>
          <w:b/>
          <w:bCs/>
          <w:sz w:val="24"/>
          <w:szCs w:val="24"/>
          <w:lang w:val="es-PE"/>
        </w:rPr>
        <w:t>María Eugenia Valdez Fernández Baca - Vocal</w:t>
      </w:r>
    </w:p>
    <w:p w14:paraId="01BF34EE" w14:textId="51C05359" w:rsidR="00001989" w:rsidRPr="00151C4A" w:rsidRDefault="00151C4A" w:rsidP="00151C4A">
      <w:pPr>
        <w:spacing w:after="200" w:line="240" w:lineRule="auto"/>
        <w:jc w:val="center"/>
        <w:rPr>
          <w:rFonts w:ascii="Times New Roman" w:hAnsi="Times New Roman" w:cs="Times New Roman"/>
          <w:b/>
          <w:bCs/>
          <w:sz w:val="24"/>
          <w:szCs w:val="24"/>
          <w:lang w:val="es-PE"/>
        </w:rPr>
      </w:pPr>
      <w:r w:rsidRPr="00151C4A">
        <w:rPr>
          <w:rFonts w:ascii="Times New Roman" w:hAnsi="Times New Roman" w:cs="Times New Roman"/>
          <w:b/>
          <w:bCs/>
          <w:sz w:val="24"/>
          <w:szCs w:val="24"/>
          <w:lang w:val="es-PE"/>
        </w:rPr>
        <w:t xml:space="preserve">Rolando Eyzaguirre </w:t>
      </w:r>
      <w:proofErr w:type="spellStart"/>
      <w:r w:rsidRPr="00151C4A">
        <w:rPr>
          <w:rFonts w:ascii="Times New Roman" w:hAnsi="Times New Roman" w:cs="Times New Roman"/>
          <w:b/>
          <w:bCs/>
          <w:sz w:val="24"/>
          <w:szCs w:val="24"/>
          <w:lang w:val="es-PE"/>
        </w:rPr>
        <w:t>Maccan</w:t>
      </w:r>
      <w:proofErr w:type="spellEnd"/>
      <w:r w:rsidR="00033B9E" w:rsidRPr="00151C4A">
        <w:rPr>
          <w:rFonts w:ascii="Times New Roman" w:hAnsi="Times New Roman" w:cs="Times New Roman"/>
          <w:b/>
          <w:bCs/>
          <w:sz w:val="24"/>
          <w:szCs w:val="24"/>
          <w:lang w:val="es-PE"/>
        </w:rPr>
        <w:t>– Vocal</w:t>
      </w:r>
      <w:bookmarkEnd w:id="5"/>
    </w:p>
    <w:sectPr w:rsidR="00001989" w:rsidRPr="00151C4A"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689D3" w14:textId="77777777" w:rsidR="00DE2E96" w:rsidRDefault="00DE2E96" w:rsidP="00784355">
      <w:pPr>
        <w:spacing w:after="0" w:line="240" w:lineRule="auto"/>
      </w:pPr>
      <w:r>
        <w:separator/>
      </w:r>
    </w:p>
  </w:endnote>
  <w:endnote w:type="continuationSeparator" w:id="0">
    <w:p w14:paraId="1823E8CF" w14:textId="77777777" w:rsidR="00DE2E96" w:rsidRDefault="00DE2E96"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13C38AB9" w:rsidR="00C671F5" w:rsidRPr="00151C4A" w:rsidRDefault="00C671F5">
            <w:pPr>
              <w:pStyle w:val="Piedepgina"/>
              <w:jc w:val="right"/>
              <w:rPr>
                <w:rFonts w:ascii="Times New Roman" w:hAnsi="Times New Roman" w:cs="Times New Roman"/>
                <w:sz w:val="18"/>
                <w:szCs w:val="18"/>
              </w:rPr>
            </w:pPr>
            <w:r w:rsidRPr="00151C4A">
              <w:rPr>
                <w:rFonts w:ascii="Times New Roman" w:hAnsi="Times New Roman" w:cs="Times New Roman"/>
                <w:sz w:val="18"/>
                <w:szCs w:val="18"/>
                <w:lang w:val="es-ES"/>
              </w:rPr>
              <w:t xml:space="preserve">Página </w:t>
            </w:r>
            <w:r w:rsidRPr="00151C4A">
              <w:rPr>
                <w:rFonts w:ascii="Times New Roman" w:hAnsi="Times New Roman" w:cs="Times New Roman"/>
                <w:b/>
                <w:bCs/>
                <w:sz w:val="18"/>
                <w:szCs w:val="18"/>
              </w:rPr>
              <w:fldChar w:fldCharType="begin"/>
            </w:r>
            <w:r w:rsidRPr="00151C4A">
              <w:rPr>
                <w:rFonts w:ascii="Times New Roman" w:hAnsi="Times New Roman" w:cs="Times New Roman"/>
                <w:b/>
                <w:bCs/>
                <w:sz w:val="18"/>
                <w:szCs w:val="18"/>
              </w:rPr>
              <w:instrText>PAGE</w:instrText>
            </w:r>
            <w:r w:rsidRPr="00151C4A">
              <w:rPr>
                <w:rFonts w:ascii="Times New Roman" w:hAnsi="Times New Roman" w:cs="Times New Roman"/>
                <w:b/>
                <w:bCs/>
                <w:sz w:val="18"/>
                <w:szCs w:val="18"/>
              </w:rPr>
              <w:fldChar w:fldCharType="separate"/>
            </w:r>
            <w:r w:rsidRPr="00151C4A">
              <w:rPr>
                <w:rFonts w:ascii="Times New Roman" w:hAnsi="Times New Roman" w:cs="Times New Roman"/>
                <w:b/>
                <w:bCs/>
                <w:sz w:val="18"/>
                <w:szCs w:val="18"/>
                <w:lang w:val="es-ES"/>
              </w:rPr>
              <w:t>2</w:t>
            </w:r>
            <w:r w:rsidRPr="00151C4A">
              <w:rPr>
                <w:rFonts w:ascii="Times New Roman" w:hAnsi="Times New Roman" w:cs="Times New Roman"/>
                <w:b/>
                <w:bCs/>
                <w:sz w:val="18"/>
                <w:szCs w:val="18"/>
              </w:rPr>
              <w:fldChar w:fldCharType="end"/>
            </w:r>
            <w:r w:rsidRPr="00151C4A">
              <w:rPr>
                <w:rFonts w:ascii="Times New Roman" w:hAnsi="Times New Roman" w:cs="Times New Roman"/>
                <w:sz w:val="18"/>
                <w:szCs w:val="18"/>
                <w:lang w:val="es-ES"/>
              </w:rPr>
              <w:t xml:space="preserve"> de </w:t>
            </w:r>
            <w:r w:rsidRPr="00151C4A">
              <w:rPr>
                <w:rFonts w:ascii="Times New Roman" w:hAnsi="Times New Roman" w:cs="Times New Roman"/>
                <w:b/>
                <w:bCs/>
                <w:sz w:val="18"/>
                <w:szCs w:val="18"/>
              </w:rPr>
              <w:fldChar w:fldCharType="begin"/>
            </w:r>
            <w:r w:rsidRPr="00151C4A">
              <w:rPr>
                <w:rFonts w:ascii="Times New Roman" w:hAnsi="Times New Roman" w:cs="Times New Roman"/>
                <w:b/>
                <w:bCs/>
                <w:sz w:val="18"/>
                <w:szCs w:val="18"/>
              </w:rPr>
              <w:instrText>NUMPAGES</w:instrText>
            </w:r>
            <w:r w:rsidRPr="00151C4A">
              <w:rPr>
                <w:rFonts w:ascii="Times New Roman" w:hAnsi="Times New Roman" w:cs="Times New Roman"/>
                <w:b/>
                <w:bCs/>
                <w:sz w:val="18"/>
                <w:szCs w:val="18"/>
              </w:rPr>
              <w:fldChar w:fldCharType="separate"/>
            </w:r>
            <w:r w:rsidRPr="00151C4A">
              <w:rPr>
                <w:rFonts w:ascii="Times New Roman" w:hAnsi="Times New Roman" w:cs="Times New Roman"/>
                <w:b/>
                <w:bCs/>
                <w:sz w:val="18"/>
                <w:szCs w:val="18"/>
                <w:lang w:val="es-ES"/>
              </w:rPr>
              <w:t>2</w:t>
            </w:r>
            <w:r w:rsidRPr="00151C4A">
              <w:rPr>
                <w:rFonts w:ascii="Times New Roman" w:hAnsi="Times New Roman" w:cs="Times New Roman"/>
                <w:b/>
                <w:bCs/>
                <w:sz w:val="18"/>
                <w:szCs w:val="18"/>
              </w:rPr>
              <w:fldChar w:fldCharType="end"/>
            </w:r>
          </w:p>
        </w:sdtContent>
      </w:sdt>
    </w:sdtContent>
  </w:sdt>
  <w:p w14:paraId="3BA05C52" w14:textId="77777777" w:rsidR="00784355" w:rsidRPr="00151C4A" w:rsidRDefault="00784355">
    <w:pPr>
      <w:pStyle w:val="Piedepgina"/>
      <w:spacing w:line="240" w:lineRule="auto"/>
      <w:rPr>
        <w:rFonts w:ascii="Times New Roman" w:hAnsi="Times New Roman" w:cs="Times New Roman"/>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26B11" w14:textId="77777777" w:rsidR="00DE2E96" w:rsidRDefault="00DE2E96" w:rsidP="00784355">
      <w:pPr>
        <w:spacing w:after="0" w:line="240" w:lineRule="auto"/>
      </w:pPr>
      <w:r>
        <w:separator/>
      </w:r>
    </w:p>
  </w:footnote>
  <w:footnote w:type="continuationSeparator" w:id="0">
    <w:p w14:paraId="6A02B006" w14:textId="77777777" w:rsidR="00DE2E96" w:rsidRDefault="00DE2E96" w:rsidP="00784355">
      <w:pPr>
        <w:spacing w:after="0" w:line="240" w:lineRule="auto"/>
      </w:pPr>
      <w:r>
        <w:continuationSeparator/>
      </w:r>
    </w:p>
  </w:footnote>
  <w:footnote w:id="1">
    <w:p w14:paraId="35C9219B" w14:textId="01827B8E" w:rsidR="00F81975" w:rsidRPr="00151C4A" w:rsidRDefault="00F81975" w:rsidP="00F81975">
      <w:pPr>
        <w:pStyle w:val="Textonotapie"/>
        <w:tabs>
          <w:tab w:val="left" w:pos="284"/>
        </w:tabs>
        <w:spacing w:after="60"/>
        <w:ind w:left="284" w:hanging="284"/>
        <w:rPr>
          <w:rFonts w:ascii="Times New Roman" w:hAnsi="Times New Roman" w:cs="Times New Roman"/>
          <w:sz w:val="18"/>
          <w:szCs w:val="18"/>
          <w:lang w:val="es-MX"/>
        </w:rPr>
      </w:pPr>
      <w:r w:rsidRPr="00151C4A">
        <w:rPr>
          <w:rStyle w:val="Refdenotaalpie"/>
          <w:rFonts w:ascii="Times New Roman" w:hAnsi="Times New Roman" w:cs="Times New Roman"/>
          <w:sz w:val="18"/>
          <w:szCs w:val="18"/>
        </w:rPr>
        <w:footnoteRef/>
      </w:r>
      <w:r w:rsidRPr="00151C4A">
        <w:rPr>
          <w:rFonts w:ascii="Times New Roman" w:hAnsi="Times New Roman" w:cs="Times New Roman"/>
          <w:sz w:val="18"/>
          <w:szCs w:val="18"/>
        </w:rPr>
        <w:t xml:space="preserve"> </w:t>
      </w:r>
      <w:r w:rsidRPr="00151C4A">
        <w:rPr>
          <w:rFonts w:ascii="Times New Roman" w:hAnsi="Times New Roman" w:cs="Times New Roman"/>
          <w:sz w:val="18"/>
          <w:szCs w:val="18"/>
        </w:rPr>
        <w:tab/>
      </w:r>
      <w:r w:rsidRPr="00151C4A">
        <w:rPr>
          <w:rFonts w:ascii="Times New Roman" w:hAnsi="Times New Roman" w:cs="Times New Roman"/>
          <w:sz w:val="18"/>
          <w:szCs w:val="18"/>
          <w:lang w:val="es-MX"/>
        </w:rPr>
        <w:t xml:space="preserve">Se refiere al Informe </w:t>
      </w:r>
      <w:r w:rsidR="00E10D0D" w:rsidRPr="00151C4A">
        <w:rPr>
          <w:rFonts w:ascii="Times New Roman" w:hAnsi="Times New Roman" w:cs="Times New Roman"/>
          <w:sz w:val="18"/>
          <w:szCs w:val="18"/>
          <w:lang w:val="es-MX"/>
        </w:rPr>
        <w:t>f</w:t>
      </w:r>
      <w:r w:rsidRPr="00151C4A">
        <w:rPr>
          <w:rFonts w:ascii="Times New Roman" w:hAnsi="Times New Roman" w:cs="Times New Roman"/>
          <w:sz w:val="18"/>
          <w:szCs w:val="18"/>
          <w:lang w:val="es-MX"/>
        </w:rPr>
        <w:t xml:space="preserve">inal n.º 0039-0789/2024-1 de fecha 5 de noviembre de 2024, elaborado por </w:t>
      </w:r>
      <w:proofErr w:type="gramStart"/>
      <w:r w:rsidRPr="00151C4A">
        <w:rPr>
          <w:rFonts w:ascii="Times New Roman" w:hAnsi="Times New Roman" w:cs="Times New Roman"/>
          <w:sz w:val="18"/>
          <w:szCs w:val="18"/>
          <w:lang w:val="es-MX"/>
        </w:rPr>
        <w:t>Master</w:t>
      </w:r>
      <w:proofErr w:type="gramEnd"/>
      <w:r w:rsidRPr="00151C4A">
        <w:rPr>
          <w:rFonts w:ascii="Times New Roman" w:hAnsi="Times New Roman" w:cs="Times New Roman"/>
          <w:sz w:val="18"/>
          <w:szCs w:val="18"/>
          <w:lang w:val="es-MX"/>
        </w:rPr>
        <w:t xml:space="preserve"> Ajustadores de Seguros, en el que se señala que aplicando el deducible el monto neto a indemnizar asciende a la suma de PEN 908.60 (novecientos ocho y 60/100 soles) (“Informe final”)</w:t>
      </w:r>
    </w:p>
    <w:p w14:paraId="0B8713F3" w14:textId="57C35DEF" w:rsidR="00F81975" w:rsidRPr="00151C4A" w:rsidRDefault="00F81975" w:rsidP="00F81975">
      <w:pPr>
        <w:pStyle w:val="Textonotapie"/>
        <w:tabs>
          <w:tab w:val="left" w:pos="284"/>
        </w:tabs>
        <w:spacing w:after="60"/>
        <w:ind w:left="284" w:hanging="284"/>
        <w:rPr>
          <w:rFonts w:ascii="Times New Roman" w:hAnsi="Times New Roman" w:cs="Times New Roman"/>
          <w:sz w:val="18"/>
          <w:szCs w:val="18"/>
          <w:lang w:val="es-MX"/>
        </w:rPr>
      </w:pPr>
    </w:p>
  </w:footnote>
  <w:footnote w:id="2">
    <w:p w14:paraId="5026D32B" w14:textId="77777777" w:rsidR="001035ED" w:rsidRPr="00151C4A" w:rsidRDefault="001035ED" w:rsidP="00FD58AE">
      <w:pPr>
        <w:pStyle w:val="Textonotapie"/>
        <w:tabs>
          <w:tab w:val="left" w:pos="284"/>
        </w:tabs>
        <w:spacing w:after="60"/>
        <w:ind w:left="284" w:hanging="284"/>
        <w:rPr>
          <w:rFonts w:ascii="Times New Roman" w:hAnsi="Times New Roman" w:cs="Times New Roman"/>
          <w:b/>
          <w:bCs/>
          <w:sz w:val="18"/>
          <w:szCs w:val="18"/>
          <w:lang w:val="es-PE"/>
        </w:rPr>
      </w:pPr>
      <w:r w:rsidRPr="00151C4A">
        <w:rPr>
          <w:rStyle w:val="Refdenotaalpie"/>
          <w:rFonts w:ascii="Times New Roman" w:hAnsi="Times New Roman" w:cs="Times New Roman"/>
          <w:sz w:val="18"/>
          <w:szCs w:val="18"/>
          <w:lang w:val="es-PE"/>
        </w:rPr>
        <w:footnoteRef/>
      </w:r>
      <w:r w:rsidRPr="00151C4A">
        <w:rPr>
          <w:rFonts w:ascii="Times New Roman" w:hAnsi="Times New Roman" w:cs="Times New Roman"/>
          <w:sz w:val="18"/>
          <w:szCs w:val="18"/>
          <w:lang w:val="es-PE"/>
        </w:rPr>
        <w:t xml:space="preserve"> </w:t>
      </w:r>
      <w:r w:rsidRPr="00151C4A">
        <w:rPr>
          <w:rFonts w:ascii="Times New Roman" w:hAnsi="Times New Roman" w:cs="Times New Roman"/>
          <w:sz w:val="18"/>
          <w:szCs w:val="18"/>
          <w:lang w:val="es-PE"/>
        </w:rPr>
        <w:tab/>
      </w:r>
      <w:r w:rsidRPr="00151C4A">
        <w:rPr>
          <w:rFonts w:ascii="Times New Roman" w:hAnsi="Times New Roman" w:cs="Times New Roman"/>
          <w:b/>
          <w:bCs/>
          <w:sz w:val="18"/>
          <w:szCs w:val="18"/>
          <w:lang w:val="es-PE"/>
        </w:rPr>
        <w:t>Reglamento de DEFASEG</w:t>
      </w:r>
    </w:p>
    <w:p w14:paraId="7C7FF2C2" w14:textId="77777777" w:rsidR="001035ED" w:rsidRPr="00151C4A" w:rsidRDefault="001035ED" w:rsidP="00FD58AE">
      <w:pPr>
        <w:pStyle w:val="Textonotapie"/>
        <w:tabs>
          <w:tab w:val="left" w:pos="284"/>
        </w:tabs>
        <w:spacing w:after="60"/>
        <w:ind w:left="284" w:hanging="284"/>
        <w:rPr>
          <w:rFonts w:ascii="Times New Roman" w:hAnsi="Times New Roman" w:cs="Times New Roman"/>
          <w:b/>
          <w:bCs/>
          <w:sz w:val="18"/>
          <w:szCs w:val="18"/>
          <w:lang w:val="es-PE"/>
        </w:rPr>
      </w:pPr>
      <w:r w:rsidRPr="00151C4A">
        <w:rPr>
          <w:rFonts w:ascii="Times New Roman" w:hAnsi="Times New Roman" w:cs="Times New Roman"/>
          <w:sz w:val="18"/>
          <w:szCs w:val="18"/>
          <w:lang w:val="es-PE"/>
        </w:rPr>
        <w:tab/>
      </w:r>
      <w:r w:rsidRPr="00151C4A">
        <w:rPr>
          <w:rFonts w:ascii="Times New Roman" w:hAnsi="Times New Roman" w:cs="Times New Roman"/>
          <w:b/>
          <w:bCs/>
          <w:sz w:val="18"/>
          <w:szCs w:val="18"/>
          <w:lang w:val="es-PE"/>
        </w:rPr>
        <w:t>10. Procedimiento</w:t>
      </w:r>
    </w:p>
    <w:p w14:paraId="5390EA05" w14:textId="77777777" w:rsidR="001035ED" w:rsidRPr="00151C4A" w:rsidRDefault="001035ED" w:rsidP="00FD58AE">
      <w:pPr>
        <w:pStyle w:val="Textonotapie"/>
        <w:tabs>
          <w:tab w:val="left" w:pos="284"/>
        </w:tabs>
        <w:spacing w:after="60"/>
        <w:ind w:left="284" w:hanging="284"/>
        <w:rPr>
          <w:rFonts w:ascii="Times New Roman" w:hAnsi="Times New Roman" w:cs="Times New Roman"/>
          <w:sz w:val="18"/>
          <w:szCs w:val="18"/>
          <w:lang w:val="es-PE"/>
        </w:rPr>
      </w:pPr>
      <w:r w:rsidRPr="00151C4A">
        <w:rPr>
          <w:rFonts w:ascii="Times New Roman" w:hAnsi="Times New Roman" w:cs="Times New Roman"/>
          <w:sz w:val="18"/>
          <w:szCs w:val="18"/>
          <w:lang w:val="es-PE"/>
        </w:rPr>
        <w:tab/>
        <w:t>(…)</w:t>
      </w:r>
    </w:p>
    <w:p w14:paraId="796EB13B" w14:textId="77777777" w:rsidR="001035ED" w:rsidRPr="00151C4A" w:rsidRDefault="001035ED" w:rsidP="00FD58AE">
      <w:pPr>
        <w:pStyle w:val="Textonotapie"/>
        <w:tabs>
          <w:tab w:val="left" w:pos="284"/>
        </w:tabs>
        <w:spacing w:after="60"/>
        <w:ind w:left="284" w:hanging="284"/>
        <w:rPr>
          <w:rFonts w:ascii="Times New Roman" w:hAnsi="Times New Roman" w:cs="Times New Roman"/>
          <w:sz w:val="18"/>
          <w:szCs w:val="18"/>
          <w:lang w:val="es-PE"/>
        </w:rPr>
      </w:pPr>
      <w:r w:rsidRPr="00151C4A">
        <w:rPr>
          <w:rFonts w:ascii="Times New Roman" w:hAnsi="Times New Roman" w:cs="Times New Roman"/>
          <w:sz w:val="18"/>
          <w:szCs w:val="18"/>
          <w:lang w:val="es-PE"/>
        </w:rPr>
        <w:tab/>
        <w:t xml:space="preserve">En caso cualquiera de las partes no se encuentre conforme con la decisión adoptada, podrá impugnarla, en el plazo de cinco (5) días hábiles de notificada. </w:t>
      </w:r>
    </w:p>
    <w:p w14:paraId="26922876" w14:textId="77777777" w:rsidR="001035ED" w:rsidRPr="00151C4A" w:rsidRDefault="001035ED" w:rsidP="00B74AA1">
      <w:pPr>
        <w:pStyle w:val="Textonotapie"/>
        <w:tabs>
          <w:tab w:val="left" w:pos="284"/>
        </w:tabs>
        <w:spacing w:after="120"/>
        <w:ind w:left="284" w:hanging="284"/>
        <w:rPr>
          <w:rFonts w:ascii="Times New Roman" w:hAnsi="Times New Roman" w:cs="Times New Roman"/>
          <w:sz w:val="18"/>
          <w:szCs w:val="18"/>
          <w:lang w:val="es-PE"/>
        </w:rPr>
      </w:pPr>
      <w:r w:rsidRPr="00151C4A">
        <w:rPr>
          <w:rFonts w:ascii="Times New Roman" w:hAnsi="Times New Roman" w:cs="Times New Roman"/>
          <w:sz w:val="18"/>
          <w:szCs w:val="18"/>
          <w:lang w:val="es-PE"/>
        </w:rPr>
        <w:tab/>
        <w:t>Recibido el recurso, la Defensoría correrá traslado a la otra parte por el plazo de cinco (5) días hábiles para que exprese su posición.</w:t>
      </w:r>
    </w:p>
  </w:footnote>
  <w:footnote w:id="3">
    <w:p w14:paraId="788A30DC" w14:textId="3075B1E6" w:rsidR="003C0299" w:rsidRPr="00151C4A" w:rsidRDefault="003C0299" w:rsidP="00F83468">
      <w:pPr>
        <w:pStyle w:val="Textonotapie"/>
        <w:tabs>
          <w:tab w:val="left" w:pos="284"/>
        </w:tabs>
        <w:spacing w:after="60"/>
        <w:ind w:left="284" w:hanging="284"/>
        <w:rPr>
          <w:rFonts w:ascii="Times New Roman" w:hAnsi="Times New Roman" w:cs="Times New Roman"/>
          <w:b/>
          <w:bCs/>
          <w:sz w:val="18"/>
          <w:szCs w:val="18"/>
          <w:lang w:val="es-PE"/>
        </w:rPr>
      </w:pPr>
      <w:r w:rsidRPr="00151C4A">
        <w:rPr>
          <w:rStyle w:val="Refdenotaalpie"/>
          <w:rFonts w:ascii="Times New Roman" w:hAnsi="Times New Roman" w:cs="Times New Roman"/>
          <w:sz w:val="18"/>
          <w:szCs w:val="18"/>
          <w:lang w:val="es-PE"/>
        </w:rPr>
        <w:footnoteRef/>
      </w:r>
      <w:r w:rsidRPr="00151C4A">
        <w:rPr>
          <w:rFonts w:ascii="Times New Roman" w:hAnsi="Times New Roman" w:cs="Times New Roman"/>
          <w:sz w:val="18"/>
          <w:szCs w:val="18"/>
          <w:lang w:val="es-PE"/>
        </w:rPr>
        <w:t xml:space="preserve"> </w:t>
      </w:r>
      <w:r w:rsidRPr="00151C4A">
        <w:rPr>
          <w:rFonts w:ascii="Times New Roman" w:hAnsi="Times New Roman" w:cs="Times New Roman"/>
          <w:sz w:val="18"/>
          <w:szCs w:val="18"/>
          <w:lang w:val="es-PE"/>
        </w:rPr>
        <w:tab/>
      </w:r>
      <w:r w:rsidRPr="00151C4A">
        <w:rPr>
          <w:rFonts w:ascii="Times New Roman" w:hAnsi="Times New Roman" w:cs="Times New Roman"/>
          <w:b/>
          <w:bCs/>
          <w:sz w:val="18"/>
          <w:szCs w:val="18"/>
          <w:lang w:val="es-PE"/>
        </w:rPr>
        <w:t>Ley del contrato de seguro</w:t>
      </w:r>
    </w:p>
    <w:p w14:paraId="7A2D9A7B" w14:textId="2E36A284" w:rsidR="003C0299" w:rsidRPr="00151C4A" w:rsidRDefault="003C0299" w:rsidP="00F83468">
      <w:pPr>
        <w:pStyle w:val="Textonotapie"/>
        <w:tabs>
          <w:tab w:val="left" w:pos="284"/>
        </w:tabs>
        <w:spacing w:after="60"/>
        <w:ind w:left="284" w:hanging="284"/>
        <w:rPr>
          <w:rFonts w:ascii="Times New Roman" w:hAnsi="Times New Roman" w:cs="Times New Roman"/>
          <w:sz w:val="18"/>
          <w:szCs w:val="18"/>
          <w:lang w:val="es-PE"/>
        </w:rPr>
      </w:pPr>
      <w:r w:rsidRPr="00151C4A">
        <w:rPr>
          <w:rFonts w:ascii="Times New Roman" w:hAnsi="Times New Roman" w:cs="Times New Roman"/>
          <w:b/>
          <w:bCs/>
          <w:sz w:val="18"/>
          <w:szCs w:val="18"/>
          <w:lang w:val="es-PE"/>
        </w:rPr>
        <w:tab/>
        <w:t>Artículo IV. </w:t>
      </w:r>
      <w:r w:rsidRPr="00151C4A">
        <w:rPr>
          <w:rFonts w:ascii="Times New Roman" w:hAnsi="Times New Roman" w:cs="Times New Roman"/>
          <w:sz w:val="18"/>
          <w:szCs w:val="18"/>
          <w:lang w:val="es-PE"/>
        </w:rPr>
        <w:t>En la interpretación del contrato de seguro se aplican las reglas siguientes:</w:t>
      </w:r>
    </w:p>
    <w:p w14:paraId="4CD42741" w14:textId="49233B29" w:rsidR="003C0299" w:rsidRPr="00151C4A" w:rsidRDefault="003C0299" w:rsidP="003C0299">
      <w:pPr>
        <w:pStyle w:val="Textonotapie"/>
        <w:tabs>
          <w:tab w:val="left" w:pos="284"/>
        </w:tabs>
        <w:spacing w:after="120"/>
        <w:ind w:left="284" w:hanging="284"/>
        <w:rPr>
          <w:rFonts w:ascii="Times New Roman" w:hAnsi="Times New Roman" w:cs="Times New Roman"/>
          <w:sz w:val="18"/>
          <w:szCs w:val="18"/>
          <w:lang w:val="es-PE"/>
        </w:rPr>
      </w:pPr>
      <w:r w:rsidRPr="00151C4A">
        <w:rPr>
          <w:rFonts w:ascii="Times New Roman" w:hAnsi="Times New Roman" w:cs="Times New Roman"/>
          <w:b/>
          <w:bCs/>
          <w:sz w:val="18"/>
          <w:szCs w:val="18"/>
          <w:lang w:val="es-PE"/>
        </w:rPr>
        <w:tab/>
        <w:t>Séptima. </w:t>
      </w:r>
      <w:r w:rsidRPr="00151C4A">
        <w:rPr>
          <w:rFonts w:ascii="Times New Roman" w:hAnsi="Times New Roman" w:cs="Times New Roman"/>
          <w:sz w:val="18"/>
          <w:szCs w:val="18"/>
          <w:lang w:val="es-PE"/>
        </w:rPr>
        <w:t xml:space="preserve">La cobertura, exclusiones y, en general, la extensión del </w:t>
      </w:r>
      <w:proofErr w:type="gramStart"/>
      <w:r w:rsidRPr="00151C4A">
        <w:rPr>
          <w:rFonts w:ascii="Times New Roman" w:hAnsi="Times New Roman" w:cs="Times New Roman"/>
          <w:sz w:val="18"/>
          <w:szCs w:val="18"/>
          <w:lang w:val="es-PE"/>
        </w:rPr>
        <w:t>riesgo</w:t>
      </w:r>
      <w:proofErr w:type="gramEnd"/>
      <w:r w:rsidRPr="00151C4A">
        <w:rPr>
          <w:rFonts w:ascii="Times New Roman" w:hAnsi="Times New Roman" w:cs="Times New Roman"/>
          <w:sz w:val="18"/>
          <w:szCs w:val="18"/>
          <w:lang w:val="es-PE"/>
        </w:rPr>
        <w:t xml:space="preserve"> así como los derechos de los beneficiarios, previstos en el contrato de seguro, deben interpretarse literalmente.</w:t>
      </w:r>
    </w:p>
  </w:footnote>
  <w:footnote w:id="4">
    <w:p w14:paraId="4C3CF8AA" w14:textId="77777777" w:rsidR="00584747" w:rsidRPr="00151C4A" w:rsidRDefault="00584747" w:rsidP="00101DC4">
      <w:pPr>
        <w:pStyle w:val="Textonotapie"/>
        <w:tabs>
          <w:tab w:val="left" w:pos="284"/>
        </w:tabs>
        <w:spacing w:after="60"/>
        <w:ind w:left="284" w:hanging="284"/>
        <w:rPr>
          <w:rFonts w:ascii="Times New Roman" w:hAnsi="Times New Roman" w:cs="Times New Roman"/>
          <w:b/>
          <w:bCs/>
          <w:sz w:val="18"/>
          <w:szCs w:val="18"/>
          <w:lang w:val="es-PE"/>
        </w:rPr>
      </w:pPr>
      <w:r w:rsidRPr="00151C4A">
        <w:rPr>
          <w:rStyle w:val="Refdenotaalpie"/>
          <w:rFonts w:ascii="Times New Roman" w:hAnsi="Times New Roman" w:cs="Times New Roman"/>
          <w:sz w:val="18"/>
          <w:szCs w:val="18"/>
          <w:lang w:val="es-PE"/>
        </w:rPr>
        <w:footnoteRef/>
      </w:r>
      <w:r w:rsidRPr="00151C4A">
        <w:rPr>
          <w:rFonts w:ascii="Times New Roman" w:hAnsi="Times New Roman" w:cs="Times New Roman"/>
          <w:sz w:val="18"/>
          <w:szCs w:val="18"/>
          <w:lang w:val="es-PE"/>
        </w:rPr>
        <w:t xml:space="preserve"> </w:t>
      </w:r>
      <w:r w:rsidRPr="00151C4A">
        <w:rPr>
          <w:rFonts w:ascii="Times New Roman" w:hAnsi="Times New Roman" w:cs="Times New Roman"/>
          <w:sz w:val="18"/>
          <w:szCs w:val="18"/>
          <w:lang w:val="es-PE"/>
        </w:rPr>
        <w:tab/>
      </w:r>
      <w:r w:rsidRPr="00151C4A">
        <w:rPr>
          <w:rFonts w:ascii="Times New Roman" w:hAnsi="Times New Roman" w:cs="Times New Roman"/>
          <w:b/>
          <w:bCs/>
          <w:sz w:val="18"/>
          <w:szCs w:val="18"/>
          <w:lang w:val="es-PE"/>
        </w:rPr>
        <w:t>Ley del Contrato de Seguro</w:t>
      </w:r>
    </w:p>
    <w:p w14:paraId="5A1C7DE1" w14:textId="77777777" w:rsidR="00584747" w:rsidRPr="00151C4A" w:rsidRDefault="00584747" w:rsidP="00101DC4">
      <w:pPr>
        <w:pStyle w:val="Textonotapie"/>
        <w:tabs>
          <w:tab w:val="left" w:pos="284"/>
        </w:tabs>
        <w:spacing w:after="60"/>
        <w:ind w:left="284" w:hanging="284"/>
        <w:rPr>
          <w:rFonts w:ascii="Times New Roman" w:hAnsi="Times New Roman" w:cs="Times New Roman"/>
          <w:b/>
          <w:bCs/>
          <w:sz w:val="18"/>
          <w:szCs w:val="18"/>
          <w:lang w:val="es-PE"/>
        </w:rPr>
      </w:pPr>
      <w:r w:rsidRPr="00151C4A">
        <w:rPr>
          <w:rFonts w:ascii="Times New Roman" w:hAnsi="Times New Roman" w:cs="Times New Roman"/>
          <w:b/>
          <w:bCs/>
          <w:sz w:val="18"/>
          <w:szCs w:val="18"/>
          <w:lang w:val="es-PE"/>
        </w:rPr>
        <w:tab/>
        <w:t>Artículo 77.- Cargas de las partes</w:t>
      </w:r>
    </w:p>
    <w:p w14:paraId="1215FEB4" w14:textId="77777777" w:rsidR="00584747" w:rsidRPr="00151C4A" w:rsidRDefault="00584747" w:rsidP="00584747">
      <w:pPr>
        <w:pStyle w:val="Textonotapie"/>
        <w:tabs>
          <w:tab w:val="left" w:pos="284"/>
        </w:tabs>
        <w:spacing w:after="120"/>
        <w:ind w:left="284" w:hanging="284"/>
        <w:rPr>
          <w:rFonts w:ascii="Times New Roman" w:hAnsi="Times New Roman" w:cs="Times New Roman"/>
          <w:sz w:val="18"/>
          <w:szCs w:val="18"/>
          <w:lang w:val="es-PE"/>
        </w:rPr>
      </w:pPr>
      <w:r w:rsidRPr="00151C4A">
        <w:rPr>
          <w:rFonts w:ascii="Times New Roman" w:hAnsi="Times New Roman" w:cs="Times New Roman"/>
          <w:sz w:val="18"/>
          <w:szCs w:val="18"/>
          <w:lang w:val="es-PE"/>
        </w:rPr>
        <w:tab/>
        <w:t>Corresponde al asegurado demostrar la ocurrencia del siniestro, así como la cuantía de la pérdida si fuera el caso, y al asegurador la carga de demostrar las causas que lo liberan de su prestación indemnizatoria.</w:t>
      </w:r>
    </w:p>
  </w:footnote>
  <w:footnote w:id="5">
    <w:p w14:paraId="52BD3FF1" w14:textId="6A9CA734" w:rsidR="00C943EA" w:rsidRPr="00151C4A" w:rsidRDefault="00C943EA" w:rsidP="00C943EA">
      <w:pPr>
        <w:pStyle w:val="Textonotapie"/>
        <w:tabs>
          <w:tab w:val="left" w:pos="284"/>
        </w:tabs>
        <w:spacing w:after="120"/>
        <w:ind w:left="284" w:hanging="284"/>
        <w:rPr>
          <w:rFonts w:ascii="Times New Roman" w:hAnsi="Times New Roman" w:cs="Times New Roman"/>
          <w:sz w:val="18"/>
          <w:szCs w:val="18"/>
          <w:lang w:val="es-PE"/>
        </w:rPr>
      </w:pPr>
      <w:r w:rsidRPr="00151C4A">
        <w:rPr>
          <w:rStyle w:val="Refdenotaalpie"/>
          <w:rFonts w:ascii="Times New Roman" w:hAnsi="Times New Roman" w:cs="Times New Roman"/>
          <w:sz w:val="18"/>
          <w:szCs w:val="18"/>
          <w:lang w:val="es-PE"/>
        </w:rPr>
        <w:footnoteRef/>
      </w:r>
      <w:r w:rsidRPr="00151C4A">
        <w:rPr>
          <w:rFonts w:ascii="Times New Roman" w:hAnsi="Times New Roman" w:cs="Times New Roman"/>
          <w:sz w:val="18"/>
          <w:szCs w:val="18"/>
          <w:lang w:val="es-PE"/>
        </w:rPr>
        <w:t xml:space="preserve"> </w:t>
      </w:r>
      <w:r w:rsidRPr="00151C4A">
        <w:rPr>
          <w:rFonts w:ascii="Times New Roman" w:hAnsi="Times New Roman" w:cs="Times New Roman"/>
          <w:sz w:val="18"/>
          <w:szCs w:val="18"/>
          <w:lang w:val="es-PE"/>
        </w:rPr>
        <w:tab/>
      </w:r>
      <w:r w:rsidR="005708AF" w:rsidRPr="00151C4A">
        <w:rPr>
          <w:rFonts w:ascii="Times New Roman" w:hAnsi="Times New Roman" w:cs="Times New Roman"/>
          <w:sz w:val="18"/>
          <w:szCs w:val="18"/>
          <w:lang w:val="es-PE"/>
        </w:rPr>
        <w:t>La</w:t>
      </w:r>
      <w:r w:rsidRPr="00151C4A">
        <w:rPr>
          <w:rFonts w:ascii="Times New Roman" w:hAnsi="Times New Roman" w:cs="Times New Roman"/>
          <w:sz w:val="18"/>
          <w:szCs w:val="18"/>
          <w:lang w:val="es-PE"/>
        </w:rPr>
        <w:t xml:space="preserve"> Defensoría ha establecido que para la efectiva aplicación de una exclusión debe verificarse tres aspectos muy puntuales: </w:t>
      </w:r>
      <w:r w:rsidRPr="00151C4A">
        <w:rPr>
          <w:rFonts w:ascii="Times New Roman" w:hAnsi="Times New Roman" w:cs="Times New Roman"/>
          <w:b/>
          <w:bCs/>
          <w:i/>
          <w:iCs/>
          <w:sz w:val="18"/>
          <w:szCs w:val="18"/>
          <w:lang w:val="es-PE"/>
        </w:rPr>
        <w:t>(i)</w:t>
      </w:r>
      <w:r w:rsidRPr="00151C4A">
        <w:rPr>
          <w:rFonts w:ascii="Times New Roman" w:hAnsi="Times New Roman" w:cs="Times New Roman"/>
          <w:sz w:val="18"/>
          <w:szCs w:val="18"/>
          <w:lang w:val="es-PE"/>
        </w:rPr>
        <w:t xml:space="preserve"> ¿el contrato de seguro contiene la exclusión invocada?, </w:t>
      </w:r>
      <w:r w:rsidRPr="00151C4A">
        <w:rPr>
          <w:rFonts w:ascii="Times New Roman" w:hAnsi="Times New Roman" w:cs="Times New Roman"/>
          <w:b/>
          <w:bCs/>
          <w:i/>
          <w:iCs/>
          <w:sz w:val="18"/>
          <w:szCs w:val="18"/>
          <w:lang w:val="es-PE"/>
        </w:rPr>
        <w:t>(ii)</w:t>
      </w:r>
      <w:r w:rsidRPr="00151C4A">
        <w:rPr>
          <w:rFonts w:ascii="Times New Roman" w:hAnsi="Times New Roman" w:cs="Times New Roman"/>
          <w:sz w:val="18"/>
          <w:szCs w:val="18"/>
          <w:lang w:val="es-PE"/>
        </w:rPr>
        <w:t xml:space="preserve"> de ser afirmativa la respuesta anterior, ¿la misma surte efectos frente al asegurado?, por último, de ser también afirmativa la respuesta anterior, </w:t>
      </w:r>
      <w:r w:rsidRPr="00151C4A">
        <w:rPr>
          <w:rFonts w:ascii="Times New Roman" w:hAnsi="Times New Roman" w:cs="Times New Roman"/>
          <w:b/>
          <w:bCs/>
          <w:i/>
          <w:iCs/>
          <w:sz w:val="18"/>
          <w:szCs w:val="18"/>
          <w:lang w:val="es-PE"/>
        </w:rPr>
        <w:t>(iii)</w:t>
      </w:r>
      <w:r w:rsidRPr="00151C4A">
        <w:rPr>
          <w:rFonts w:ascii="Times New Roman" w:hAnsi="Times New Roman" w:cs="Times New Roman"/>
          <w:sz w:val="18"/>
          <w:szCs w:val="18"/>
          <w:lang w:val="es-PE"/>
        </w:rPr>
        <w:t xml:space="preserve"> ¿se incurrió efectivamente en el supuesto de hecho que corresponde a la exclusión?</w:t>
      </w:r>
    </w:p>
  </w:footnote>
  <w:footnote w:id="6">
    <w:p w14:paraId="4E6AB21F" w14:textId="287E3374" w:rsidR="00F83468" w:rsidRPr="00151C4A" w:rsidRDefault="00F83468" w:rsidP="00F83468">
      <w:pPr>
        <w:pStyle w:val="Textonotapie"/>
        <w:tabs>
          <w:tab w:val="left" w:pos="284"/>
        </w:tabs>
        <w:spacing w:after="120"/>
        <w:ind w:left="284" w:hanging="284"/>
        <w:rPr>
          <w:rFonts w:ascii="Times New Roman" w:hAnsi="Times New Roman" w:cs="Times New Roman"/>
          <w:sz w:val="18"/>
          <w:szCs w:val="18"/>
          <w:lang w:val="es-PE"/>
        </w:rPr>
      </w:pPr>
      <w:r w:rsidRPr="00151C4A">
        <w:rPr>
          <w:rStyle w:val="Refdenotaalpie"/>
          <w:rFonts w:ascii="Times New Roman" w:hAnsi="Times New Roman" w:cs="Times New Roman"/>
          <w:sz w:val="18"/>
          <w:szCs w:val="18"/>
          <w:lang w:val="es-PE"/>
        </w:rPr>
        <w:footnoteRef/>
      </w:r>
      <w:r w:rsidRPr="00151C4A">
        <w:rPr>
          <w:rFonts w:ascii="Times New Roman" w:hAnsi="Times New Roman" w:cs="Times New Roman"/>
          <w:sz w:val="18"/>
          <w:szCs w:val="18"/>
          <w:lang w:val="es-PE"/>
        </w:rPr>
        <w:t xml:space="preserve"> </w:t>
      </w:r>
      <w:r w:rsidR="00584747" w:rsidRPr="00151C4A">
        <w:rPr>
          <w:rFonts w:ascii="Times New Roman" w:hAnsi="Times New Roman" w:cs="Times New Roman"/>
          <w:sz w:val="18"/>
          <w:szCs w:val="18"/>
          <w:lang w:val="es-PE"/>
        </w:rPr>
        <w:tab/>
        <w:t>Resolución DEFASEG n.° 65/20 (</w:t>
      </w:r>
      <w:r w:rsidR="00584747" w:rsidRPr="00151C4A">
        <w:rPr>
          <w:rFonts w:ascii="Times New Roman" w:hAnsi="Times New Roman" w:cs="Times New Roman"/>
          <w:i/>
          <w:iCs/>
          <w:sz w:val="18"/>
          <w:szCs w:val="18"/>
          <w:u w:val="single"/>
          <w:lang w:val="es-PE"/>
        </w:rPr>
        <w:t>Expediente n.° 4322, García Zevallos v. Crecer</w:t>
      </w:r>
      <w:r w:rsidR="00584747" w:rsidRPr="00151C4A">
        <w:rPr>
          <w:rFonts w:ascii="Times New Roman" w:hAnsi="Times New Roman" w:cs="Times New Roman"/>
          <w:sz w:val="18"/>
          <w:szCs w:val="18"/>
          <w:lang w:val="es-PE"/>
        </w:rPr>
        <w:t>)</w:t>
      </w:r>
      <w:r w:rsidR="00D81407" w:rsidRPr="00151C4A">
        <w:rPr>
          <w:rFonts w:ascii="Times New Roman" w:hAnsi="Times New Roman" w:cs="Times New Roman"/>
          <w:sz w:val="18"/>
          <w:szCs w:val="18"/>
          <w:lang w:val="es-PE"/>
        </w:rPr>
        <w:t xml:space="preserve"> de fecha 27 de julio de 2020</w:t>
      </w:r>
      <w:r w:rsidR="00584747" w:rsidRPr="00151C4A">
        <w:rPr>
          <w:rFonts w:ascii="Times New Roman" w:hAnsi="Times New Roman" w:cs="Times New Roman"/>
          <w:sz w:val="18"/>
          <w:szCs w:val="18"/>
          <w:lang w:val="es-PE"/>
        </w:rPr>
        <w:t>; Resolución DEFASEG n.° 149/23 (</w:t>
      </w:r>
      <w:r w:rsidR="00584747" w:rsidRPr="00151C4A">
        <w:rPr>
          <w:rFonts w:ascii="Times New Roman" w:hAnsi="Times New Roman" w:cs="Times New Roman"/>
          <w:i/>
          <w:iCs/>
          <w:sz w:val="18"/>
          <w:szCs w:val="18"/>
          <w:u w:val="single"/>
          <w:lang w:val="es-PE"/>
        </w:rPr>
        <w:t>Expediente n.° 5889, Parra Alarcón v. Pacífico</w:t>
      </w:r>
      <w:r w:rsidR="00584747" w:rsidRPr="00151C4A">
        <w:rPr>
          <w:rFonts w:ascii="Times New Roman" w:hAnsi="Times New Roman" w:cs="Times New Roman"/>
          <w:sz w:val="18"/>
          <w:szCs w:val="18"/>
          <w:lang w:val="es-PE"/>
        </w:rPr>
        <w:t>) del 20 d julio de 2023; y, Resolución DEFASEG n.° 9/25 (</w:t>
      </w:r>
      <w:r w:rsidR="00584747" w:rsidRPr="00151C4A">
        <w:rPr>
          <w:rFonts w:ascii="Times New Roman" w:hAnsi="Times New Roman" w:cs="Times New Roman"/>
          <w:i/>
          <w:iCs/>
          <w:sz w:val="18"/>
          <w:szCs w:val="18"/>
          <w:u w:val="single"/>
          <w:lang w:val="es-PE"/>
        </w:rPr>
        <w:t>Expediente n.° 6076, Panta Solís v Rímac</w:t>
      </w:r>
      <w:r w:rsidR="00584747" w:rsidRPr="00151C4A">
        <w:rPr>
          <w:rFonts w:ascii="Times New Roman" w:hAnsi="Times New Roman" w:cs="Times New Roman"/>
          <w:sz w:val="18"/>
          <w:szCs w:val="18"/>
          <w:lang w:val="es-PE"/>
        </w:rPr>
        <w:t>)</w:t>
      </w:r>
      <w:r w:rsidR="00AD0C24" w:rsidRPr="00151C4A">
        <w:rPr>
          <w:rFonts w:ascii="Times New Roman" w:hAnsi="Times New Roman" w:cs="Times New Roman"/>
          <w:sz w:val="18"/>
          <w:szCs w:val="18"/>
          <w:lang w:val="es-PE"/>
        </w:rPr>
        <w:t xml:space="preserve"> de fecha 29 de enero de 2025</w:t>
      </w:r>
      <w:r w:rsidR="00584747" w:rsidRPr="00151C4A">
        <w:rPr>
          <w:rFonts w:ascii="Times New Roman" w:hAnsi="Times New Roman" w:cs="Times New Roman"/>
          <w:sz w:val="18"/>
          <w:szCs w:val="18"/>
          <w:lang w:val="es-PE"/>
        </w:rPr>
        <w:t>.</w:t>
      </w:r>
    </w:p>
  </w:footnote>
  <w:footnote w:id="7">
    <w:p w14:paraId="14109E94" w14:textId="4A131AA8" w:rsidR="006B7AF8" w:rsidRPr="00151C4A" w:rsidRDefault="006B7AF8" w:rsidP="006B7AF8">
      <w:pPr>
        <w:pStyle w:val="Textonotapie"/>
        <w:tabs>
          <w:tab w:val="left" w:pos="284"/>
        </w:tabs>
        <w:spacing w:after="120"/>
        <w:ind w:left="284" w:hanging="284"/>
        <w:rPr>
          <w:rFonts w:ascii="Times New Roman" w:hAnsi="Times New Roman" w:cs="Times New Roman"/>
          <w:sz w:val="18"/>
          <w:szCs w:val="18"/>
          <w:lang w:val="es-MX"/>
        </w:rPr>
      </w:pPr>
      <w:r w:rsidRPr="00151C4A">
        <w:rPr>
          <w:rStyle w:val="Refdenotaalpie"/>
          <w:rFonts w:ascii="Times New Roman" w:hAnsi="Times New Roman" w:cs="Times New Roman"/>
          <w:sz w:val="18"/>
          <w:szCs w:val="18"/>
        </w:rPr>
        <w:footnoteRef/>
      </w:r>
      <w:r w:rsidRPr="00151C4A">
        <w:rPr>
          <w:rFonts w:ascii="Times New Roman" w:hAnsi="Times New Roman" w:cs="Times New Roman"/>
          <w:sz w:val="18"/>
          <w:szCs w:val="18"/>
        </w:rPr>
        <w:t xml:space="preserve"> </w:t>
      </w:r>
      <w:r w:rsidRPr="00151C4A">
        <w:rPr>
          <w:rFonts w:ascii="Times New Roman" w:hAnsi="Times New Roman" w:cs="Times New Roman"/>
          <w:sz w:val="18"/>
          <w:szCs w:val="18"/>
        </w:rPr>
        <w:tab/>
      </w:r>
      <w:r w:rsidRPr="00151C4A">
        <w:rPr>
          <w:rFonts w:ascii="Times New Roman" w:hAnsi="Times New Roman" w:cs="Times New Roman"/>
          <w:sz w:val="18"/>
          <w:szCs w:val="18"/>
          <w:lang w:val="es-PE"/>
        </w:rPr>
        <w:t>Se refiere al Informe Técnico n.° 002-2024-RCPB de fecha 10 de agosto de 2024, autorizado por la ingeniera civil Roxana Carla Peña Bejarano respecto de las causas del siniestro inmobiliario que sufrió el asegurado y el costo de las reparaciones.</w:t>
      </w:r>
    </w:p>
  </w:footnote>
  <w:footnote w:id="8">
    <w:p w14:paraId="21623B4A" w14:textId="2DB77EA9" w:rsidR="00F2325C" w:rsidRPr="00151C4A" w:rsidRDefault="00F2325C" w:rsidP="00F2325C">
      <w:pPr>
        <w:pStyle w:val="Textonotapie"/>
        <w:tabs>
          <w:tab w:val="left" w:pos="284"/>
        </w:tabs>
        <w:spacing w:after="120"/>
        <w:ind w:left="284" w:hanging="284"/>
        <w:rPr>
          <w:rFonts w:ascii="Times New Roman" w:hAnsi="Times New Roman" w:cs="Times New Roman"/>
          <w:sz w:val="18"/>
          <w:szCs w:val="18"/>
          <w:lang w:val="es-PE"/>
        </w:rPr>
      </w:pPr>
      <w:r w:rsidRPr="00151C4A">
        <w:rPr>
          <w:rStyle w:val="Refdenotaalpie"/>
          <w:rFonts w:ascii="Times New Roman" w:hAnsi="Times New Roman" w:cs="Times New Roman"/>
          <w:sz w:val="18"/>
          <w:szCs w:val="18"/>
          <w:lang w:val="es-PE"/>
        </w:rPr>
        <w:footnoteRef/>
      </w:r>
      <w:r w:rsidRPr="00151C4A">
        <w:rPr>
          <w:rFonts w:ascii="Times New Roman" w:hAnsi="Times New Roman" w:cs="Times New Roman"/>
          <w:sz w:val="18"/>
          <w:szCs w:val="18"/>
          <w:lang w:val="es-PE"/>
        </w:rPr>
        <w:t xml:space="preserve"> </w:t>
      </w:r>
      <w:r w:rsidRPr="00151C4A">
        <w:rPr>
          <w:rFonts w:ascii="Times New Roman" w:hAnsi="Times New Roman" w:cs="Times New Roman"/>
          <w:sz w:val="18"/>
          <w:szCs w:val="18"/>
          <w:lang w:val="es-PE"/>
        </w:rPr>
        <w:tab/>
      </w:r>
      <w:r w:rsidR="005708AF" w:rsidRPr="00151C4A">
        <w:rPr>
          <w:rFonts w:ascii="Times New Roman" w:hAnsi="Times New Roman" w:cs="Times New Roman"/>
          <w:sz w:val="18"/>
          <w:szCs w:val="18"/>
          <w:lang w:val="es-PE"/>
        </w:rPr>
        <w:t>E</w:t>
      </w:r>
      <w:r w:rsidR="00133894" w:rsidRPr="00151C4A">
        <w:rPr>
          <w:rFonts w:ascii="Times New Roman" w:hAnsi="Times New Roman" w:cs="Times New Roman"/>
          <w:sz w:val="18"/>
          <w:szCs w:val="18"/>
          <w:lang w:val="es-PE"/>
        </w:rPr>
        <w:t>ste</w:t>
      </w:r>
      <w:r w:rsidRPr="00151C4A">
        <w:rPr>
          <w:rFonts w:ascii="Times New Roman" w:hAnsi="Times New Roman" w:cs="Times New Roman"/>
          <w:sz w:val="18"/>
          <w:szCs w:val="18"/>
          <w:lang w:val="es-PE"/>
        </w:rPr>
        <w:t xml:space="preserve"> Colegiado ha señalado en anterior oportunidad </w:t>
      </w:r>
      <w:r w:rsidR="00B17DB2" w:rsidRPr="00151C4A">
        <w:rPr>
          <w:rFonts w:ascii="Times New Roman" w:hAnsi="Times New Roman" w:cs="Times New Roman"/>
          <w:sz w:val="18"/>
          <w:szCs w:val="18"/>
          <w:lang w:val="es-PE"/>
        </w:rPr>
        <w:t>que,</w:t>
      </w:r>
      <w:r w:rsidRPr="00151C4A">
        <w:rPr>
          <w:rFonts w:ascii="Times New Roman" w:hAnsi="Times New Roman" w:cs="Times New Roman"/>
          <w:sz w:val="18"/>
          <w:szCs w:val="18"/>
          <w:lang w:val="es-PE"/>
        </w:rPr>
        <w:t xml:space="preserve"> frente al informe del ajustador de seguros, el asegurado puede oponer otro medio probatorio que lo desvirtúe o cuestione</w:t>
      </w:r>
      <w:r w:rsidR="00D81407" w:rsidRPr="00151C4A">
        <w:rPr>
          <w:rFonts w:ascii="Times New Roman" w:hAnsi="Times New Roman" w:cs="Times New Roman"/>
          <w:sz w:val="18"/>
          <w:szCs w:val="18"/>
          <w:lang w:val="es-PE"/>
        </w:rPr>
        <w:t>, posición que par</w:t>
      </w:r>
      <w:r w:rsidR="00101DC4" w:rsidRPr="00151C4A">
        <w:rPr>
          <w:rFonts w:ascii="Times New Roman" w:hAnsi="Times New Roman" w:cs="Times New Roman"/>
          <w:sz w:val="18"/>
          <w:szCs w:val="18"/>
          <w:lang w:val="es-PE"/>
        </w:rPr>
        <w:t>t</w:t>
      </w:r>
      <w:r w:rsidR="00D81407" w:rsidRPr="00151C4A">
        <w:rPr>
          <w:rFonts w:ascii="Times New Roman" w:hAnsi="Times New Roman" w:cs="Times New Roman"/>
          <w:sz w:val="18"/>
          <w:szCs w:val="18"/>
          <w:lang w:val="es-PE"/>
        </w:rPr>
        <w:t xml:space="preserve">e del hecho que el informe de ajuste no resulta vinculante para las partes, sino hasta el momento </w:t>
      </w:r>
      <w:r w:rsidR="00101DC4" w:rsidRPr="00151C4A">
        <w:rPr>
          <w:rFonts w:ascii="Times New Roman" w:hAnsi="Times New Roman" w:cs="Times New Roman"/>
          <w:sz w:val="18"/>
          <w:szCs w:val="18"/>
          <w:lang w:val="es-PE"/>
        </w:rPr>
        <w:t xml:space="preserve">en el </w:t>
      </w:r>
      <w:r w:rsidR="00D81407" w:rsidRPr="00151C4A">
        <w:rPr>
          <w:rFonts w:ascii="Times New Roman" w:hAnsi="Times New Roman" w:cs="Times New Roman"/>
          <w:sz w:val="18"/>
          <w:szCs w:val="18"/>
          <w:lang w:val="es-PE"/>
        </w:rPr>
        <w:t xml:space="preserve">que ambas lo aceptan. </w:t>
      </w:r>
      <w:r w:rsidRPr="00151C4A">
        <w:rPr>
          <w:rFonts w:ascii="Times New Roman" w:hAnsi="Times New Roman" w:cs="Times New Roman"/>
          <w:sz w:val="18"/>
          <w:szCs w:val="18"/>
          <w:lang w:val="es-PE"/>
        </w:rPr>
        <w:t>Vid.</w:t>
      </w:r>
      <w:r w:rsidR="00E10D0D" w:rsidRPr="00151C4A">
        <w:rPr>
          <w:rFonts w:ascii="Times New Roman" w:hAnsi="Times New Roman" w:cs="Times New Roman"/>
          <w:sz w:val="18"/>
          <w:szCs w:val="18"/>
          <w:lang w:val="es-PE"/>
        </w:rPr>
        <w:t xml:space="preserve"> </w:t>
      </w:r>
      <w:r w:rsidR="00D81407" w:rsidRPr="00151C4A">
        <w:rPr>
          <w:rFonts w:ascii="Times New Roman" w:hAnsi="Times New Roman" w:cs="Times New Roman"/>
          <w:sz w:val="18"/>
          <w:szCs w:val="18"/>
          <w:lang w:val="es-PE"/>
        </w:rPr>
        <w:t>Resolución DEFASEG n.° 112/19 (</w:t>
      </w:r>
      <w:r w:rsidR="00D81407" w:rsidRPr="00151C4A">
        <w:rPr>
          <w:rFonts w:ascii="Times New Roman" w:hAnsi="Times New Roman" w:cs="Times New Roman"/>
          <w:i/>
          <w:iCs/>
          <w:sz w:val="18"/>
          <w:szCs w:val="18"/>
          <w:u w:val="single"/>
          <w:lang w:val="es-PE"/>
        </w:rPr>
        <w:t>Expediente n.° 4154, Ojeda Becerra v. Pacífico</w:t>
      </w:r>
      <w:r w:rsidR="00D81407" w:rsidRPr="00151C4A">
        <w:rPr>
          <w:rFonts w:ascii="Times New Roman" w:hAnsi="Times New Roman" w:cs="Times New Roman"/>
          <w:sz w:val="18"/>
          <w:szCs w:val="18"/>
          <w:lang w:val="es-PE"/>
        </w:rPr>
        <w:t>) de fecha 23 de septiembre de 2019.</w:t>
      </w:r>
    </w:p>
  </w:footnote>
  <w:footnote w:id="9">
    <w:p w14:paraId="5B105DA6" w14:textId="7B70B8AD" w:rsidR="00A760E5" w:rsidRPr="00B17DB2" w:rsidRDefault="00A760E5" w:rsidP="00A760E5">
      <w:pPr>
        <w:pStyle w:val="Textonotapie"/>
        <w:tabs>
          <w:tab w:val="left" w:pos="284"/>
        </w:tabs>
        <w:spacing w:after="120"/>
        <w:ind w:left="284" w:hanging="284"/>
        <w:rPr>
          <w:rFonts w:ascii="Georgia" w:hAnsi="Georgia"/>
          <w:lang w:val="es-PE"/>
        </w:rPr>
      </w:pPr>
      <w:r w:rsidRPr="00151C4A">
        <w:rPr>
          <w:rStyle w:val="Refdenotaalpie"/>
          <w:rFonts w:ascii="Times New Roman" w:hAnsi="Times New Roman" w:cs="Times New Roman"/>
          <w:sz w:val="18"/>
          <w:szCs w:val="18"/>
          <w:lang w:val="es-PE"/>
        </w:rPr>
        <w:footnoteRef/>
      </w:r>
      <w:r w:rsidRPr="00151C4A">
        <w:rPr>
          <w:rFonts w:ascii="Times New Roman" w:hAnsi="Times New Roman" w:cs="Times New Roman"/>
          <w:sz w:val="18"/>
          <w:szCs w:val="18"/>
          <w:lang w:val="es-PE"/>
        </w:rPr>
        <w:t xml:space="preserve"> </w:t>
      </w:r>
      <w:r w:rsidRPr="00151C4A">
        <w:rPr>
          <w:rFonts w:ascii="Times New Roman" w:hAnsi="Times New Roman" w:cs="Times New Roman"/>
          <w:sz w:val="18"/>
          <w:szCs w:val="18"/>
          <w:lang w:val="es-PE"/>
        </w:rPr>
        <w:tab/>
        <w:t xml:space="preserve">Exclusiones comprendidas en los </w:t>
      </w:r>
      <w:r w:rsidR="00B17DB2" w:rsidRPr="00151C4A">
        <w:rPr>
          <w:rFonts w:ascii="Times New Roman" w:hAnsi="Times New Roman" w:cs="Times New Roman"/>
          <w:sz w:val="18"/>
          <w:szCs w:val="18"/>
          <w:lang w:val="es-PE"/>
        </w:rPr>
        <w:t>numerales</w:t>
      </w:r>
      <w:r w:rsidRPr="00151C4A">
        <w:rPr>
          <w:rFonts w:ascii="Times New Roman" w:hAnsi="Times New Roman" w:cs="Times New Roman"/>
          <w:sz w:val="18"/>
          <w:szCs w:val="18"/>
          <w:lang w:val="es-PE"/>
        </w:rPr>
        <w:t xml:space="preserve"> 2.2.8 y 2.9 del Artículo 2 de las Condiciones generales de la Póliza.</w:t>
      </w:r>
      <w:r w:rsidRPr="00B17DB2">
        <w:rPr>
          <w:rFonts w:ascii="Georgia" w:hAnsi="Georgia"/>
          <w:lang w:val="es-P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4160C8"/>
    <w:multiLevelType w:val="multilevel"/>
    <w:tmpl w:val="2222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757C8"/>
    <w:multiLevelType w:val="multilevel"/>
    <w:tmpl w:val="9FBCA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CA03EE"/>
    <w:multiLevelType w:val="multilevel"/>
    <w:tmpl w:val="E994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41F82"/>
    <w:multiLevelType w:val="multilevel"/>
    <w:tmpl w:val="E31E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66DE6"/>
    <w:multiLevelType w:val="multilevel"/>
    <w:tmpl w:val="AA50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2F247D"/>
    <w:multiLevelType w:val="multilevel"/>
    <w:tmpl w:val="0EC04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DC73B3"/>
    <w:multiLevelType w:val="multilevel"/>
    <w:tmpl w:val="E36AE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714113A"/>
    <w:multiLevelType w:val="multilevel"/>
    <w:tmpl w:val="0FE2C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5C51E6"/>
    <w:multiLevelType w:val="multilevel"/>
    <w:tmpl w:val="77B2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4A59E0"/>
    <w:multiLevelType w:val="multilevel"/>
    <w:tmpl w:val="5D94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13598"/>
    <w:multiLevelType w:val="hybridMultilevel"/>
    <w:tmpl w:val="A6F6DF8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CA5BC0"/>
    <w:multiLevelType w:val="multilevel"/>
    <w:tmpl w:val="1B2C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0F2C14"/>
    <w:multiLevelType w:val="singleLevel"/>
    <w:tmpl w:val="C7E66546"/>
    <w:lvl w:ilvl="0">
      <w:start w:val="1"/>
      <w:numFmt w:val="decimal"/>
      <w:lvlText w:val="%1."/>
      <w:lvlJc w:val="left"/>
      <w:pPr>
        <w:tabs>
          <w:tab w:val="num" w:pos="5322"/>
        </w:tabs>
        <w:ind w:left="5322" w:hanging="360"/>
      </w:pPr>
      <w:rPr>
        <w:rFonts w:ascii="Arial" w:hAnsi="Arial" w:cs="Arial" w:hint="default"/>
        <w:sz w:val="18"/>
        <w:szCs w:val="18"/>
      </w:rPr>
    </w:lvl>
  </w:abstractNum>
  <w:abstractNum w:abstractNumId="15" w15:restartNumberingAfterBreak="0">
    <w:nsid w:val="70FC3D4F"/>
    <w:multiLevelType w:val="multilevel"/>
    <w:tmpl w:val="65A85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A01174"/>
    <w:multiLevelType w:val="multilevel"/>
    <w:tmpl w:val="61404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60A4E2"/>
    <w:multiLevelType w:val="hybridMultilevel"/>
    <w:tmpl w:val="600E015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CAA49EA"/>
    <w:multiLevelType w:val="multilevel"/>
    <w:tmpl w:val="9E3A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611398295">
    <w:abstractNumId w:val="0"/>
  </w:num>
  <w:num w:numId="2" w16cid:durableId="925916569">
    <w:abstractNumId w:val="19"/>
  </w:num>
  <w:num w:numId="3" w16cid:durableId="1902785392">
    <w:abstractNumId w:val="8"/>
  </w:num>
  <w:num w:numId="4" w16cid:durableId="1361854290">
    <w:abstractNumId w:val="17"/>
  </w:num>
  <w:num w:numId="5" w16cid:durableId="2144808746">
    <w:abstractNumId w:val="12"/>
  </w:num>
  <w:num w:numId="6" w16cid:durableId="132797651">
    <w:abstractNumId w:val="14"/>
  </w:num>
  <w:num w:numId="7" w16cid:durableId="374231515">
    <w:abstractNumId w:val="7"/>
  </w:num>
  <w:num w:numId="8" w16cid:durableId="147982943">
    <w:abstractNumId w:val="15"/>
  </w:num>
  <w:num w:numId="9" w16cid:durableId="1098721095">
    <w:abstractNumId w:val="3"/>
  </w:num>
  <w:num w:numId="10" w16cid:durableId="1751124390">
    <w:abstractNumId w:val="4"/>
  </w:num>
  <w:num w:numId="11" w16cid:durableId="44648553">
    <w:abstractNumId w:val="13"/>
  </w:num>
  <w:num w:numId="12" w16cid:durableId="814182132">
    <w:abstractNumId w:val="6"/>
  </w:num>
  <w:num w:numId="13" w16cid:durableId="1514370078">
    <w:abstractNumId w:val="9"/>
  </w:num>
  <w:num w:numId="14" w16cid:durableId="1488017122">
    <w:abstractNumId w:val="18"/>
  </w:num>
  <w:num w:numId="15" w16cid:durableId="2007895704">
    <w:abstractNumId w:val="16"/>
  </w:num>
  <w:num w:numId="16" w16cid:durableId="36128911">
    <w:abstractNumId w:val="2"/>
  </w:num>
  <w:num w:numId="17" w16cid:durableId="791091489">
    <w:abstractNumId w:val="11"/>
  </w:num>
  <w:num w:numId="18" w16cid:durableId="921986257">
    <w:abstractNumId w:val="10"/>
  </w:num>
  <w:num w:numId="19" w16cid:durableId="505754834">
    <w:abstractNumId w:val="1"/>
  </w:num>
  <w:num w:numId="20" w16cid:durableId="8291809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6B4E"/>
    <w:rsid w:val="00017572"/>
    <w:rsid w:val="000211CC"/>
    <w:rsid w:val="0002191C"/>
    <w:rsid w:val="000224A8"/>
    <w:rsid w:val="000235E9"/>
    <w:rsid w:val="000249A6"/>
    <w:rsid w:val="0002637D"/>
    <w:rsid w:val="00026FE0"/>
    <w:rsid w:val="00027263"/>
    <w:rsid w:val="0002733C"/>
    <w:rsid w:val="00027978"/>
    <w:rsid w:val="0003104E"/>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459F"/>
    <w:rsid w:val="00076E73"/>
    <w:rsid w:val="00077B6F"/>
    <w:rsid w:val="000801BA"/>
    <w:rsid w:val="00080A9A"/>
    <w:rsid w:val="0008117D"/>
    <w:rsid w:val="00081DFD"/>
    <w:rsid w:val="000825F9"/>
    <w:rsid w:val="000835CB"/>
    <w:rsid w:val="0008387C"/>
    <w:rsid w:val="00083D69"/>
    <w:rsid w:val="00083F50"/>
    <w:rsid w:val="00084148"/>
    <w:rsid w:val="00084BA0"/>
    <w:rsid w:val="00086FFB"/>
    <w:rsid w:val="00090E61"/>
    <w:rsid w:val="00091C09"/>
    <w:rsid w:val="00092684"/>
    <w:rsid w:val="00096CCA"/>
    <w:rsid w:val="000A1DAF"/>
    <w:rsid w:val="000A20F1"/>
    <w:rsid w:val="000A55BA"/>
    <w:rsid w:val="000A5666"/>
    <w:rsid w:val="000A59A0"/>
    <w:rsid w:val="000A5CAA"/>
    <w:rsid w:val="000A5F34"/>
    <w:rsid w:val="000A6DC0"/>
    <w:rsid w:val="000B19A0"/>
    <w:rsid w:val="000B24ED"/>
    <w:rsid w:val="000B2AF9"/>
    <w:rsid w:val="000B5733"/>
    <w:rsid w:val="000B58D8"/>
    <w:rsid w:val="000B71A2"/>
    <w:rsid w:val="000B734B"/>
    <w:rsid w:val="000C0734"/>
    <w:rsid w:val="000C1AAB"/>
    <w:rsid w:val="000C61C8"/>
    <w:rsid w:val="000D107E"/>
    <w:rsid w:val="000D288A"/>
    <w:rsid w:val="000D4AFC"/>
    <w:rsid w:val="000D5F00"/>
    <w:rsid w:val="000D7348"/>
    <w:rsid w:val="000D7B6B"/>
    <w:rsid w:val="000D7E15"/>
    <w:rsid w:val="000E6C90"/>
    <w:rsid w:val="000F17DA"/>
    <w:rsid w:val="000F1F1F"/>
    <w:rsid w:val="000F372E"/>
    <w:rsid w:val="000F4458"/>
    <w:rsid w:val="000F55CC"/>
    <w:rsid w:val="000F56CC"/>
    <w:rsid w:val="000F6340"/>
    <w:rsid w:val="001004B6"/>
    <w:rsid w:val="00101DC4"/>
    <w:rsid w:val="0010277D"/>
    <w:rsid w:val="001035ED"/>
    <w:rsid w:val="001064A0"/>
    <w:rsid w:val="00107004"/>
    <w:rsid w:val="00107CAE"/>
    <w:rsid w:val="00110157"/>
    <w:rsid w:val="00111342"/>
    <w:rsid w:val="00111B72"/>
    <w:rsid w:val="00112C8D"/>
    <w:rsid w:val="0011308C"/>
    <w:rsid w:val="0011380D"/>
    <w:rsid w:val="00113FB6"/>
    <w:rsid w:val="0011633B"/>
    <w:rsid w:val="00116708"/>
    <w:rsid w:val="00116B6A"/>
    <w:rsid w:val="00117C74"/>
    <w:rsid w:val="0012166D"/>
    <w:rsid w:val="001223F9"/>
    <w:rsid w:val="00123031"/>
    <w:rsid w:val="00123707"/>
    <w:rsid w:val="00123F48"/>
    <w:rsid w:val="001242FF"/>
    <w:rsid w:val="00125709"/>
    <w:rsid w:val="00125B9B"/>
    <w:rsid w:val="0013051A"/>
    <w:rsid w:val="00130559"/>
    <w:rsid w:val="00130CD4"/>
    <w:rsid w:val="001320DF"/>
    <w:rsid w:val="00133894"/>
    <w:rsid w:val="001347DF"/>
    <w:rsid w:val="0013694D"/>
    <w:rsid w:val="00136E12"/>
    <w:rsid w:val="001373AF"/>
    <w:rsid w:val="00137429"/>
    <w:rsid w:val="001377EF"/>
    <w:rsid w:val="00140304"/>
    <w:rsid w:val="00140CF5"/>
    <w:rsid w:val="001429BD"/>
    <w:rsid w:val="00142E00"/>
    <w:rsid w:val="00142F5B"/>
    <w:rsid w:val="00143F49"/>
    <w:rsid w:val="0014650D"/>
    <w:rsid w:val="00146C27"/>
    <w:rsid w:val="00147363"/>
    <w:rsid w:val="00147DBE"/>
    <w:rsid w:val="00150874"/>
    <w:rsid w:val="001508BC"/>
    <w:rsid w:val="00151C4A"/>
    <w:rsid w:val="001529FE"/>
    <w:rsid w:val="00157979"/>
    <w:rsid w:val="00160361"/>
    <w:rsid w:val="00163D81"/>
    <w:rsid w:val="00165635"/>
    <w:rsid w:val="0016763E"/>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3395"/>
    <w:rsid w:val="001A44E1"/>
    <w:rsid w:val="001A555F"/>
    <w:rsid w:val="001A5AFB"/>
    <w:rsid w:val="001A61E0"/>
    <w:rsid w:val="001A6EBB"/>
    <w:rsid w:val="001B1E59"/>
    <w:rsid w:val="001B3EE9"/>
    <w:rsid w:val="001B58A3"/>
    <w:rsid w:val="001B6C30"/>
    <w:rsid w:val="001C052B"/>
    <w:rsid w:val="001C3A70"/>
    <w:rsid w:val="001C49C6"/>
    <w:rsid w:val="001D0EED"/>
    <w:rsid w:val="001D1D31"/>
    <w:rsid w:val="001D2203"/>
    <w:rsid w:val="001D2577"/>
    <w:rsid w:val="001D4040"/>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70CB"/>
    <w:rsid w:val="002019FA"/>
    <w:rsid w:val="00201C0D"/>
    <w:rsid w:val="002037C4"/>
    <w:rsid w:val="002041EC"/>
    <w:rsid w:val="00204272"/>
    <w:rsid w:val="00204407"/>
    <w:rsid w:val="00205AC5"/>
    <w:rsid w:val="00206378"/>
    <w:rsid w:val="00206718"/>
    <w:rsid w:val="00207461"/>
    <w:rsid w:val="0020749F"/>
    <w:rsid w:val="002108AD"/>
    <w:rsid w:val="0021173F"/>
    <w:rsid w:val="00211977"/>
    <w:rsid w:val="00211C72"/>
    <w:rsid w:val="002130B0"/>
    <w:rsid w:val="00213628"/>
    <w:rsid w:val="0021627D"/>
    <w:rsid w:val="00217D74"/>
    <w:rsid w:val="0022049B"/>
    <w:rsid w:val="00225288"/>
    <w:rsid w:val="00227D02"/>
    <w:rsid w:val="00231C58"/>
    <w:rsid w:val="00232B40"/>
    <w:rsid w:val="002331C3"/>
    <w:rsid w:val="002333AB"/>
    <w:rsid w:val="00234777"/>
    <w:rsid w:val="00234A33"/>
    <w:rsid w:val="00240336"/>
    <w:rsid w:val="00241719"/>
    <w:rsid w:val="00242425"/>
    <w:rsid w:val="00243DFC"/>
    <w:rsid w:val="00243F6B"/>
    <w:rsid w:val="0024405B"/>
    <w:rsid w:val="002447A6"/>
    <w:rsid w:val="00245393"/>
    <w:rsid w:val="00246FF9"/>
    <w:rsid w:val="00247395"/>
    <w:rsid w:val="002528B8"/>
    <w:rsid w:val="00252D46"/>
    <w:rsid w:val="00253CBD"/>
    <w:rsid w:val="00254641"/>
    <w:rsid w:val="002557EF"/>
    <w:rsid w:val="00256E4E"/>
    <w:rsid w:val="00260B6D"/>
    <w:rsid w:val="00260F46"/>
    <w:rsid w:val="0026148B"/>
    <w:rsid w:val="0026162A"/>
    <w:rsid w:val="00261D97"/>
    <w:rsid w:val="00262031"/>
    <w:rsid w:val="00264617"/>
    <w:rsid w:val="0026635B"/>
    <w:rsid w:val="0027261F"/>
    <w:rsid w:val="00272F4F"/>
    <w:rsid w:val="0027301E"/>
    <w:rsid w:val="00273738"/>
    <w:rsid w:val="00274985"/>
    <w:rsid w:val="00274A0C"/>
    <w:rsid w:val="0027653A"/>
    <w:rsid w:val="002766D1"/>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4852"/>
    <w:rsid w:val="002C5DF4"/>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7BF"/>
    <w:rsid w:val="002F5F01"/>
    <w:rsid w:val="002F60A5"/>
    <w:rsid w:val="002F7D42"/>
    <w:rsid w:val="00300E51"/>
    <w:rsid w:val="003011C8"/>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24C96"/>
    <w:rsid w:val="00330790"/>
    <w:rsid w:val="003314D9"/>
    <w:rsid w:val="00331F16"/>
    <w:rsid w:val="00333BAA"/>
    <w:rsid w:val="00340E4B"/>
    <w:rsid w:val="00341784"/>
    <w:rsid w:val="00344B3D"/>
    <w:rsid w:val="0034542F"/>
    <w:rsid w:val="00345AC3"/>
    <w:rsid w:val="00345DF0"/>
    <w:rsid w:val="00345F7F"/>
    <w:rsid w:val="003477EF"/>
    <w:rsid w:val="00347D7E"/>
    <w:rsid w:val="003526ED"/>
    <w:rsid w:val="00353092"/>
    <w:rsid w:val="003534E0"/>
    <w:rsid w:val="003544B1"/>
    <w:rsid w:val="00356F61"/>
    <w:rsid w:val="00357D70"/>
    <w:rsid w:val="00360239"/>
    <w:rsid w:val="00361278"/>
    <w:rsid w:val="00361699"/>
    <w:rsid w:val="00361F6A"/>
    <w:rsid w:val="00362449"/>
    <w:rsid w:val="00362679"/>
    <w:rsid w:val="00363C5F"/>
    <w:rsid w:val="00364E0F"/>
    <w:rsid w:val="003653B3"/>
    <w:rsid w:val="00366294"/>
    <w:rsid w:val="00366842"/>
    <w:rsid w:val="00366F29"/>
    <w:rsid w:val="00367746"/>
    <w:rsid w:val="00370144"/>
    <w:rsid w:val="00372864"/>
    <w:rsid w:val="00372C56"/>
    <w:rsid w:val="00373102"/>
    <w:rsid w:val="0037363C"/>
    <w:rsid w:val="00374DFF"/>
    <w:rsid w:val="00374E5F"/>
    <w:rsid w:val="0037787C"/>
    <w:rsid w:val="00377F69"/>
    <w:rsid w:val="003812D2"/>
    <w:rsid w:val="0038290F"/>
    <w:rsid w:val="0038740F"/>
    <w:rsid w:val="00391C15"/>
    <w:rsid w:val="00391F72"/>
    <w:rsid w:val="00392259"/>
    <w:rsid w:val="0039488D"/>
    <w:rsid w:val="003A0559"/>
    <w:rsid w:val="003A0905"/>
    <w:rsid w:val="003A12F3"/>
    <w:rsid w:val="003A2AA0"/>
    <w:rsid w:val="003A3C08"/>
    <w:rsid w:val="003A3F8C"/>
    <w:rsid w:val="003A3FA8"/>
    <w:rsid w:val="003A5658"/>
    <w:rsid w:val="003A584D"/>
    <w:rsid w:val="003A5B5C"/>
    <w:rsid w:val="003B11E0"/>
    <w:rsid w:val="003B32A5"/>
    <w:rsid w:val="003B348C"/>
    <w:rsid w:val="003B3A93"/>
    <w:rsid w:val="003B41F7"/>
    <w:rsid w:val="003B5044"/>
    <w:rsid w:val="003B6892"/>
    <w:rsid w:val="003B798E"/>
    <w:rsid w:val="003C0299"/>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4ABD"/>
    <w:rsid w:val="003E7BAE"/>
    <w:rsid w:val="003F0C97"/>
    <w:rsid w:val="003F1149"/>
    <w:rsid w:val="003F1B5F"/>
    <w:rsid w:val="003F20C7"/>
    <w:rsid w:val="003F2DC2"/>
    <w:rsid w:val="003F5262"/>
    <w:rsid w:val="00401E6A"/>
    <w:rsid w:val="004030BC"/>
    <w:rsid w:val="00403814"/>
    <w:rsid w:val="004049B9"/>
    <w:rsid w:val="00406AFD"/>
    <w:rsid w:val="00411866"/>
    <w:rsid w:val="00414109"/>
    <w:rsid w:val="00414A7B"/>
    <w:rsid w:val="00417CFB"/>
    <w:rsid w:val="00417E23"/>
    <w:rsid w:val="00420399"/>
    <w:rsid w:val="00420F89"/>
    <w:rsid w:val="00421B54"/>
    <w:rsid w:val="0042236E"/>
    <w:rsid w:val="00423BDE"/>
    <w:rsid w:val="00425ACB"/>
    <w:rsid w:val="00425F75"/>
    <w:rsid w:val="00426C11"/>
    <w:rsid w:val="004310D6"/>
    <w:rsid w:val="004324AC"/>
    <w:rsid w:val="00440AE0"/>
    <w:rsid w:val="00440BC2"/>
    <w:rsid w:val="00443191"/>
    <w:rsid w:val="00443875"/>
    <w:rsid w:val="00444232"/>
    <w:rsid w:val="00444DE9"/>
    <w:rsid w:val="00445D0D"/>
    <w:rsid w:val="004513F2"/>
    <w:rsid w:val="00452340"/>
    <w:rsid w:val="00452C11"/>
    <w:rsid w:val="00460C30"/>
    <w:rsid w:val="004623E6"/>
    <w:rsid w:val="00463C58"/>
    <w:rsid w:val="00465FB9"/>
    <w:rsid w:val="00466302"/>
    <w:rsid w:val="0046647B"/>
    <w:rsid w:val="00470AB9"/>
    <w:rsid w:val="0047370C"/>
    <w:rsid w:val="00475098"/>
    <w:rsid w:val="0047522D"/>
    <w:rsid w:val="00475B39"/>
    <w:rsid w:val="00476BA1"/>
    <w:rsid w:val="00477488"/>
    <w:rsid w:val="00477A6F"/>
    <w:rsid w:val="004814D2"/>
    <w:rsid w:val="00482C9F"/>
    <w:rsid w:val="0048408F"/>
    <w:rsid w:val="004858EC"/>
    <w:rsid w:val="00486637"/>
    <w:rsid w:val="004872DA"/>
    <w:rsid w:val="004912F8"/>
    <w:rsid w:val="00491AAA"/>
    <w:rsid w:val="004931C9"/>
    <w:rsid w:val="004946A3"/>
    <w:rsid w:val="004966DD"/>
    <w:rsid w:val="00496839"/>
    <w:rsid w:val="00496848"/>
    <w:rsid w:val="00496A1A"/>
    <w:rsid w:val="00497760"/>
    <w:rsid w:val="004A1518"/>
    <w:rsid w:val="004A3DB7"/>
    <w:rsid w:val="004A3E25"/>
    <w:rsid w:val="004A3F7E"/>
    <w:rsid w:val="004A537B"/>
    <w:rsid w:val="004A718F"/>
    <w:rsid w:val="004B155C"/>
    <w:rsid w:val="004B1A8C"/>
    <w:rsid w:val="004B27E2"/>
    <w:rsid w:val="004B27F5"/>
    <w:rsid w:val="004B32A9"/>
    <w:rsid w:val="004B51ED"/>
    <w:rsid w:val="004B7D4E"/>
    <w:rsid w:val="004B7DCE"/>
    <w:rsid w:val="004C0196"/>
    <w:rsid w:val="004C0388"/>
    <w:rsid w:val="004C0D35"/>
    <w:rsid w:val="004C1C34"/>
    <w:rsid w:val="004C34ED"/>
    <w:rsid w:val="004C3692"/>
    <w:rsid w:val="004C51EC"/>
    <w:rsid w:val="004C5A91"/>
    <w:rsid w:val="004C6D0A"/>
    <w:rsid w:val="004C7FB3"/>
    <w:rsid w:val="004D349A"/>
    <w:rsid w:val="004E04CE"/>
    <w:rsid w:val="004E210D"/>
    <w:rsid w:val="004E28FB"/>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07877"/>
    <w:rsid w:val="005152C7"/>
    <w:rsid w:val="00516293"/>
    <w:rsid w:val="0051692C"/>
    <w:rsid w:val="005175FE"/>
    <w:rsid w:val="005201C0"/>
    <w:rsid w:val="005201E9"/>
    <w:rsid w:val="00521B4C"/>
    <w:rsid w:val="00522E2A"/>
    <w:rsid w:val="00524557"/>
    <w:rsid w:val="005256D3"/>
    <w:rsid w:val="005259E7"/>
    <w:rsid w:val="005265A5"/>
    <w:rsid w:val="00527760"/>
    <w:rsid w:val="00527B27"/>
    <w:rsid w:val="00531386"/>
    <w:rsid w:val="005316B2"/>
    <w:rsid w:val="00531BEE"/>
    <w:rsid w:val="005323A2"/>
    <w:rsid w:val="005331D5"/>
    <w:rsid w:val="0053470F"/>
    <w:rsid w:val="00534B05"/>
    <w:rsid w:val="00535473"/>
    <w:rsid w:val="005358B7"/>
    <w:rsid w:val="00536153"/>
    <w:rsid w:val="00537DBF"/>
    <w:rsid w:val="00540F01"/>
    <w:rsid w:val="00541534"/>
    <w:rsid w:val="00542878"/>
    <w:rsid w:val="00542AFD"/>
    <w:rsid w:val="00543E68"/>
    <w:rsid w:val="00544BFC"/>
    <w:rsid w:val="0054553F"/>
    <w:rsid w:val="005466DB"/>
    <w:rsid w:val="00547EE5"/>
    <w:rsid w:val="00547F11"/>
    <w:rsid w:val="00550366"/>
    <w:rsid w:val="00551F42"/>
    <w:rsid w:val="00555D87"/>
    <w:rsid w:val="00556399"/>
    <w:rsid w:val="00556526"/>
    <w:rsid w:val="00556F85"/>
    <w:rsid w:val="005570A7"/>
    <w:rsid w:val="005606DC"/>
    <w:rsid w:val="00561130"/>
    <w:rsid w:val="00564B1B"/>
    <w:rsid w:val="0056773D"/>
    <w:rsid w:val="00567DEC"/>
    <w:rsid w:val="0057035B"/>
    <w:rsid w:val="005708AF"/>
    <w:rsid w:val="0057428A"/>
    <w:rsid w:val="005818E3"/>
    <w:rsid w:val="00582D26"/>
    <w:rsid w:val="0058358B"/>
    <w:rsid w:val="00583A87"/>
    <w:rsid w:val="00584747"/>
    <w:rsid w:val="00585D65"/>
    <w:rsid w:val="00586159"/>
    <w:rsid w:val="00587F86"/>
    <w:rsid w:val="00591286"/>
    <w:rsid w:val="00593730"/>
    <w:rsid w:val="005948EF"/>
    <w:rsid w:val="005949B4"/>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17D1"/>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F6B"/>
    <w:rsid w:val="005F2582"/>
    <w:rsid w:val="005F265B"/>
    <w:rsid w:val="005F34F8"/>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6AC"/>
    <w:rsid w:val="0065594D"/>
    <w:rsid w:val="00655A90"/>
    <w:rsid w:val="00655BA3"/>
    <w:rsid w:val="006562E4"/>
    <w:rsid w:val="0065656E"/>
    <w:rsid w:val="006569D5"/>
    <w:rsid w:val="00656FE2"/>
    <w:rsid w:val="0065714F"/>
    <w:rsid w:val="00657AD2"/>
    <w:rsid w:val="00660D6F"/>
    <w:rsid w:val="00664518"/>
    <w:rsid w:val="006645DB"/>
    <w:rsid w:val="00664F22"/>
    <w:rsid w:val="00667A13"/>
    <w:rsid w:val="00670183"/>
    <w:rsid w:val="00670241"/>
    <w:rsid w:val="00671B55"/>
    <w:rsid w:val="00671DB5"/>
    <w:rsid w:val="00674872"/>
    <w:rsid w:val="00674DE5"/>
    <w:rsid w:val="0067797A"/>
    <w:rsid w:val="00680D8A"/>
    <w:rsid w:val="00682454"/>
    <w:rsid w:val="006829E6"/>
    <w:rsid w:val="006832CF"/>
    <w:rsid w:val="00686BB2"/>
    <w:rsid w:val="006878E1"/>
    <w:rsid w:val="00690AA0"/>
    <w:rsid w:val="0069304A"/>
    <w:rsid w:val="0069590B"/>
    <w:rsid w:val="00695BD5"/>
    <w:rsid w:val="0069684A"/>
    <w:rsid w:val="006969AA"/>
    <w:rsid w:val="006970EB"/>
    <w:rsid w:val="00697D6C"/>
    <w:rsid w:val="006A048D"/>
    <w:rsid w:val="006A19F1"/>
    <w:rsid w:val="006A2ADE"/>
    <w:rsid w:val="006A2DBF"/>
    <w:rsid w:val="006A3EBA"/>
    <w:rsid w:val="006A4D45"/>
    <w:rsid w:val="006A77BA"/>
    <w:rsid w:val="006B5CAE"/>
    <w:rsid w:val="006B6EA6"/>
    <w:rsid w:val="006B6FF3"/>
    <w:rsid w:val="006B7AF8"/>
    <w:rsid w:val="006C0343"/>
    <w:rsid w:val="006C1704"/>
    <w:rsid w:val="006C1A65"/>
    <w:rsid w:val="006C29A7"/>
    <w:rsid w:val="006C3DBC"/>
    <w:rsid w:val="006C5090"/>
    <w:rsid w:val="006C6261"/>
    <w:rsid w:val="006C6430"/>
    <w:rsid w:val="006C707E"/>
    <w:rsid w:val="006D1505"/>
    <w:rsid w:val="006D2BA9"/>
    <w:rsid w:val="006D2E8D"/>
    <w:rsid w:val="006D397E"/>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514C"/>
    <w:rsid w:val="006F6085"/>
    <w:rsid w:val="006F6CBD"/>
    <w:rsid w:val="0070030F"/>
    <w:rsid w:val="007003E3"/>
    <w:rsid w:val="00701598"/>
    <w:rsid w:val="007015BB"/>
    <w:rsid w:val="00701639"/>
    <w:rsid w:val="00701893"/>
    <w:rsid w:val="007021E5"/>
    <w:rsid w:val="00703430"/>
    <w:rsid w:val="00703640"/>
    <w:rsid w:val="00703F89"/>
    <w:rsid w:val="00704A95"/>
    <w:rsid w:val="00705F2D"/>
    <w:rsid w:val="00706392"/>
    <w:rsid w:val="007065DE"/>
    <w:rsid w:val="00706EB2"/>
    <w:rsid w:val="00707C71"/>
    <w:rsid w:val="00707C99"/>
    <w:rsid w:val="0071145A"/>
    <w:rsid w:val="00711C9A"/>
    <w:rsid w:val="007130CB"/>
    <w:rsid w:val="00713851"/>
    <w:rsid w:val="007146E7"/>
    <w:rsid w:val="00716AB1"/>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1DAF"/>
    <w:rsid w:val="00733004"/>
    <w:rsid w:val="0073378D"/>
    <w:rsid w:val="00733D4C"/>
    <w:rsid w:val="007352EE"/>
    <w:rsid w:val="00737844"/>
    <w:rsid w:val="007413BB"/>
    <w:rsid w:val="007415C6"/>
    <w:rsid w:val="007416F6"/>
    <w:rsid w:val="00744447"/>
    <w:rsid w:val="00751717"/>
    <w:rsid w:val="007542CA"/>
    <w:rsid w:val="00754CE1"/>
    <w:rsid w:val="0075586B"/>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76EE7"/>
    <w:rsid w:val="00781235"/>
    <w:rsid w:val="00784355"/>
    <w:rsid w:val="00786117"/>
    <w:rsid w:val="00787327"/>
    <w:rsid w:val="007905FF"/>
    <w:rsid w:val="007906AF"/>
    <w:rsid w:val="007906F7"/>
    <w:rsid w:val="00790B57"/>
    <w:rsid w:val="00792806"/>
    <w:rsid w:val="0079295B"/>
    <w:rsid w:val="00792C35"/>
    <w:rsid w:val="00794424"/>
    <w:rsid w:val="00794C89"/>
    <w:rsid w:val="007950DD"/>
    <w:rsid w:val="007965C0"/>
    <w:rsid w:val="007965E2"/>
    <w:rsid w:val="00797191"/>
    <w:rsid w:val="007A0506"/>
    <w:rsid w:val="007A09BB"/>
    <w:rsid w:val="007A1D74"/>
    <w:rsid w:val="007A20FA"/>
    <w:rsid w:val="007A3F3F"/>
    <w:rsid w:val="007A4108"/>
    <w:rsid w:val="007A4B5F"/>
    <w:rsid w:val="007A4E68"/>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5E04"/>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5DCA"/>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57CD4"/>
    <w:rsid w:val="0086244F"/>
    <w:rsid w:val="00871F40"/>
    <w:rsid w:val="00873D99"/>
    <w:rsid w:val="00874ED7"/>
    <w:rsid w:val="00877125"/>
    <w:rsid w:val="00881AC0"/>
    <w:rsid w:val="0088213F"/>
    <w:rsid w:val="00883121"/>
    <w:rsid w:val="0088392F"/>
    <w:rsid w:val="0088400A"/>
    <w:rsid w:val="00884426"/>
    <w:rsid w:val="008863B2"/>
    <w:rsid w:val="00886584"/>
    <w:rsid w:val="00886745"/>
    <w:rsid w:val="00886D60"/>
    <w:rsid w:val="0088746E"/>
    <w:rsid w:val="00887814"/>
    <w:rsid w:val="00890096"/>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4093"/>
    <w:rsid w:val="008B47F3"/>
    <w:rsid w:val="008B5C61"/>
    <w:rsid w:val="008B6C1E"/>
    <w:rsid w:val="008B760D"/>
    <w:rsid w:val="008C44CB"/>
    <w:rsid w:val="008C50AF"/>
    <w:rsid w:val="008C70D4"/>
    <w:rsid w:val="008D1D39"/>
    <w:rsid w:val="008D426D"/>
    <w:rsid w:val="008D4E58"/>
    <w:rsid w:val="008D5049"/>
    <w:rsid w:val="008D538C"/>
    <w:rsid w:val="008D6DDF"/>
    <w:rsid w:val="008D6FDB"/>
    <w:rsid w:val="008D721C"/>
    <w:rsid w:val="008E33FD"/>
    <w:rsid w:val="008E44D1"/>
    <w:rsid w:val="008E65A0"/>
    <w:rsid w:val="008E661B"/>
    <w:rsid w:val="008E75E7"/>
    <w:rsid w:val="008E7F8A"/>
    <w:rsid w:val="008F1161"/>
    <w:rsid w:val="008F202B"/>
    <w:rsid w:val="008F3119"/>
    <w:rsid w:val="008F479E"/>
    <w:rsid w:val="009011F1"/>
    <w:rsid w:val="00903260"/>
    <w:rsid w:val="00903C28"/>
    <w:rsid w:val="00905BA5"/>
    <w:rsid w:val="00907807"/>
    <w:rsid w:val="00910014"/>
    <w:rsid w:val="009117F7"/>
    <w:rsid w:val="009123CD"/>
    <w:rsid w:val="009127A6"/>
    <w:rsid w:val="00914463"/>
    <w:rsid w:val="0091528B"/>
    <w:rsid w:val="009157B1"/>
    <w:rsid w:val="00915DC7"/>
    <w:rsid w:val="0091674F"/>
    <w:rsid w:val="00917CAF"/>
    <w:rsid w:val="00921004"/>
    <w:rsid w:val="00924F11"/>
    <w:rsid w:val="00925936"/>
    <w:rsid w:val="009271BE"/>
    <w:rsid w:val="009272D7"/>
    <w:rsid w:val="00927485"/>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479EA"/>
    <w:rsid w:val="00950AD3"/>
    <w:rsid w:val="00951B99"/>
    <w:rsid w:val="00951CDB"/>
    <w:rsid w:val="00951EC0"/>
    <w:rsid w:val="00952A87"/>
    <w:rsid w:val="00952B66"/>
    <w:rsid w:val="00952E95"/>
    <w:rsid w:val="00952F86"/>
    <w:rsid w:val="00955C03"/>
    <w:rsid w:val="00956DE7"/>
    <w:rsid w:val="0095706F"/>
    <w:rsid w:val="00961D32"/>
    <w:rsid w:val="009622FB"/>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2234"/>
    <w:rsid w:val="009A31D3"/>
    <w:rsid w:val="009A3BD0"/>
    <w:rsid w:val="009A3D48"/>
    <w:rsid w:val="009A40B3"/>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464"/>
    <w:rsid w:val="009D55E8"/>
    <w:rsid w:val="009D56D8"/>
    <w:rsid w:val="009D5ECD"/>
    <w:rsid w:val="009D6055"/>
    <w:rsid w:val="009D6445"/>
    <w:rsid w:val="009D7898"/>
    <w:rsid w:val="009D7BF6"/>
    <w:rsid w:val="009E0D31"/>
    <w:rsid w:val="009E10EE"/>
    <w:rsid w:val="009E12A8"/>
    <w:rsid w:val="009E2DB1"/>
    <w:rsid w:val="009E5446"/>
    <w:rsid w:val="009E5F11"/>
    <w:rsid w:val="009E6480"/>
    <w:rsid w:val="009E7994"/>
    <w:rsid w:val="009F143B"/>
    <w:rsid w:val="009F23E6"/>
    <w:rsid w:val="009F2DB4"/>
    <w:rsid w:val="009F2EEB"/>
    <w:rsid w:val="009F2F3F"/>
    <w:rsid w:val="009F56DB"/>
    <w:rsid w:val="009F58BA"/>
    <w:rsid w:val="009F73BD"/>
    <w:rsid w:val="009F75DF"/>
    <w:rsid w:val="00A00055"/>
    <w:rsid w:val="00A00101"/>
    <w:rsid w:val="00A0075C"/>
    <w:rsid w:val="00A02270"/>
    <w:rsid w:val="00A04D03"/>
    <w:rsid w:val="00A07065"/>
    <w:rsid w:val="00A077D2"/>
    <w:rsid w:val="00A1000C"/>
    <w:rsid w:val="00A11B13"/>
    <w:rsid w:val="00A11E57"/>
    <w:rsid w:val="00A16942"/>
    <w:rsid w:val="00A17A72"/>
    <w:rsid w:val="00A20E69"/>
    <w:rsid w:val="00A22B41"/>
    <w:rsid w:val="00A23D9B"/>
    <w:rsid w:val="00A23DD8"/>
    <w:rsid w:val="00A2528C"/>
    <w:rsid w:val="00A25909"/>
    <w:rsid w:val="00A25F51"/>
    <w:rsid w:val="00A268C5"/>
    <w:rsid w:val="00A27055"/>
    <w:rsid w:val="00A27E33"/>
    <w:rsid w:val="00A30393"/>
    <w:rsid w:val="00A30F1C"/>
    <w:rsid w:val="00A31AB4"/>
    <w:rsid w:val="00A31C41"/>
    <w:rsid w:val="00A321E2"/>
    <w:rsid w:val="00A32246"/>
    <w:rsid w:val="00A323F4"/>
    <w:rsid w:val="00A328C0"/>
    <w:rsid w:val="00A339A7"/>
    <w:rsid w:val="00A3714C"/>
    <w:rsid w:val="00A405C7"/>
    <w:rsid w:val="00A410BC"/>
    <w:rsid w:val="00A4125F"/>
    <w:rsid w:val="00A41BD6"/>
    <w:rsid w:val="00A427D6"/>
    <w:rsid w:val="00A45A2D"/>
    <w:rsid w:val="00A46710"/>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58C1"/>
    <w:rsid w:val="00A66684"/>
    <w:rsid w:val="00A734AD"/>
    <w:rsid w:val="00A74C70"/>
    <w:rsid w:val="00A76050"/>
    <w:rsid w:val="00A760E5"/>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661"/>
    <w:rsid w:val="00A96EE6"/>
    <w:rsid w:val="00A97287"/>
    <w:rsid w:val="00AA0B0F"/>
    <w:rsid w:val="00AA109E"/>
    <w:rsid w:val="00AA13BC"/>
    <w:rsid w:val="00AA15E5"/>
    <w:rsid w:val="00AA18F9"/>
    <w:rsid w:val="00AA2AA2"/>
    <w:rsid w:val="00AA2DED"/>
    <w:rsid w:val="00AA4E5D"/>
    <w:rsid w:val="00AA79FD"/>
    <w:rsid w:val="00AB0989"/>
    <w:rsid w:val="00AB1C66"/>
    <w:rsid w:val="00AB2B72"/>
    <w:rsid w:val="00AB4214"/>
    <w:rsid w:val="00AB435C"/>
    <w:rsid w:val="00AB4BA8"/>
    <w:rsid w:val="00AB7B1D"/>
    <w:rsid w:val="00AB7BFE"/>
    <w:rsid w:val="00AC0CD4"/>
    <w:rsid w:val="00AC4C86"/>
    <w:rsid w:val="00AC4CF3"/>
    <w:rsid w:val="00AC507D"/>
    <w:rsid w:val="00AC5243"/>
    <w:rsid w:val="00AC5A9E"/>
    <w:rsid w:val="00AC74C2"/>
    <w:rsid w:val="00AC7794"/>
    <w:rsid w:val="00AD0C24"/>
    <w:rsid w:val="00AD1FEC"/>
    <w:rsid w:val="00AD2B82"/>
    <w:rsid w:val="00AD2DF1"/>
    <w:rsid w:val="00AD2EA1"/>
    <w:rsid w:val="00AD392D"/>
    <w:rsid w:val="00AD4559"/>
    <w:rsid w:val="00AD5C68"/>
    <w:rsid w:val="00AD61A7"/>
    <w:rsid w:val="00AD772E"/>
    <w:rsid w:val="00AE131E"/>
    <w:rsid w:val="00AE1476"/>
    <w:rsid w:val="00AE4125"/>
    <w:rsid w:val="00AE58A1"/>
    <w:rsid w:val="00AE6BD5"/>
    <w:rsid w:val="00AF11B1"/>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DB2"/>
    <w:rsid w:val="00B17E56"/>
    <w:rsid w:val="00B23F78"/>
    <w:rsid w:val="00B256E8"/>
    <w:rsid w:val="00B25C34"/>
    <w:rsid w:val="00B26EEA"/>
    <w:rsid w:val="00B30B53"/>
    <w:rsid w:val="00B313E9"/>
    <w:rsid w:val="00B32325"/>
    <w:rsid w:val="00B32AAC"/>
    <w:rsid w:val="00B3379E"/>
    <w:rsid w:val="00B340A4"/>
    <w:rsid w:val="00B340D4"/>
    <w:rsid w:val="00B34434"/>
    <w:rsid w:val="00B34463"/>
    <w:rsid w:val="00B35531"/>
    <w:rsid w:val="00B355EC"/>
    <w:rsid w:val="00B4047A"/>
    <w:rsid w:val="00B411A3"/>
    <w:rsid w:val="00B431AF"/>
    <w:rsid w:val="00B443CF"/>
    <w:rsid w:val="00B45C2D"/>
    <w:rsid w:val="00B45D71"/>
    <w:rsid w:val="00B46D45"/>
    <w:rsid w:val="00B47985"/>
    <w:rsid w:val="00B50F76"/>
    <w:rsid w:val="00B51E54"/>
    <w:rsid w:val="00B53696"/>
    <w:rsid w:val="00B53D48"/>
    <w:rsid w:val="00B541DE"/>
    <w:rsid w:val="00B56649"/>
    <w:rsid w:val="00B625F2"/>
    <w:rsid w:val="00B62982"/>
    <w:rsid w:val="00B62B5B"/>
    <w:rsid w:val="00B64FA2"/>
    <w:rsid w:val="00B65520"/>
    <w:rsid w:val="00B663DC"/>
    <w:rsid w:val="00B66E9D"/>
    <w:rsid w:val="00B67430"/>
    <w:rsid w:val="00B67545"/>
    <w:rsid w:val="00B70EC3"/>
    <w:rsid w:val="00B710D8"/>
    <w:rsid w:val="00B73629"/>
    <w:rsid w:val="00B7466E"/>
    <w:rsid w:val="00B74AA1"/>
    <w:rsid w:val="00B74AE3"/>
    <w:rsid w:val="00B75E89"/>
    <w:rsid w:val="00B779BD"/>
    <w:rsid w:val="00B8021E"/>
    <w:rsid w:val="00B8028F"/>
    <w:rsid w:val="00B833BE"/>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2152"/>
    <w:rsid w:val="00BB2BE0"/>
    <w:rsid w:val="00BB3529"/>
    <w:rsid w:val="00BB4047"/>
    <w:rsid w:val="00BB405B"/>
    <w:rsid w:val="00BB4B19"/>
    <w:rsid w:val="00BB6442"/>
    <w:rsid w:val="00BB68F9"/>
    <w:rsid w:val="00BB7FC6"/>
    <w:rsid w:val="00BC1799"/>
    <w:rsid w:val="00BC2663"/>
    <w:rsid w:val="00BC29D0"/>
    <w:rsid w:val="00BC4043"/>
    <w:rsid w:val="00BC4A27"/>
    <w:rsid w:val="00BC4FD6"/>
    <w:rsid w:val="00BC6B65"/>
    <w:rsid w:val="00BC6D3A"/>
    <w:rsid w:val="00BC7548"/>
    <w:rsid w:val="00BD128D"/>
    <w:rsid w:val="00BD3016"/>
    <w:rsid w:val="00BD6F2D"/>
    <w:rsid w:val="00BD797F"/>
    <w:rsid w:val="00BD7F12"/>
    <w:rsid w:val="00BE0145"/>
    <w:rsid w:val="00BE1470"/>
    <w:rsid w:val="00BE2EDB"/>
    <w:rsid w:val="00BE6714"/>
    <w:rsid w:val="00BE7C72"/>
    <w:rsid w:val="00BF1421"/>
    <w:rsid w:val="00BF2468"/>
    <w:rsid w:val="00BF414E"/>
    <w:rsid w:val="00BF5CEF"/>
    <w:rsid w:val="00BF78BF"/>
    <w:rsid w:val="00C00BBF"/>
    <w:rsid w:val="00C02CC4"/>
    <w:rsid w:val="00C03B68"/>
    <w:rsid w:val="00C04AA4"/>
    <w:rsid w:val="00C04EC8"/>
    <w:rsid w:val="00C05445"/>
    <w:rsid w:val="00C05CE1"/>
    <w:rsid w:val="00C06BE9"/>
    <w:rsid w:val="00C112C9"/>
    <w:rsid w:val="00C12CBD"/>
    <w:rsid w:val="00C13469"/>
    <w:rsid w:val="00C134DB"/>
    <w:rsid w:val="00C16D8A"/>
    <w:rsid w:val="00C20847"/>
    <w:rsid w:val="00C222E3"/>
    <w:rsid w:val="00C25B78"/>
    <w:rsid w:val="00C264DC"/>
    <w:rsid w:val="00C26907"/>
    <w:rsid w:val="00C32068"/>
    <w:rsid w:val="00C32301"/>
    <w:rsid w:val="00C33FEF"/>
    <w:rsid w:val="00C34017"/>
    <w:rsid w:val="00C3517E"/>
    <w:rsid w:val="00C355DF"/>
    <w:rsid w:val="00C4007D"/>
    <w:rsid w:val="00C4163B"/>
    <w:rsid w:val="00C41F24"/>
    <w:rsid w:val="00C43FD0"/>
    <w:rsid w:val="00C44FC6"/>
    <w:rsid w:val="00C4691E"/>
    <w:rsid w:val="00C47619"/>
    <w:rsid w:val="00C51445"/>
    <w:rsid w:val="00C5168E"/>
    <w:rsid w:val="00C51D2A"/>
    <w:rsid w:val="00C52848"/>
    <w:rsid w:val="00C55704"/>
    <w:rsid w:val="00C6074A"/>
    <w:rsid w:val="00C61FF5"/>
    <w:rsid w:val="00C63606"/>
    <w:rsid w:val="00C649B2"/>
    <w:rsid w:val="00C65B8D"/>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0F25"/>
    <w:rsid w:val="00C8227D"/>
    <w:rsid w:val="00C8269C"/>
    <w:rsid w:val="00C83750"/>
    <w:rsid w:val="00C86509"/>
    <w:rsid w:val="00C8675B"/>
    <w:rsid w:val="00C86CD7"/>
    <w:rsid w:val="00C86F17"/>
    <w:rsid w:val="00C86F88"/>
    <w:rsid w:val="00C87AD2"/>
    <w:rsid w:val="00C90BBF"/>
    <w:rsid w:val="00C91729"/>
    <w:rsid w:val="00C91865"/>
    <w:rsid w:val="00C9376B"/>
    <w:rsid w:val="00C943EA"/>
    <w:rsid w:val="00C9581A"/>
    <w:rsid w:val="00C960BE"/>
    <w:rsid w:val="00C9791B"/>
    <w:rsid w:val="00CA27CB"/>
    <w:rsid w:val="00CA3682"/>
    <w:rsid w:val="00CA52B4"/>
    <w:rsid w:val="00CA5B5C"/>
    <w:rsid w:val="00CA71C3"/>
    <w:rsid w:val="00CB0040"/>
    <w:rsid w:val="00CB1689"/>
    <w:rsid w:val="00CB332F"/>
    <w:rsid w:val="00CB3481"/>
    <w:rsid w:val="00CB4013"/>
    <w:rsid w:val="00CB44BB"/>
    <w:rsid w:val="00CB4580"/>
    <w:rsid w:val="00CB4A2C"/>
    <w:rsid w:val="00CB5FE1"/>
    <w:rsid w:val="00CC2A7C"/>
    <w:rsid w:val="00CC4AEF"/>
    <w:rsid w:val="00CC6C0C"/>
    <w:rsid w:val="00CC719D"/>
    <w:rsid w:val="00CC724A"/>
    <w:rsid w:val="00CC77BA"/>
    <w:rsid w:val="00CD38AE"/>
    <w:rsid w:val="00CD44B9"/>
    <w:rsid w:val="00CD482D"/>
    <w:rsid w:val="00CD4BE8"/>
    <w:rsid w:val="00CE2834"/>
    <w:rsid w:val="00CE7264"/>
    <w:rsid w:val="00CF158B"/>
    <w:rsid w:val="00CF3AE3"/>
    <w:rsid w:val="00CF5301"/>
    <w:rsid w:val="00CF534A"/>
    <w:rsid w:val="00CF55D6"/>
    <w:rsid w:val="00CF6484"/>
    <w:rsid w:val="00CF78D3"/>
    <w:rsid w:val="00D016C5"/>
    <w:rsid w:val="00D01D1A"/>
    <w:rsid w:val="00D02312"/>
    <w:rsid w:val="00D07B07"/>
    <w:rsid w:val="00D10177"/>
    <w:rsid w:val="00D10885"/>
    <w:rsid w:val="00D10B27"/>
    <w:rsid w:val="00D11264"/>
    <w:rsid w:val="00D121FA"/>
    <w:rsid w:val="00D12B6B"/>
    <w:rsid w:val="00D12CFF"/>
    <w:rsid w:val="00D14AF4"/>
    <w:rsid w:val="00D156AF"/>
    <w:rsid w:val="00D15A86"/>
    <w:rsid w:val="00D16367"/>
    <w:rsid w:val="00D16699"/>
    <w:rsid w:val="00D202C6"/>
    <w:rsid w:val="00D2092C"/>
    <w:rsid w:val="00D21076"/>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285"/>
    <w:rsid w:val="00D513C0"/>
    <w:rsid w:val="00D5307F"/>
    <w:rsid w:val="00D56587"/>
    <w:rsid w:val="00D56939"/>
    <w:rsid w:val="00D57228"/>
    <w:rsid w:val="00D618A4"/>
    <w:rsid w:val="00D61C6D"/>
    <w:rsid w:val="00D62940"/>
    <w:rsid w:val="00D64034"/>
    <w:rsid w:val="00D6481C"/>
    <w:rsid w:val="00D6494E"/>
    <w:rsid w:val="00D6513C"/>
    <w:rsid w:val="00D65324"/>
    <w:rsid w:val="00D65726"/>
    <w:rsid w:val="00D7246B"/>
    <w:rsid w:val="00D724FF"/>
    <w:rsid w:val="00D726ED"/>
    <w:rsid w:val="00D72832"/>
    <w:rsid w:val="00D73109"/>
    <w:rsid w:val="00D73C0A"/>
    <w:rsid w:val="00D76513"/>
    <w:rsid w:val="00D76C43"/>
    <w:rsid w:val="00D80C4B"/>
    <w:rsid w:val="00D810EC"/>
    <w:rsid w:val="00D81407"/>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678C"/>
    <w:rsid w:val="00DD6DB6"/>
    <w:rsid w:val="00DE1A4C"/>
    <w:rsid w:val="00DE2966"/>
    <w:rsid w:val="00DE2E96"/>
    <w:rsid w:val="00DE5C24"/>
    <w:rsid w:val="00DE6DA2"/>
    <w:rsid w:val="00DF0424"/>
    <w:rsid w:val="00DF3781"/>
    <w:rsid w:val="00DF6291"/>
    <w:rsid w:val="00DF6E69"/>
    <w:rsid w:val="00DF779F"/>
    <w:rsid w:val="00E0140B"/>
    <w:rsid w:val="00E01785"/>
    <w:rsid w:val="00E01BEC"/>
    <w:rsid w:val="00E02E70"/>
    <w:rsid w:val="00E035C5"/>
    <w:rsid w:val="00E03F92"/>
    <w:rsid w:val="00E0595F"/>
    <w:rsid w:val="00E06847"/>
    <w:rsid w:val="00E06EE2"/>
    <w:rsid w:val="00E07CB1"/>
    <w:rsid w:val="00E107CA"/>
    <w:rsid w:val="00E10D0D"/>
    <w:rsid w:val="00E1216B"/>
    <w:rsid w:val="00E1477F"/>
    <w:rsid w:val="00E14C65"/>
    <w:rsid w:val="00E16148"/>
    <w:rsid w:val="00E16C63"/>
    <w:rsid w:val="00E23093"/>
    <w:rsid w:val="00E25D54"/>
    <w:rsid w:val="00E2709A"/>
    <w:rsid w:val="00E30E76"/>
    <w:rsid w:val="00E31E0C"/>
    <w:rsid w:val="00E32DAA"/>
    <w:rsid w:val="00E3322A"/>
    <w:rsid w:val="00E341F5"/>
    <w:rsid w:val="00E3654E"/>
    <w:rsid w:val="00E367B7"/>
    <w:rsid w:val="00E36DE4"/>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35E8"/>
    <w:rsid w:val="00EE6052"/>
    <w:rsid w:val="00EE6D21"/>
    <w:rsid w:val="00EE6F4A"/>
    <w:rsid w:val="00EE75F9"/>
    <w:rsid w:val="00EF15EF"/>
    <w:rsid w:val="00EF379C"/>
    <w:rsid w:val="00F01B55"/>
    <w:rsid w:val="00F0237B"/>
    <w:rsid w:val="00F03C15"/>
    <w:rsid w:val="00F04BDE"/>
    <w:rsid w:val="00F06498"/>
    <w:rsid w:val="00F06E99"/>
    <w:rsid w:val="00F0723B"/>
    <w:rsid w:val="00F0786F"/>
    <w:rsid w:val="00F1064D"/>
    <w:rsid w:val="00F115EE"/>
    <w:rsid w:val="00F11E0A"/>
    <w:rsid w:val="00F13013"/>
    <w:rsid w:val="00F14D9E"/>
    <w:rsid w:val="00F14F22"/>
    <w:rsid w:val="00F16104"/>
    <w:rsid w:val="00F16CF9"/>
    <w:rsid w:val="00F20B09"/>
    <w:rsid w:val="00F20CD8"/>
    <w:rsid w:val="00F21BC5"/>
    <w:rsid w:val="00F221E2"/>
    <w:rsid w:val="00F2325C"/>
    <w:rsid w:val="00F24EDD"/>
    <w:rsid w:val="00F25216"/>
    <w:rsid w:val="00F25CB6"/>
    <w:rsid w:val="00F26D2D"/>
    <w:rsid w:val="00F307DE"/>
    <w:rsid w:val="00F3167E"/>
    <w:rsid w:val="00F31AB9"/>
    <w:rsid w:val="00F324DD"/>
    <w:rsid w:val="00F3335E"/>
    <w:rsid w:val="00F33570"/>
    <w:rsid w:val="00F33742"/>
    <w:rsid w:val="00F33829"/>
    <w:rsid w:val="00F349E0"/>
    <w:rsid w:val="00F3551B"/>
    <w:rsid w:val="00F368DD"/>
    <w:rsid w:val="00F36AB3"/>
    <w:rsid w:val="00F36BF0"/>
    <w:rsid w:val="00F37DF8"/>
    <w:rsid w:val="00F439B5"/>
    <w:rsid w:val="00F43D2A"/>
    <w:rsid w:val="00F44002"/>
    <w:rsid w:val="00F45F80"/>
    <w:rsid w:val="00F46080"/>
    <w:rsid w:val="00F52E75"/>
    <w:rsid w:val="00F52FDD"/>
    <w:rsid w:val="00F53FC9"/>
    <w:rsid w:val="00F54303"/>
    <w:rsid w:val="00F54C75"/>
    <w:rsid w:val="00F57DED"/>
    <w:rsid w:val="00F636F7"/>
    <w:rsid w:val="00F63F49"/>
    <w:rsid w:val="00F6477C"/>
    <w:rsid w:val="00F65837"/>
    <w:rsid w:val="00F663F6"/>
    <w:rsid w:val="00F6707C"/>
    <w:rsid w:val="00F67367"/>
    <w:rsid w:val="00F70C4B"/>
    <w:rsid w:val="00F70E18"/>
    <w:rsid w:val="00F713A4"/>
    <w:rsid w:val="00F715EA"/>
    <w:rsid w:val="00F72D00"/>
    <w:rsid w:val="00F73A95"/>
    <w:rsid w:val="00F73C1E"/>
    <w:rsid w:val="00F75D18"/>
    <w:rsid w:val="00F771DE"/>
    <w:rsid w:val="00F81150"/>
    <w:rsid w:val="00F81975"/>
    <w:rsid w:val="00F833B7"/>
    <w:rsid w:val="00F83468"/>
    <w:rsid w:val="00F83A22"/>
    <w:rsid w:val="00F843B1"/>
    <w:rsid w:val="00F84CF9"/>
    <w:rsid w:val="00F85367"/>
    <w:rsid w:val="00F87C6C"/>
    <w:rsid w:val="00F87E38"/>
    <w:rsid w:val="00F9075C"/>
    <w:rsid w:val="00F91A73"/>
    <w:rsid w:val="00F92849"/>
    <w:rsid w:val="00F92DBC"/>
    <w:rsid w:val="00F94424"/>
    <w:rsid w:val="00F97EA2"/>
    <w:rsid w:val="00FA155E"/>
    <w:rsid w:val="00FA1E75"/>
    <w:rsid w:val="00FA2322"/>
    <w:rsid w:val="00FA244A"/>
    <w:rsid w:val="00FA31B9"/>
    <w:rsid w:val="00FB297F"/>
    <w:rsid w:val="00FB30BF"/>
    <w:rsid w:val="00FB4B0C"/>
    <w:rsid w:val="00FB638E"/>
    <w:rsid w:val="00FC0980"/>
    <w:rsid w:val="00FC0D10"/>
    <w:rsid w:val="00FC0FA3"/>
    <w:rsid w:val="00FC1934"/>
    <w:rsid w:val="00FC3693"/>
    <w:rsid w:val="00FC3CCB"/>
    <w:rsid w:val="00FC4399"/>
    <w:rsid w:val="00FC5555"/>
    <w:rsid w:val="00FD127E"/>
    <w:rsid w:val="00FD58AE"/>
    <w:rsid w:val="00FD78D4"/>
    <w:rsid w:val="00FE1D8F"/>
    <w:rsid w:val="00FE2169"/>
    <w:rsid w:val="00FE288E"/>
    <w:rsid w:val="00FE2F2B"/>
    <w:rsid w:val="00FE38F0"/>
    <w:rsid w:val="00FE400D"/>
    <w:rsid w:val="00FE43A9"/>
    <w:rsid w:val="00FE6588"/>
    <w:rsid w:val="00FE70D2"/>
    <w:rsid w:val="00FE7205"/>
    <w:rsid w:val="00FE73F3"/>
    <w:rsid w:val="00FE7B84"/>
    <w:rsid w:val="00FF24F4"/>
    <w:rsid w:val="00FF2CF8"/>
    <w:rsid w:val="00FF32B0"/>
    <w:rsid w:val="00FF41F3"/>
    <w:rsid w:val="00FF548B"/>
    <w:rsid w:val="00FF5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B03"/>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qFormat/>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 w:type="character" w:customStyle="1" w:styleId="cita">
    <w:name w:val="cita"/>
    <w:basedOn w:val="Fuentedeprrafopredeter"/>
    <w:rsid w:val="00BC6B65"/>
  </w:style>
  <w:style w:type="paragraph" w:customStyle="1" w:styleId="cuerpo">
    <w:name w:val="cuerpo"/>
    <w:basedOn w:val="Normal"/>
    <w:rsid w:val="00F3551B"/>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no-style-override-4">
    <w:name w:val="no-style-override-4"/>
    <w:basedOn w:val="Fuentedeprrafopredeter"/>
    <w:rsid w:val="00F3551B"/>
  </w:style>
  <w:style w:type="character" w:customStyle="1" w:styleId="no-style-override-5">
    <w:name w:val="no-style-override-5"/>
    <w:basedOn w:val="Fuentedeprrafopredeter"/>
    <w:rsid w:val="00BD3016"/>
  </w:style>
  <w:style w:type="character" w:styleId="Refdecomentario">
    <w:name w:val="annotation reference"/>
    <w:basedOn w:val="Fuentedeprrafopredeter"/>
    <w:uiPriority w:val="99"/>
    <w:semiHidden/>
    <w:unhideWhenUsed/>
    <w:rsid w:val="004030BC"/>
    <w:rPr>
      <w:sz w:val="16"/>
      <w:szCs w:val="16"/>
    </w:rPr>
  </w:style>
  <w:style w:type="paragraph" w:styleId="Textocomentario">
    <w:name w:val="annotation text"/>
    <w:basedOn w:val="Normal"/>
    <w:link w:val="TextocomentarioCar"/>
    <w:uiPriority w:val="99"/>
    <w:unhideWhenUsed/>
    <w:rsid w:val="004030BC"/>
    <w:pPr>
      <w:spacing w:line="240" w:lineRule="auto"/>
    </w:pPr>
    <w:rPr>
      <w:sz w:val="20"/>
      <w:szCs w:val="20"/>
    </w:rPr>
  </w:style>
  <w:style w:type="character" w:customStyle="1" w:styleId="TextocomentarioCar">
    <w:name w:val="Texto comentario Car"/>
    <w:basedOn w:val="Fuentedeprrafopredeter"/>
    <w:link w:val="Textocomentario"/>
    <w:uiPriority w:val="99"/>
    <w:rsid w:val="004030BC"/>
    <w:rPr>
      <w:sz w:val="20"/>
      <w:szCs w:val="20"/>
    </w:rPr>
  </w:style>
  <w:style w:type="paragraph" w:styleId="Asuntodelcomentario">
    <w:name w:val="annotation subject"/>
    <w:basedOn w:val="Textocomentario"/>
    <w:next w:val="Textocomentario"/>
    <w:link w:val="AsuntodelcomentarioCar"/>
    <w:uiPriority w:val="99"/>
    <w:semiHidden/>
    <w:unhideWhenUsed/>
    <w:rsid w:val="004030BC"/>
    <w:rPr>
      <w:b/>
      <w:bCs/>
    </w:rPr>
  </w:style>
  <w:style w:type="character" w:customStyle="1" w:styleId="AsuntodelcomentarioCar">
    <w:name w:val="Asunto del comentario Car"/>
    <w:basedOn w:val="TextocomentarioCar"/>
    <w:link w:val="Asuntodelcomentario"/>
    <w:uiPriority w:val="99"/>
    <w:semiHidden/>
    <w:rsid w:val="004030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3041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1263049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75943610">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23076148">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7133075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0744677">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50303888">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FD16928-F471-4CD6-AAE1-ADF8E6A0A5C0}"/>
</file>

<file path=customXml/itemProps3.xml><?xml version="1.0" encoding="utf-8"?>
<ds:datastoreItem xmlns:ds="http://schemas.openxmlformats.org/officeDocument/2006/customXml" ds:itemID="{84D4736F-23ED-42FD-B1C7-415FDB8C37E3}"/>
</file>

<file path=customXml/itemProps4.xml><?xml version="1.0" encoding="utf-8"?>
<ds:datastoreItem xmlns:ds="http://schemas.openxmlformats.org/officeDocument/2006/customXml" ds:itemID="{6BA48C4C-F0DB-4D52-A50F-77C3B6B092E0}"/>
</file>

<file path=docProps/app.xml><?xml version="1.0" encoding="utf-8"?>
<Properties xmlns="http://schemas.openxmlformats.org/officeDocument/2006/extended-properties" xmlns:vt="http://schemas.openxmlformats.org/officeDocument/2006/docPropsVTypes">
  <Template>Normal</Template>
  <TotalTime>749</TotalTime>
  <Pages>5</Pages>
  <Words>1906</Words>
  <Characters>10126</Characters>
  <Application>Microsoft Office Word</Application>
  <DocSecurity>0</DocSecurity>
  <Lines>166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24</cp:revision>
  <cp:lastPrinted>2023-10-11T16:32:00Z</cp:lastPrinted>
  <dcterms:created xsi:type="dcterms:W3CDTF">2025-11-20T01:17:00Z</dcterms:created>
  <dcterms:modified xsi:type="dcterms:W3CDTF">2025-11-25T16:56:00Z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