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DB60FF" w:rsidRDefault="00D12B6B" w:rsidP="00DB60FF">
      <w:pPr>
        <w:spacing w:after="0" w:line="240" w:lineRule="auto"/>
        <w:jc w:val="center"/>
        <w:rPr>
          <w:rFonts w:ascii="Times New Roman" w:hAnsi="Times New Roman" w:cs="Times New Roman"/>
          <w:b/>
          <w:sz w:val="24"/>
          <w:szCs w:val="24"/>
          <w:lang w:val="es-PE" w:eastAsia="ar-SA"/>
        </w:rPr>
      </w:pPr>
    </w:p>
    <w:p w14:paraId="19FE0E96" w14:textId="23DE9821" w:rsidR="00707C99" w:rsidRPr="00DB60FF" w:rsidRDefault="00201C0D" w:rsidP="00DB60FF">
      <w:pPr>
        <w:spacing w:after="0" w:line="240" w:lineRule="auto"/>
        <w:jc w:val="center"/>
        <w:rPr>
          <w:rFonts w:ascii="Times New Roman" w:hAnsi="Times New Roman" w:cs="Times New Roman"/>
          <w:b/>
          <w:sz w:val="24"/>
          <w:szCs w:val="24"/>
          <w:lang w:val="es-PE" w:eastAsia="ar-SA"/>
        </w:rPr>
      </w:pPr>
      <w:r w:rsidRPr="00DB60FF">
        <w:rPr>
          <w:rFonts w:ascii="Times New Roman" w:hAnsi="Times New Roman" w:cs="Times New Roman"/>
          <w:b/>
          <w:sz w:val="24"/>
          <w:szCs w:val="24"/>
          <w:lang w:val="es-PE" w:eastAsia="ar-SA"/>
        </w:rPr>
        <w:t>RESOLUCIÓN</w:t>
      </w:r>
      <w:r w:rsidR="009D55E8" w:rsidRPr="00DB60FF">
        <w:rPr>
          <w:rFonts w:ascii="Times New Roman" w:hAnsi="Times New Roman" w:cs="Times New Roman"/>
          <w:b/>
          <w:sz w:val="24"/>
          <w:szCs w:val="24"/>
          <w:lang w:val="es-PE" w:eastAsia="ar-SA"/>
        </w:rPr>
        <w:t xml:space="preserve"> DE IMPUGNACIÓN</w:t>
      </w:r>
      <w:r w:rsidRPr="00DB60FF">
        <w:rPr>
          <w:rFonts w:ascii="Times New Roman" w:hAnsi="Times New Roman" w:cs="Times New Roman"/>
          <w:b/>
          <w:sz w:val="24"/>
          <w:szCs w:val="24"/>
          <w:lang w:val="es-PE" w:eastAsia="ar-SA"/>
        </w:rPr>
        <w:t xml:space="preserve"> </w:t>
      </w:r>
      <w:r w:rsidR="00D12B6B" w:rsidRPr="00DB60FF">
        <w:rPr>
          <w:rFonts w:ascii="Times New Roman" w:hAnsi="Times New Roman" w:cs="Times New Roman"/>
          <w:b/>
          <w:sz w:val="24"/>
          <w:szCs w:val="24"/>
          <w:lang w:val="es-PE" w:eastAsia="ar-SA"/>
        </w:rPr>
        <w:t>N</w:t>
      </w:r>
      <w:r w:rsidR="00DB60FF" w:rsidRPr="00DB60FF">
        <w:rPr>
          <w:rFonts w:ascii="Times New Roman" w:hAnsi="Times New Roman" w:cs="Times New Roman"/>
          <w:b/>
          <w:sz w:val="24"/>
          <w:szCs w:val="24"/>
          <w:lang w:val="es-PE" w:eastAsia="ar-SA"/>
        </w:rPr>
        <w:t>°71</w:t>
      </w:r>
      <w:r w:rsidR="00AA2AA2" w:rsidRPr="00DB60FF">
        <w:rPr>
          <w:rFonts w:ascii="Times New Roman" w:hAnsi="Times New Roman" w:cs="Times New Roman"/>
          <w:b/>
          <w:sz w:val="24"/>
          <w:szCs w:val="24"/>
          <w:lang w:val="es-PE" w:eastAsia="ar-SA"/>
        </w:rPr>
        <w:t>/25</w:t>
      </w:r>
    </w:p>
    <w:p w14:paraId="2E2FA649" w14:textId="77777777" w:rsidR="00D12B6B" w:rsidRPr="00DB60FF" w:rsidRDefault="00D12B6B" w:rsidP="00DB60FF">
      <w:pPr>
        <w:spacing w:line="240" w:lineRule="auto"/>
        <w:jc w:val="both"/>
        <w:outlineLvl w:val="0"/>
        <w:rPr>
          <w:rFonts w:ascii="Times New Roman" w:hAnsi="Times New Roman" w:cs="Times New Roman"/>
          <w:b/>
          <w:bCs/>
          <w:sz w:val="24"/>
          <w:szCs w:val="24"/>
          <w:lang w:val="es-MX"/>
        </w:rPr>
      </w:pPr>
    </w:p>
    <w:p w14:paraId="01A76CCD" w14:textId="025912B7" w:rsidR="009117F7" w:rsidRPr="00DB60FF" w:rsidRDefault="009117F7" w:rsidP="00DB60FF">
      <w:pPr>
        <w:spacing w:after="200" w:line="240" w:lineRule="auto"/>
        <w:jc w:val="both"/>
        <w:outlineLvl w:val="0"/>
        <w:rPr>
          <w:rFonts w:ascii="Times New Roman" w:hAnsi="Times New Roman" w:cs="Times New Roman"/>
          <w:b/>
          <w:bCs/>
          <w:sz w:val="24"/>
          <w:szCs w:val="24"/>
          <w:lang w:val="es-MX"/>
        </w:rPr>
      </w:pPr>
      <w:r w:rsidRPr="00DB60FF">
        <w:rPr>
          <w:rFonts w:ascii="Times New Roman" w:hAnsi="Times New Roman" w:cs="Times New Roman"/>
          <w:b/>
          <w:bCs/>
          <w:sz w:val="24"/>
          <w:szCs w:val="24"/>
          <w:lang w:val="es-MX"/>
        </w:rPr>
        <w:t>VISTOS:</w:t>
      </w:r>
    </w:p>
    <w:p w14:paraId="4E58ED6D" w14:textId="1802EF06" w:rsidR="0081152C" w:rsidRPr="00DB60FF" w:rsidRDefault="00D12B6B"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14 de octubre de 2025, el señor ………………… (el señor “…………………”) interpuso un Recurso de Impugnación ante la Defensoría del Asegurado (“…………………”) contra la Resolución n.° 151/25 (la “Resolución Impugnada”) de fecha 26 de septiembre de 2025, expedida por la Sala Colegiada a través de la cual se declaró INFUNDADO el reclamo presentado por el apelante, para que ………………… (“…………………”) le otorgue cobertura por el siniestro sufrido el 4 de febrero de 2025, que afectó al vehículo asegurado, marca Mazda, con placa de rodaje n.° …………………, de acuerdo con la Póliza de Seguro Vehicular N° ………………… (la “Póliza”).</w:t>
      </w:r>
    </w:p>
    <w:p w14:paraId="708BADE7" w14:textId="7285BC58" w:rsidR="0081152C" w:rsidRPr="00DB60FF" w:rsidRDefault="003D1A7E"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señor ………………… solicita que se declare fundado su Recurso de Impugnación y, por lo tanto, fundado su reclamo sobre la base de los siguientes hechos: a) que, la Resolución Impugnada presenta errores en la valoración de los hechos, no reconoce el deber de investigación diligente por parte de la aseguradora y realiza una deficiente motivación; b) que, las supuestas divergencias entre sus declaraciones iniciales no constituyen contradicciones sustanciales ni evidencian intención fraudulenta, sino que responden a un error material originado por el estado de confusión inmediata posterior al accidente, el mismo que fue corregido de manera inmediata y transparente; c) que, no existe contradicción real respecto del lugar del siniestro, las dos denominaciones mencionadas -Mercado El Palomar y Av. Venezuela con Av. Daniel Alcides Carrión- corresponden al mismo punto físico, hecho que, pudo ser corroborado por la aseguradora mediante una verificación elemental o la revisión de cámaras de seguridad; d) que, la empresa ………………… ubicadas en la zona, pese a que lo solicitó expresamente durante la inspección, incumpliendo así con un deber mínimo de investigación; e) que, la divergencia inicial sobre la identidad del conductor, se debió a que la primera comunicación se realizó en un contexto de shock emocional, habiendo corregido de forma inmediata la información a través de su hermano………………… …………………, quien sí contaba con licencia de conducir vigente y quien presentó la correspondiente denuncia policial el día 5 de febrero de 2025; f) que, no se configuran los elementos establecidos en el artículo 73 de la Ley del Contrato de Seguro para considerar la existencia de una declaración fraudulenta, toda vez que no existió intencionalidad, ni declaración falsa, ni ventaja indebida derivada de sus manifestaciones; g) que, su actuación estuvo guiada por la buena fe, habiendo colaborado plenamente con la investigación, presentado documentación, denunciado el siniestro y solicitado la revisión de cámaras de seguridad; h) que, la empresa …………………, conforme al artículo 77 de la Ley del Contrato de Seguro; i) que, la empresa …………………, caracterizada por la falta de requerimiento de grabaciones de seguridad, la inexistencia de verificación sobre la ubicación exacta del siniestro, respuestas tardías y la emisión de la Carta de Rechazo basada únicamente en presuntas contradicciones no investigadas; y, j) que, se identifican una serie de agravios económicos, morales y procedimentales que derivan de la Resolución Impugnada.</w:t>
      </w:r>
    </w:p>
    <w:bookmarkEnd w:id="1"/>
    <w:p w14:paraId="3BB53DA7" w14:textId="48C37CF5" w:rsidR="00872953" w:rsidRPr="00DB60FF" w:rsidRDefault="00E07CB1"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18 de noviembre de 2025, ………………… absolvió el Recurso de Impugnación presentado por el asegurado, solicitando que se declare infundado por los siguientes argumentos: a) que, la Resolución Impugnada constituye un pronunciamiento completo, estructurado y motivado, sustentado en la documentación del expediente, en las condiciones contractuales de la Póliza y en los criterios aplicables al caso; b) que, la decisión cuestionada por el asegurado no fue declarativa, sino el resultado de una evaluación rigurosa, en la que se contrastaron los elementos aportados y las versiones presentadas con los hechos objetivamente verificados; c) que, las contradicciones identificadas por la Defensoría constituyen una declaración fraudulenta conforme al artículo 73 de la Ley del Contrato de Seguro, aun cuando la supuesta finalidad atribuida -encubrir la ausencia de licencia de conducir- sea un argumento propio, la Defensoría confirmó la existencia de versiones incompatibles que revelan una actuación orientada a obtener un beneficio que no correspondería bajo circunstancias ordinarias; d) que, no se ha vulnerado el deber de investigación diligente por no solicitar grabaciones de las cámaras de seguridad, la Póliza N° ………………… tal obligación, ni condiciona la cobertura a la existencia de dicho material; e) que, se llevó a cabo la verificación de todos los elementos relevantes, incluyendo la constatación de que la persona reportada inicialmente como conductor no poseía licencia de conducir, así como la revisión de las versiones ofrecidas por el asegurado, identificando inconsistencias significativas; f) que, conforme a los artículos 69 y 77 de la Ley del Contrato de Seguro, la carga de la prueba recae en el asegurado, por lo que la referencia tardía a la grabación de las cámaras no aportadas, no solicitadas formalmente ni individualizadas, carece de eficacia para desvirtuar las contradicciones ya establecidas; g) que, la Resolución Impugnada cumple con los artículos 3 y 6 de la Ley del Procedimiento Administrativo General, resaltando que la decisión se encuentra suficientemente motivada, pues describe los hechos del siniestro, valora la documentación aportada y determina que las inconsistencias verificadas justifican la pérdida del derecho indemnizatorio; h) que, se ha cumplido con el marco del artículo 77 de la Ley del Contrato de Seguro, verificando la ocurrencia del siniestro y la información aportada mediante la revisión integral de la Denuncia Policial, reportes internos, inspección del vehículo y demás documentos del expediente; i) que, contrastó las versiones del asegurado y de terceros con la evidencia física disponible, determinando un panorama coherente y consistente que revela contradicciones entre la declaración inicial del asegurado y la versión posterior consignada en la denuncia policial por un tercero, lo que constituye un elemento suficiente para sostener la existencia de una declaración fraudulenta; y, j) que, solicita que la Defensoría declare infundado el recurso impugnativo interpuesto por el asegurado, al considerar que la decisión impugnada se encuentra plenamente sustentada en las condiciones contractuales y en las disposiciones de la Ley del Contrato de Seguro.</w:t>
      </w:r>
    </w:p>
    <w:p w14:paraId="5E5FAFD2" w14:textId="0A013A1E" w:rsidR="00EF15EF" w:rsidRPr="00DB60FF" w:rsidRDefault="00EF15EF" w:rsidP="00DB60FF">
      <w:pPr>
        <w:spacing w:after="200" w:line="240" w:lineRule="auto"/>
        <w:jc w:val="both"/>
        <w:rPr>
          <w:rFonts w:ascii="Times New Roman" w:hAnsi="Times New Roman" w:cs="Times New Roman"/>
          <w:color w:val="000000"/>
          <w:sz w:val="24"/>
          <w:szCs w:val="24"/>
          <w:lang w:val="es-PE"/>
        </w:rPr>
      </w:pPr>
      <w:r w:rsidRPr="00DB60FF">
        <w:rPr>
          <w:rFonts w:ascii="Times New Roman" w:hAnsi="Times New Roman" w:cs="Times New Roman"/>
          <w:sz w:val="24"/>
          <w:szCs w:val="24"/>
          <w:lang w:val="es-PE"/>
        </w:rPr>
        <w:t>Al resolver, este Colegiado ha tomado en cuenta las argumentaciones de las partes expresadas a lo largo del procedimiento.</w:t>
      </w:r>
    </w:p>
    <w:p w14:paraId="7441012C" w14:textId="682DBE99" w:rsidR="00A90707" w:rsidRPr="00DB60FF" w:rsidRDefault="00E07CB1" w:rsidP="00DB60FF">
      <w:pPr>
        <w:spacing w:after="200" w:line="240" w:lineRule="auto"/>
        <w:jc w:val="both"/>
        <w:outlineLvl w:val="0"/>
        <w:rPr>
          <w:rFonts w:ascii="Times New Roman" w:hAnsi="Times New Roman" w:cs="Times New Roman"/>
          <w:b/>
          <w:bCs/>
          <w:sz w:val="24"/>
          <w:szCs w:val="24"/>
          <w:lang w:val="es-PE"/>
        </w:rPr>
      </w:pPr>
      <w:r w:rsidRPr="00DB60FF">
        <w:rPr>
          <w:rFonts w:ascii="Times New Roman" w:hAnsi="Times New Roman" w:cs="Times New Roman"/>
          <w:b/>
          <w:bCs/>
          <w:sz w:val="24"/>
          <w:szCs w:val="24"/>
          <w:lang w:val="es-PE"/>
        </w:rPr>
        <w:t>C</w:t>
      </w:r>
      <w:r w:rsidR="00A90707" w:rsidRPr="00DB60FF">
        <w:rPr>
          <w:rFonts w:ascii="Times New Roman" w:hAnsi="Times New Roman" w:cs="Times New Roman"/>
          <w:b/>
          <w:bCs/>
          <w:sz w:val="24"/>
          <w:szCs w:val="24"/>
          <w:lang w:val="es-PE"/>
        </w:rPr>
        <w:t>ONSIDERANDO:</w:t>
      </w:r>
    </w:p>
    <w:p w14:paraId="5C0408A3" w14:textId="11DCBB8E" w:rsidR="00420663" w:rsidRPr="00DB60FF" w:rsidRDefault="00A90707"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de la DEFASEG establece que cualquiera de las partes que no se encuentre conforme con la decisión emitida por la Sala Colegiada respecto de la materia reclamada podrá cuestionarla mediante la interposición del correspondiente Recurso de Impugnación. En ese sentido, en el presente caso, el asegurado, al interponer dicho recurso, ha ejercido formalmente su derecho a contradecir lo resuelto por la Sala Colegiada de esta Defensoría.</w:t>
      </w:r>
    </w:p>
    <w:p w14:paraId="4968F578" w14:textId="5B570F88" w:rsidR="003C2C12" w:rsidRPr="00DB60FF" w:rsidRDefault="00206378"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A través de su recurso impugnativo, el asegurado discrepa con lo resuelto por la Sala Colegiada por los siguientes argumentos, los cuales pasaremos a listar resumidamente: i) no existe contradicción real respecto del lugar del siniestro, las dos denominaciones mencionadas -Mercado El Palomar y Av. Venezuela con Av. Daniel Alcides Carrión- corresponden al mismo punto físico; ii) no existen dos versiones respecto de quién conducía el vehículo asegurado al momento del siniestro, señalado inicialmente en el reporte del siniestro, se debió al estado de confusión posterior al accidente; iii) la empresa ………………… la zona, pese a que fueron solicitadas expresamente durante la inspección, incumpliendo así con un deber mínimo de investigación; y, iv) ………………… incumplió con los plazos establecidos, realizó constantes respuestas siempre al límite establecido y únicamente por presión a sus reclamos interpuestos.</w:t>
      </w:r>
    </w:p>
    <w:p w14:paraId="18FB2E49" w14:textId="49FEF77E" w:rsidR="00B55202" w:rsidRPr="00DB60FF" w:rsidRDefault="00B55202"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ha señalado este Colegiado en la Resolución Impugnada, el artículo 77 de la Ley del Contrato de Seguro establece que corresponde al asegurado demostrar la ocurrencia del siniestro, así como la cuantía de la pérdida, si fuera el caso. Este deber constituye una carga cuya inobservancia deriva en la pérdida de los derechos indemnizatorios. Asimismo, el artículo 69 de la Ley del Contrato de Seguro dispone que el asegurado debe proporcionar a la empresa …………………, razonable y necesaria para verificar el siniestro o la extensión de la prestación a su cargo, permitiéndole realizar las investigaciones correspondientes.</w:t>
      </w:r>
    </w:p>
    <w:p w14:paraId="772B721E" w14:textId="3A421466" w:rsidR="00B55202" w:rsidRPr="00DB60FF" w:rsidRDefault="00B55202" w:rsidP="00DB60FF">
      <w:pPr>
        <w:spacing w:after="200" w:line="240" w:lineRule="auto"/>
        <w:jc w:val="both"/>
        <w:rPr>
          <w:rFonts w:ascii="Times New Roman" w:hAnsi="Times New Roman" w:cs="Times New Roman"/>
          <w:sz w:val="24"/>
          <w:szCs w:val="24"/>
          <w:lang w:val="es-PE"/>
        </w:rPr>
      </w:pPr>
      <w:r w:rsidRPr="00DB60FF">
        <w:rPr>
          <w:rFonts w:ascii="Times New Roman" w:hAnsi="Times New Roman" w:cs="Times New Roman"/>
          <w:sz w:val="24"/>
          <w:szCs w:val="24"/>
          <w:lang w:val="es-PE"/>
        </w:rPr>
        <w:t xml:space="preserve">Al momento de realizar el reporte del siniestro, el asegurado señaló </w:t>
      </w:r>
      <w:r w:rsidR="005A5A3F" w:rsidRPr="00DB60FF">
        <w:rPr>
          <w:rFonts w:ascii="Times New Roman" w:hAnsi="Times New Roman" w:cs="Times New Roman"/>
          <w:sz w:val="24"/>
          <w:szCs w:val="24"/>
          <w:lang w:val="es-PE"/>
        </w:rPr>
        <w:t>-</w:t>
      </w:r>
      <w:r w:rsidRPr="00DB60FF">
        <w:rPr>
          <w:rFonts w:ascii="Times New Roman" w:hAnsi="Times New Roman" w:cs="Times New Roman"/>
          <w:sz w:val="24"/>
          <w:szCs w:val="24"/>
          <w:lang w:val="es-PE"/>
        </w:rPr>
        <w:t>al comunicar el hecho a la central de emergencias de la empresa aseguradora</w:t>
      </w:r>
      <w:r w:rsidR="005A5A3F" w:rsidRPr="00DB60FF">
        <w:rPr>
          <w:rFonts w:ascii="Times New Roman" w:hAnsi="Times New Roman" w:cs="Times New Roman"/>
          <w:sz w:val="24"/>
          <w:szCs w:val="24"/>
          <w:lang w:val="es-PE"/>
        </w:rPr>
        <w:t>-</w:t>
      </w:r>
      <w:r w:rsidRPr="00DB60FF">
        <w:rPr>
          <w:rFonts w:ascii="Times New Roman" w:hAnsi="Times New Roman" w:cs="Times New Roman"/>
          <w:sz w:val="24"/>
          <w:szCs w:val="24"/>
          <w:lang w:val="es-PE"/>
        </w:rPr>
        <w:t xml:space="preserve"> que el accidente vehicular se produjo en la ciudad de Arequipa, a la altura del mercado “El Palomar”, mientras que en la denuncia policial se indicó que el siniestro ocurrió en el cruce de las avenidas Venezuela y Daniel Alcides Carrión.</w:t>
      </w:r>
    </w:p>
    <w:p w14:paraId="58C5F3AA" w14:textId="1B1DD858" w:rsidR="00B55202" w:rsidRPr="00DB60FF" w:rsidRDefault="00B55202" w:rsidP="00DB60FF">
      <w:pPr>
        <w:spacing w:after="200" w:line="240" w:lineRule="auto"/>
        <w:jc w:val="both"/>
        <w:rPr>
          <w:rFonts w:ascii="Times New Roman" w:hAnsi="Times New Roman" w:cs="Times New Roman"/>
          <w:sz w:val="24"/>
          <w:szCs w:val="24"/>
          <w:lang w:val="es-PE"/>
        </w:rPr>
      </w:pPr>
      <w:r w:rsidRPr="00DB60FF">
        <w:rPr>
          <w:rFonts w:ascii="Times New Roman" w:hAnsi="Times New Roman" w:cs="Times New Roman"/>
          <w:sz w:val="24"/>
          <w:szCs w:val="24"/>
          <w:lang w:val="es-PE"/>
        </w:rPr>
        <w:t>Si bien, de acuerdo con el principio dispositivo que rige la actuación de las partes en este procedimiento</w:t>
      </w:r>
      <w:r w:rsidRPr="00DB60FF">
        <w:rPr>
          <w:rStyle w:val="Refdenotaalpie"/>
          <w:rFonts w:ascii="Times New Roman" w:hAnsi="Times New Roman" w:cs="Times New Roman"/>
          <w:sz w:val="24"/>
          <w:szCs w:val="24"/>
          <w:lang w:val="es-PE"/>
        </w:rPr>
        <w:footnoteReference w:id="2"/>
      </w:r>
      <w:r w:rsidRPr="00DB60FF">
        <w:rPr>
          <w:rFonts w:ascii="Times New Roman" w:hAnsi="Times New Roman" w:cs="Times New Roman"/>
          <w:sz w:val="24"/>
          <w:szCs w:val="24"/>
          <w:lang w:val="es-PE"/>
        </w:rPr>
        <w:t xml:space="preserve">, </w:t>
      </w:r>
      <w:r w:rsidR="005A5A3F" w:rsidRPr="00DB60FF">
        <w:rPr>
          <w:rFonts w:ascii="Times New Roman" w:hAnsi="Times New Roman" w:cs="Times New Roman"/>
          <w:sz w:val="24"/>
          <w:szCs w:val="24"/>
          <w:lang w:val="es-PE"/>
        </w:rPr>
        <w:t xml:space="preserve">corresponde al asegurado presentar documentación que acredite </w:t>
      </w:r>
      <w:r w:rsidRPr="00DB60FF">
        <w:rPr>
          <w:rFonts w:ascii="Times New Roman" w:hAnsi="Times New Roman" w:cs="Times New Roman"/>
          <w:sz w:val="24"/>
          <w:szCs w:val="24"/>
          <w:lang w:val="es-PE"/>
        </w:rPr>
        <w:t>lo señalado en el párrafo anterior, este Colegiado ha verifica</w:t>
      </w:r>
      <w:r w:rsidR="000F2EB2" w:rsidRPr="00DB60FF">
        <w:rPr>
          <w:rFonts w:ascii="Times New Roman" w:hAnsi="Times New Roman" w:cs="Times New Roman"/>
          <w:sz w:val="24"/>
          <w:szCs w:val="24"/>
          <w:lang w:val="es-PE"/>
        </w:rPr>
        <w:t>do</w:t>
      </w:r>
      <w:r w:rsidRPr="00DB60FF">
        <w:rPr>
          <w:rFonts w:ascii="Times New Roman" w:hAnsi="Times New Roman" w:cs="Times New Roman"/>
          <w:sz w:val="24"/>
          <w:szCs w:val="24"/>
          <w:lang w:val="es-PE"/>
        </w:rPr>
        <w:t xml:space="preserve"> que, efectivamente, el mercado El Palomar se encuentra delimitado en uno de sus lados por las avenidas Venezuela y Daniel Alcides Carrión, las cuales confluyen en el Óvalo Venezuela. En tal sentido, no nos encontraríamos </w:t>
      </w:r>
      <w:r w:rsidR="000F2EB2" w:rsidRPr="00DB60FF">
        <w:rPr>
          <w:rFonts w:ascii="Times New Roman" w:hAnsi="Times New Roman" w:cs="Times New Roman"/>
          <w:sz w:val="24"/>
          <w:szCs w:val="24"/>
          <w:lang w:val="es-PE"/>
        </w:rPr>
        <w:t>-</w:t>
      </w:r>
      <w:r w:rsidRPr="00DB60FF">
        <w:rPr>
          <w:rFonts w:ascii="Times New Roman" w:hAnsi="Times New Roman" w:cs="Times New Roman"/>
          <w:sz w:val="24"/>
          <w:szCs w:val="24"/>
          <w:lang w:val="es-PE"/>
        </w:rPr>
        <w:t>respecto de este punto</w:t>
      </w:r>
      <w:r w:rsidR="000F2EB2" w:rsidRPr="00DB60FF">
        <w:rPr>
          <w:rFonts w:ascii="Times New Roman" w:hAnsi="Times New Roman" w:cs="Times New Roman"/>
          <w:sz w:val="24"/>
          <w:szCs w:val="24"/>
          <w:lang w:val="es-PE"/>
        </w:rPr>
        <w:t>-</w:t>
      </w:r>
      <w:r w:rsidRPr="00DB60FF">
        <w:rPr>
          <w:rFonts w:ascii="Times New Roman" w:hAnsi="Times New Roman" w:cs="Times New Roman"/>
          <w:sz w:val="24"/>
          <w:szCs w:val="24"/>
          <w:lang w:val="es-PE"/>
        </w:rPr>
        <w:t xml:space="preserve"> ante dos versiones contradictorias sobre el lugar donde se produjo el accidente.</w:t>
      </w:r>
    </w:p>
    <w:p w14:paraId="3D21A9E2" w14:textId="5D0298E6" w:rsidR="00B55202" w:rsidRPr="00DB60FF" w:rsidRDefault="00B55202"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Asimismo, la Resolución Impugnada indica que, al momento del reporte del siniestro, el asegurado manifestó que era él quien conducía el vehículo asegurado; sin embargo, en la denuncia policial —presentada no por el asegurado, sino por el señor………………… …………………— se señaló que el conductor del vehículo asegurado al momento del siniestro fue quien presentó la mencionada denuncia.</w:t>
      </w:r>
    </w:p>
    <w:p w14:paraId="4F7F16DF" w14:textId="77777777" w:rsidR="00B55202" w:rsidRPr="00DB60FF" w:rsidRDefault="00B55202" w:rsidP="00DB60FF">
      <w:pPr>
        <w:spacing w:after="200" w:line="240" w:lineRule="auto"/>
        <w:jc w:val="both"/>
        <w:rPr>
          <w:rFonts w:ascii="Times New Roman" w:hAnsi="Times New Roman" w:cs="Times New Roman"/>
          <w:sz w:val="24"/>
          <w:szCs w:val="24"/>
          <w:lang w:val="es-PE"/>
        </w:rPr>
      </w:pPr>
      <w:r w:rsidRPr="00DB60FF">
        <w:rPr>
          <w:rFonts w:ascii="Times New Roman" w:hAnsi="Times New Roman" w:cs="Times New Roman"/>
          <w:sz w:val="24"/>
          <w:szCs w:val="24"/>
          <w:lang w:val="es-PE"/>
        </w:rPr>
        <w:lastRenderedPageBreak/>
        <w:t>Sobre el particular, el asegurado, en su recurso impugnativo, ha indicado que, a pesar de existir dos manifestaciones contradictorias respecto de quién conducía el vehículo al momento del siniestro, ello se debió a un error originado por el estado de confusión y afectación emocional en el que se encontraba. Es decir, presentó los mismos argumentos expuestos en su escrito de reclamo, sin ofrecer prueba adicional que sustente su dicho.</w:t>
      </w:r>
    </w:p>
    <w:p w14:paraId="599D45B2" w14:textId="1220F641" w:rsidR="00B55202" w:rsidRPr="00DB60FF" w:rsidRDefault="00927966" w:rsidP="00DB60FF">
      <w:pPr>
        <w:spacing w:after="200" w:line="240" w:lineRule="auto"/>
        <w:jc w:val="both"/>
        <w:rPr>
          <w:rFonts w:ascii="Times New Roman" w:hAnsi="Times New Roman" w:cs="Times New Roman"/>
          <w:sz w:val="24"/>
          <w:szCs w:val="24"/>
          <w:lang w:val="es-PE"/>
        </w:rPr>
      </w:pPr>
      <w:r w:rsidRPr="00DB60FF">
        <w:rPr>
          <w:rFonts w:ascii="Times New Roman" w:hAnsi="Times New Roman" w:cs="Times New Roman"/>
          <w:sz w:val="24"/>
          <w:szCs w:val="24"/>
          <w:lang w:val="es-PE"/>
        </w:rPr>
        <w:t>E</w:t>
      </w:r>
      <w:r w:rsidR="00B55202" w:rsidRPr="00DB60FF">
        <w:rPr>
          <w:rFonts w:ascii="Times New Roman" w:hAnsi="Times New Roman" w:cs="Times New Roman"/>
          <w:sz w:val="24"/>
          <w:szCs w:val="24"/>
          <w:lang w:val="es-PE"/>
        </w:rPr>
        <w:t xml:space="preserve">ste Colegiado </w:t>
      </w:r>
      <w:r w:rsidR="005A5A3F" w:rsidRPr="00DB60FF">
        <w:rPr>
          <w:rFonts w:ascii="Times New Roman" w:hAnsi="Times New Roman" w:cs="Times New Roman"/>
          <w:sz w:val="24"/>
          <w:szCs w:val="24"/>
          <w:lang w:val="es-PE"/>
        </w:rPr>
        <w:t xml:space="preserve">considera insuficiente la alegación de afectación emocional, por carecer de sustento probatorio y resultar incompatible con </w:t>
      </w:r>
      <w:r w:rsidRPr="00DB60FF">
        <w:rPr>
          <w:rFonts w:ascii="Times New Roman" w:hAnsi="Times New Roman" w:cs="Times New Roman"/>
          <w:sz w:val="24"/>
          <w:szCs w:val="24"/>
          <w:lang w:val="es-PE"/>
        </w:rPr>
        <w:t>su</w:t>
      </w:r>
      <w:r w:rsidR="005A5A3F" w:rsidRPr="00DB60FF">
        <w:rPr>
          <w:rFonts w:ascii="Times New Roman" w:hAnsi="Times New Roman" w:cs="Times New Roman"/>
          <w:sz w:val="24"/>
          <w:szCs w:val="24"/>
          <w:lang w:val="es-PE"/>
        </w:rPr>
        <w:t xml:space="preserve"> versión posterior respecto a la identidad del conductor.</w:t>
      </w:r>
    </w:p>
    <w:p w14:paraId="0B08E3E2" w14:textId="7DC9852C" w:rsidR="00BC366E" w:rsidRPr="00DB60FF" w:rsidRDefault="000F2EB2" w:rsidP="00DB60FF">
      <w:pPr>
        <w:spacing w:after="200" w:line="240" w:lineRule="auto"/>
        <w:jc w:val="both"/>
        <w:rPr>
          <w:rFonts w:ascii="Times New Roman" w:hAnsi="Times New Roman" w:cs="Times New Roman"/>
          <w:sz w:val="24"/>
          <w:szCs w:val="24"/>
          <w:lang w:val="es-PE"/>
        </w:rPr>
      </w:pPr>
      <w:r w:rsidRPr="00DB60FF">
        <w:rPr>
          <w:rFonts w:ascii="Times New Roman" w:hAnsi="Times New Roman" w:cs="Times New Roman"/>
          <w:sz w:val="24"/>
          <w:szCs w:val="24"/>
          <w:lang w:val="es-PE"/>
        </w:rPr>
        <w:t>E</w:t>
      </w:r>
      <w:r w:rsidR="00BC366E" w:rsidRPr="00DB60FF">
        <w:rPr>
          <w:rFonts w:ascii="Times New Roman" w:hAnsi="Times New Roman" w:cs="Times New Roman"/>
          <w:sz w:val="24"/>
          <w:szCs w:val="24"/>
          <w:lang w:val="es-PE"/>
        </w:rPr>
        <w:t>n materia de declaraciones fraudulentas como irregularidad que justifica la pérdida de los derechos indemnizatorios, no basta invocar la existencia de contradicciones en las declaraciones del asegurado, sino que corresponde acreditar su intencionalidad y determinar cuál sería la ventaja que, en otras condiciones, no se habría obtenido, debiendo existir un elemento consciente de ventaja indebida.</w:t>
      </w:r>
    </w:p>
    <w:p w14:paraId="6F1B09C6" w14:textId="2935BD2B" w:rsidR="00BC366E" w:rsidRPr="00DB60FF" w:rsidRDefault="00BA1935"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el presente caso, la empresa ………………… —a su juicio— habría pretendido obtener el asegurado al variar su versión sobre la identidad del conductor del vehículo al momento del accidente, la cual consistiría en encubrir una conducción sin licencia. Por su parte, el asegurado únicamente presentó su propia manifestación para contradecir la posición de la aseguradora, sin aportar documento o medio probatorio que acreditara una afectación emocional de tal magnitud que explicara haber confundido la identidad del conductor del vehículo asegurado, máxime si -según su última versión- no era él quien conducía al momento del siniestro.</w:t>
      </w:r>
    </w:p>
    <w:p w14:paraId="7B52E55D" w14:textId="77777777" w:rsidR="00BC366E" w:rsidRPr="00DB60FF" w:rsidRDefault="00BC366E"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expuesto, no corresponde acoger los argumentos formulados por el asegurado en su Recurso de Impugnación en este extremo.</w:t>
      </w:r>
    </w:p>
    <w:p w14:paraId="36362B7A" w14:textId="6D62AA6C" w:rsidR="00BC366E" w:rsidRPr="00DB60FF" w:rsidRDefault="00BC366E"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Asimismo, el asegurado sostiene en su Recurso de Impugnación que la empresa ………………… la zona, pese a haber sido requeridas expresamente durante la inspección realizada por el procurador, incumpliendo así -según afirma- un deber mínimo de investigación. Para este Colegiado es cierto que tales videos hubieran podido constituir un elemento probatorio relevante -de existir- para determinar la verdadera identidad del conductor del vehículo asegurado; sin embargo, este Colegiado no puede exigir de oficio a la empresa ………………… su poder para incorporarlas al expediente.</w:t>
      </w:r>
    </w:p>
    <w:p w14:paraId="572EC98D" w14:textId="6C2469B1" w:rsidR="00BC366E" w:rsidRPr="00DB60FF" w:rsidRDefault="00BC366E"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Estando demostrado que existían dos versiones contradictorias respecto de un elemento esencial del siniestro, como es la identidad del conductor del vehículo asegurado, el Colegiado resolvió en función de las pruebas aportadas por las partes. En tal sentido, si bien la empresa …………………, el asegurado tampoco las incorporó al expediente, por lo que no resultó posible contar con dicho material probatorio. En consecuencia, corresponde confirmar lo señalado en la Resolución Impugnada en este extremo.</w:t>
      </w:r>
    </w:p>
    <w:p w14:paraId="38F70515" w14:textId="77777777" w:rsidR="00BC366E" w:rsidRPr="00DB60FF" w:rsidRDefault="00BC366E"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Finalmente, el asegurado ha señalado que, durante la etapa de investigación del siniestro, ………………… incumplió los plazos establecidos y brindó respuestas al límite de los plazos legales, motivadas únicamente por la presión de los reclamos que interpuso. Tales cuestionamientos se relacionan con la idoneidad del servicio brindado por la empresa aseguradora.</w:t>
      </w:r>
    </w:p>
    <w:p w14:paraId="778ACED1" w14:textId="08F34B3E" w:rsidR="00BC366E" w:rsidRPr="00DB60FF" w:rsidRDefault="00BC366E"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Sin embargo, tal como se detalla en la Resolución Impugnada, esta Defensoría carece de competencia para pronunciarse sobre aspectos distintos al rechazo o la liquidación de un siniestro, encontrándose excluidas, entre otras, aquellas materias vinculadas a la calidad del servicio prestado por la empresa aseguradora. De considerarlo pertinente, el asegurado puede cuestionar la idoneidad del servicio brindado ante las instancias competentes.</w:t>
      </w:r>
    </w:p>
    <w:p w14:paraId="3356E798" w14:textId="397141E2" w:rsidR="006E1CCD" w:rsidRPr="00DB60FF" w:rsidRDefault="004858EC" w:rsidP="00DB60FF">
      <w:pPr>
        <w:spacing w:after="200" w:line="240" w:lineRule="auto"/>
        <w:jc w:val="both"/>
        <w:rPr>
          <w:rFonts w:ascii="Times New Roman" w:hAnsi="Times New Roman" w:cs="Times New Roman"/>
          <w:sz w:val="24"/>
          <w:szCs w:val="24"/>
          <w:lang w:val="es-PE"/>
        </w:rPr>
      </w:pPr>
      <w:r w:rsidRPr="00DB60FF">
        <w:rPr>
          <w:rFonts w:ascii="Times New Roman" w:hAnsi="Times New Roman" w:cs="Times New Roman"/>
          <w:sz w:val="24"/>
          <w:szCs w:val="24"/>
          <w:lang w:val="es-PE"/>
        </w:rPr>
        <w:t>Q</w:t>
      </w:r>
      <w:r w:rsidR="006E1CCD" w:rsidRPr="00DB60FF">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27FF9234" w14:textId="77777777" w:rsidR="006E1CCD" w:rsidRPr="00DB60FF" w:rsidRDefault="006E1CCD" w:rsidP="00DB60FF">
      <w:pPr>
        <w:spacing w:after="200" w:line="240" w:lineRule="auto"/>
        <w:jc w:val="both"/>
        <w:rPr>
          <w:rFonts w:ascii="Times New Roman" w:hAnsi="Times New Roman" w:cs="Times New Roman"/>
          <w:b/>
          <w:bCs/>
          <w:sz w:val="24"/>
          <w:szCs w:val="24"/>
          <w:u w:val="single"/>
          <w:lang w:val="es-PE"/>
        </w:rPr>
      </w:pPr>
      <w:r w:rsidRPr="00DB60FF">
        <w:rPr>
          <w:rFonts w:ascii="Times New Roman" w:hAnsi="Times New Roman" w:cs="Times New Roman"/>
          <w:b/>
          <w:bCs/>
          <w:sz w:val="24"/>
          <w:szCs w:val="24"/>
          <w:lang w:val="es-PE"/>
        </w:rPr>
        <w:t>RESUELVE:</w:t>
      </w:r>
    </w:p>
    <w:p w14:paraId="22A6D3B5" w14:textId="789A4709" w:rsidR="00AB4214" w:rsidRPr="00DB60FF" w:rsidRDefault="00AB4214" w:rsidP="00DB60F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por el señor ………………… y, por lo tanto, CONFIRMA la Resolución n.° 151/25 de fecha 26 de septiembre de 2025, dejando a salvo su derecho de recurrir ante las instancias que considere pertinentes.</w:t>
      </w:r>
    </w:p>
    <w:p w14:paraId="27D6AB13" w14:textId="76CCDB06" w:rsidR="00B541DE" w:rsidRPr="00DB60FF" w:rsidRDefault="00B541DE" w:rsidP="00DB60FF">
      <w:pPr>
        <w:spacing w:after="200" w:line="240" w:lineRule="auto"/>
        <w:jc w:val="both"/>
        <w:rPr>
          <w:rFonts w:ascii="Times New Roman" w:hAnsi="Times New Roman" w:cs="Times New Roman"/>
          <w:sz w:val="24"/>
          <w:szCs w:val="24"/>
          <w:lang w:val="es-PE"/>
        </w:rPr>
      </w:pPr>
    </w:p>
    <w:p w14:paraId="5ED79E9E" w14:textId="533C538A" w:rsidR="00033B9E" w:rsidRPr="00DB60FF" w:rsidRDefault="00033B9E" w:rsidP="00DB60FF">
      <w:pPr>
        <w:spacing w:after="200" w:line="240" w:lineRule="auto"/>
        <w:jc w:val="right"/>
        <w:rPr>
          <w:rFonts w:ascii="Times New Roman" w:hAnsi="Times New Roman" w:cs="Times New Roman"/>
          <w:sz w:val="24"/>
          <w:szCs w:val="24"/>
          <w:lang w:val="es-PE"/>
        </w:rPr>
      </w:pPr>
      <w:r w:rsidRPr="00DB60FF">
        <w:rPr>
          <w:rFonts w:ascii="Times New Roman" w:hAnsi="Times New Roman" w:cs="Times New Roman"/>
          <w:sz w:val="24"/>
          <w:szCs w:val="24"/>
          <w:lang w:val="es-PE"/>
        </w:rPr>
        <w:t xml:space="preserve">Lima, </w:t>
      </w:r>
      <w:r w:rsidR="00420663" w:rsidRPr="00DB60FF">
        <w:rPr>
          <w:rFonts w:ascii="Times New Roman" w:hAnsi="Times New Roman" w:cs="Times New Roman"/>
          <w:sz w:val="24"/>
          <w:szCs w:val="24"/>
          <w:lang w:val="es-PE"/>
        </w:rPr>
        <w:t>1</w:t>
      </w:r>
      <w:r w:rsidR="00880B10">
        <w:rPr>
          <w:rFonts w:ascii="Times New Roman" w:hAnsi="Times New Roman" w:cs="Times New Roman"/>
          <w:sz w:val="24"/>
          <w:szCs w:val="24"/>
          <w:lang w:val="es-PE"/>
        </w:rPr>
        <w:t>5</w:t>
      </w:r>
      <w:r w:rsidRPr="00DB60FF">
        <w:rPr>
          <w:rFonts w:ascii="Times New Roman" w:hAnsi="Times New Roman" w:cs="Times New Roman"/>
          <w:sz w:val="24"/>
          <w:szCs w:val="24"/>
          <w:lang w:val="es-PE"/>
        </w:rPr>
        <w:t xml:space="preserve"> de </w:t>
      </w:r>
      <w:r w:rsidR="00420663" w:rsidRPr="00DB60FF">
        <w:rPr>
          <w:rFonts w:ascii="Times New Roman" w:hAnsi="Times New Roman" w:cs="Times New Roman"/>
          <w:sz w:val="24"/>
          <w:szCs w:val="24"/>
          <w:lang w:val="es-PE"/>
        </w:rPr>
        <w:t xml:space="preserve">diciembre </w:t>
      </w:r>
      <w:r w:rsidRPr="00DB60FF">
        <w:rPr>
          <w:rFonts w:ascii="Times New Roman" w:hAnsi="Times New Roman" w:cs="Times New Roman"/>
          <w:sz w:val="24"/>
          <w:szCs w:val="24"/>
          <w:lang w:val="es-PE"/>
        </w:rPr>
        <w:t xml:space="preserve">de 2025 </w:t>
      </w:r>
    </w:p>
    <w:p w14:paraId="10ECF88E" w14:textId="77777777" w:rsidR="00033B9E" w:rsidRPr="00DB60FF" w:rsidRDefault="00033B9E" w:rsidP="00DB60FF">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DB60FF" w:rsidRDefault="00033B9E" w:rsidP="00DB60FF">
      <w:pPr>
        <w:spacing w:after="200" w:line="240" w:lineRule="auto"/>
        <w:jc w:val="both"/>
        <w:rPr>
          <w:rFonts w:ascii="Times New Roman" w:hAnsi="Times New Roman" w:cs="Times New Roman"/>
          <w:b/>
          <w:bCs/>
          <w:i/>
          <w:iCs/>
          <w:sz w:val="24"/>
          <w:szCs w:val="24"/>
          <w:lang w:val="es-PE"/>
        </w:rPr>
      </w:pPr>
      <w:r w:rsidRPr="00DB60FF">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3CFBD725" w14:textId="025AFC0B" w:rsidR="00BA1935" w:rsidRPr="00DB60FF" w:rsidRDefault="00BA1935" w:rsidP="00DB60FF">
      <w:pPr>
        <w:spacing w:after="0" w:line="360" w:lineRule="auto"/>
        <w:jc w:val="center"/>
        <w:rPr>
          <w:rFonts w:ascii="Times New Roman" w:hAnsi="Times New Roman" w:cs="Times New Roman"/>
          <w:b/>
          <w:bCs/>
          <w:sz w:val="24"/>
          <w:szCs w:val="24"/>
          <w:lang w:val="es-PE"/>
        </w:rPr>
      </w:pPr>
      <w:r w:rsidRPr="00DB60FF">
        <w:rPr>
          <w:rFonts w:ascii="Times New Roman" w:hAnsi="Times New Roman" w:cs="Times New Roman"/>
          <w:b/>
          <w:bCs/>
          <w:sz w:val="24"/>
          <w:szCs w:val="24"/>
          <w:lang w:val="es-PE"/>
        </w:rPr>
        <w:t>Antonio Rodriguez Lobatón - Presidente</w:t>
      </w:r>
    </w:p>
    <w:p w14:paraId="480C5042" w14:textId="1C3A98AC" w:rsidR="00033B9E" w:rsidRPr="00DB60FF" w:rsidRDefault="00033B9E" w:rsidP="00DB60FF">
      <w:pPr>
        <w:spacing w:after="0" w:line="360" w:lineRule="auto"/>
        <w:jc w:val="center"/>
        <w:rPr>
          <w:rFonts w:ascii="Times New Roman" w:hAnsi="Times New Roman" w:cs="Times New Roman"/>
          <w:b/>
          <w:bCs/>
          <w:sz w:val="24"/>
          <w:szCs w:val="24"/>
          <w:lang w:val="es-PE"/>
        </w:rPr>
      </w:pPr>
      <w:r w:rsidRPr="00DB60FF">
        <w:rPr>
          <w:rFonts w:ascii="Times New Roman" w:hAnsi="Times New Roman" w:cs="Times New Roman"/>
          <w:b/>
          <w:bCs/>
          <w:sz w:val="24"/>
          <w:szCs w:val="24"/>
          <w:lang w:val="es-PE"/>
        </w:rPr>
        <w:t xml:space="preserve">Rolando Eyzaguirre Maccan - </w:t>
      </w:r>
      <w:r w:rsidR="00BA1935" w:rsidRPr="00DB60FF">
        <w:rPr>
          <w:rFonts w:ascii="Times New Roman" w:hAnsi="Times New Roman" w:cs="Times New Roman"/>
          <w:b/>
          <w:bCs/>
          <w:sz w:val="24"/>
          <w:szCs w:val="24"/>
          <w:lang w:val="es-PE"/>
        </w:rPr>
        <w:t>Vocal</w:t>
      </w:r>
    </w:p>
    <w:p w14:paraId="1B6FD469" w14:textId="77777777" w:rsidR="00033B9E" w:rsidRPr="00DB60FF" w:rsidRDefault="00033B9E" w:rsidP="00DB60FF">
      <w:pPr>
        <w:spacing w:after="0" w:line="360" w:lineRule="auto"/>
        <w:jc w:val="center"/>
        <w:rPr>
          <w:rFonts w:ascii="Times New Roman" w:hAnsi="Times New Roman" w:cs="Times New Roman"/>
          <w:b/>
          <w:bCs/>
          <w:sz w:val="24"/>
          <w:szCs w:val="24"/>
          <w:lang w:val="es-PE"/>
        </w:rPr>
      </w:pPr>
      <w:r w:rsidRPr="00DB60FF">
        <w:rPr>
          <w:rFonts w:ascii="Times New Roman" w:hAnsi="Times New Roman" w:cs="Times New Roman"/>
          <w:b/>
          <w:bCs/>
          <w:sz w:val="24"/>
          <w:szCs w:val="24"/>
          <w:lang w:val="es-PE"/>
        </w:rPr>
        <w:t>María Eugenia Valdez Fernández Baca - Vocal</w:t>
      </w:r>
    </w:p>
    <w:bookmarkEnd w:id="2"/>
    <w:p w14:paraId="39CA59B6" w14:textId="21D2DF3A" w:rsidR="00543E68" w:rsidRPr="00DB60FF" w:rsidRDefault="00543E68" w:rsidP="00DB60FF">
      <w:pPr>
        <w:spacing w:after="200" w:line="240" w:lineRule="auto"/>
        <w:jc w:val="center"/>
        <w:rPr>
          <w:rFonts w:ascii="Times New Roman" w:hAnsi="Times New Roman" w:cs="Times New Roman"/>
          <w:b/>
          <w:bCs/>
          <w:sz w:val="24"/>
          <w:szCs w:val="24"/>
          <w:lang w:val="es-PE"/>
        </w:rPr>
      </w:pPr>
    </w:p>
    <w:p w14:paraId="4F173C19" w14:textId="77777777" w:rsidR="00927966" w:rsidRDefault="00927966" w:rsidP="00F92849">
      <w:pPr>
        <w:spacing w:after="200" w:line="240" w:lineRule="auto"/>
        <w:jc w:val="center"/>
        <w:rPr>
          <w:rFonts w:ascii="Georgia" w:hAnsi="Georgia" w:cs="Times New Roman"/>
          <w:b/>
          <w:bCs/>
          <w:sz w:val="24"/>
          <w:szCs w:val="24"/>
          <w:lang w:val="es-PE"/>
        </w:rPr>
      </w:pPr>
    </w:p>
    <w:sectPr w:rsidR="00927966"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8765D" w14:textId="77777777" w:rsidR="00686EC7" w:rsidRDefault="00686EC7" w:rsidP="00784355">
      <w:pPr>
        <w:spacing w:after="0" w:line="240" w:lineRule="auto"/>
      </w:pPr>
      <w:r>
        <w:separator/>
      </w:r>
    </w:p>
  </w:endnote>
  <w:endnote w:type="continuationSeparator" w:id="0">
    <w:p w14:paraId="1318831A" w14:textId="77777777" w:rsidR="00686EC7" w:rsidRDefault="00686EC7"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sdtContent>
      <w:sdt>
        <w:sdtPr>
          <w:rPr>
            <w:rFonts w:ascii="Georgia" w:hAnsi="Georgia" w:cs="Times New Roman"/>
            <w:sz w:val="18"/>
            <w:szCs w:val="18"/>
          </w:rPr>
          <w:id w:val="-1769616900"/>
          <w:docPartObj>
            <w:docPartGallery w:val="Page Numbers (Top of Page)"/>
            <w:docPartUnique/>
          </w:docPartObj>
        </w:sdtPr>
        <w:sdtEndPr/>
        <w:sdtContent>
          <w:p w14:paraId="1A7D4DE2" w14:textId="13C38AB9" w:rsidR="00C671F5" w:rsidRPr="006444A9" w:rsidRDefault="00C671F5">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41D1" w14:textId="77777777" w:rsidR="00686EC7" w:rsidRDefault="00686EC7" w:rsidP="00784355">
      <w:pPr>
        <w:spacing w:after="0" w:line="240" w:lineRule="auto"/>
      </w:pPr>
      <w:r>
        <w:separator/>
      </w:r>
    </w:p>
  </w:footnote>
  <w:footnote w:type="continuationSeparator" w:id="0">
    <w:p w14:paraId="2691382C" w14:textId="77777777" w:rsidR="00686EC7" w:rsidRDefault="00686EC7" w:rsidP="00784355">
      <w:pPr>
        <w:spacing w:after="0" w:line="240" w:lineRule="auto"/>
      </w:pPr>
      <w:r>
        <w:continuationSeparator/>
      </w:r>
    </w:p>
  </w:footnote>
  <w:footnote w:id="1">
    <w:p w14:paraId="297E58D8" w14:textId="77777777" w:rsidR="00420663" w:rsidRPr="00880B10" w:rsidRDefault="00420663" w:rsidP="00420663">
      <w:pPr>
        <w:pStyle w:val="Textonotapie"/>
        <w:tabs>
          <w:tab w:val="left" w:pos="284"/>
        </w:tabs>
        <w:spacing w:after="60"/>
        <w:ind w:left="284" w:hanging="284"/>
        <w:rPr>
          <w:rFonts w:ascii="Times New Roman" w:hAnsi="Times New Roman" w:cs="Times New Roman"/>
          <w:b/>
          <w:bCs/>
          <w:sz w:val="18"/>
          <w:szCs w:val="18"/>
          <w:lang w:val="es-PE"/>
        </w:rPr>
      </w:pPr>
      <w:r w:rsidRPr="00880B10">
        <w:rPr>
          <w:rStyle w:val="Refdenotaalpie"/>
          <w:rFonts w:ascii="Times New Roman" w:hAnsi="Times New Roman" w:cs="Times New Roman"/>
          <w:sz w:val="18"/>
          <w:szCs w:val="18"/>
          <w:lang w:val="es-PE"/>
        </w:rPr>
        <w:footnoteRef/>
      </w:r>
      <w:r w:rsidRPr="00880B10">
        <w:rPr>
          <w:rFonts w:ascii="Times New Roman" w:hAnsi="Times New Roman" w:cs="Times New Roman"/>
          <w:sz w:val="18"/>
          <w:szCs w:val="18"/>
          <w:lang w:val="es-PE"/>
        </w:rPr>
        <w:t xml:space="preserve"> </w:t>
      </w:r>
      <w:r w:rsidRPr="00880B10">
        <w:rPr>
          <w:rFonts w:ascii="Times New Roman" w:hAnsi="Times New Roman" w:cs="Times New Roman"/>
          <w:sz w:val="18"/>
          <w:szCs w:val="18"/>
          <w:lang w:val="es-PE"/>
        </w:rPr>
        <w:tab/>
      </w:r>
      <w:r w:rsidRPr="00880B10">
        <w:rPr>
          <w:rFonts w:ascii="Times New Roman" w:hAnsi="Times New Roman" w:cs="Times New Roman"/>
          <w:b/>
          <w:bCs/>
          <w:sz w:val="18"/>
          <w:szCs w:val="18"/>
          <w:lang w:val="es-PE"/>
        </w:rPr>
        <w:t>Reglamento de DEFASEG</w:t>
      </w:r>
    </w:p>
    <w:p w14:paraId="6F231CD4" w14:textId="77777777" w:rsidR="00420663" w:rsidRPr="00880B10" w:rsidRDefault="00420663" w:rsidP="00420663">
      <w:pPr>
        <w:pStyle w:val="Textonotapie"/>
        <w:tabs>
          <w:tab w:val="left" w:pos="284"/>
        </w:tabs>
        <w:spacing w:after="60"/>
        <w:ind w:left="284" w:hanging="284"/>
        <w:rPr>
          <w:rFonts w:ascii="Times New Roman" w:hAnsi="Times New Roman" w:cs="Times New Roman"/>
          <w:b/>
          <w:bCs/>
          <w:sz w:val="18"/>
          <w:szCs w:val="18"/>
          <w:lang w:val="es-PE"/>
        </w:rPr>
      </w:pPr>
      <w:r w:rsidRPr="00880B10">
        <w:rPr>
          <w:rFonts w:ascii="Times New Roman" w:hAnsi="Times New Roman" w:cs="Times New Roman"/>
          <w:sz w:val="18"/>
          <w:szCs w:val="18"/>
          <w:lang w:val="es-PE"/>
        </w:rPr>
        <w:tab/>
      </w:r>
      <w:r w:rsidRPr="00880B10">
        <w:rPr>
          <w:rFonts w:ascii="Times New Roman" w:hAnsi="Times New Roman" w:cs="Times New Roman"/>
          <w:b/>
          <w:bCs/>
          <w:sz w:val="18"/>
          <w:szCs w:val="18"/>
          <w:lang w:val="es-PE"/>
        </w:rPr>
        <w:t>10. Procedimiento</w:t>
      </w:r>
    </w:p>
    <w:p w14:paraId="3115D100" w14:textId="77777777" w:rsidR="00420663" w:rsidRPr="00880B10" w:rsidRDefault="00420663" w:rsidP="00420663">
      <w:pPr>
        <w:pStyle w:val="Textonotapie"/>
        <w:tabs>
          <w:tab w:val="left" w:pos="284"/>
        </w:tabs>
        <w:spacing w:after="60"/>
        <w:ind w:left="284" w:hanging="284"/>
        <w:rPr>
          <w:rFonts w:ascii="Times New Roman" w:hAnsi="Times New Roman" w:cs="Times New Roman"/>
          <w:sz w:val="18"/>
          <w:szCs w:val="18"/>
          <w:lang w:val="es-PE"/>
        </w:rPr>
      </w:pPr>
      <w:r w:rsidRPr="00880B10">
        <w:rPr>
          <w:rFonts w:ascii="Times New Roman" w:hAnsi="Times New Roman" w:cs="Times New Roman"/>
          <w:sz w:val="18"/>
          <w:szCs w:val="18"/>
          <w:lang w:val="es-PE"/>
        </w:rPr>
        <w:tab/>
        <w:t>(…)</w:t>
      </w:r>
    </w:p>
    <w:p w14:paraId="2CFFBAB4" w14:textId="77777777" w:rsidR="00420663" w:rsidRPr="00880B10" w:rsidRDefault="00420663" w:rsidP="00420663">
      <w:pPr>
        <w:pStyle w:val="Textonotapie"/>
        <w:tabs>
          <w:tab w:val="left" w:pos="284"/>
        </w:tabs>
        <w:spacing w:after="60"/>
        <w:ind w:left="284" w:hanging="284"/>
        <w:rPr>
          <w:rFonts w:ascii="Times New Roman" w:hAnsi="Times New Roman" w:cs="Times New Roman"/>
          <w:sz w:val="18"/>
          <w:szCs w:val="18"/>
          <w:lang w:val="es-PE"/>
        </w:rPr>
      </w:pPr>
      <w:r w:rsidRPr="00880B10">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69AA4CBA" w14:textId="77777777" w:rsidR="00420663" w:rsidRPr="00880B10" w:rsidRDefault="00420663" w:rsidP="00420663">
      <w:pPr>
        <w:pStyle w:val="Textonotapie"/>
        <w:tabs>
          <w:tab w:val="left" w:pos="284"/>
        </w:tabs>
        <w:spacing w:after="120"/>
        <w:ind w:left="284" w:hanging="284"/>
        <w:rPr>
          <w:rFonts w:ascii="Times New Roman" w:hAnsi="Times New Roman" w:cs="Times New Roman"/>
          <w:sz w:val="18"/>
          <w:szCs w:val="18"/>
          <w:lang w:val="es-PE"/>
        </w:rPr>
      </w:pPr>
      <w:r w:rsidRPr="00880B10">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40E896F4" w14:textId="154D32D3" w:rsidR="00927966" w:rsidRPr="00880B10" w:rsidRDefault="00B55202" w:rsidP="00927966">
      <w:pPr>
        <w:pStyle w:val="Textonotapie"/>
        <w:tabs>
          <w:tab w:val="left" w:pos="284"/>
        </w:tabs>
        <w:spacing w:after="120"/>
        <w:ind w:left="284" w:hanging="284"/>
        <w:rPr>
          <w:rFonts w:ascii="Times New Roman" w:hAnsi="Times New Roman" w:cs="Times New Roman"/>
          <w:bCs/>
          <w:sz w:val="18"/>
          <w:szCs w:val="18"/>
          <w:lang w:val="es-ES"/>
        </w:rPr>
      </w:pPr>
      <w:r w:rsidRPr="00880B10">
        <w:rPr>
          <w:rStyle w:val="Refdenotaalpie"/>
          <w:rFonts w:ascii="Times New Roman" w:hAnsi="Times New Roman" w:cs="Times New Roman"/>
          <w:sz w:val="18"/>
          <w:szCs w:val="18"/>
        </w:rPr>
        <w:footnoteRef/>
      </w:r>
      <w:r w:rsidRPr="00880B10">
        <w:rPr>
          <w:rFonts w:ascii="Times New Roman" w:hAnsi="Times New Roman" w:cs="Times New Roman"/>
          <w:sz w:val="18"/>
          <w:szCs w:val="18"/>
        </w:rPr>
        <w:t xml:space="preserve"> </w:t>
      </w:r>
      <w:bookmarkStart w:id="3" w:name="_Hlk203655722"/>
      <w:r w:rsidR="00927966" w:rsidRPr="00880B10">
        <w:rPr>
          <w:rFonts w:ascii="Times New Roman" w:hAnsi="Times New Roman" w:cs="Times New Roman"/>
          <w:bCs/>
          <w:sz w:val="18"/>
          <w:szCs w:val="18"/>
          <w:lang w:val="es-PE"/>
        </w:rPr>
        <w:t>Resolución DEFASEG n.° 13/10</w:t>
      </w:r>
      <w:bookmarkEnd w:id="3"/>
      <w:r w:rsidR="00927966" w:rsidRPr="00880B10">
        <w:rPr>
          <w:rFonts w:ascii="Times New Roman" w:hAnsi="Times New Roman" w:cs="Times New Roman"/>
          <w:bCs/>
          <w:sz w:val="18"/>
          <w:szCs w:val="18"/>
          <w:lang w:val="es-PE"/>
        </w:rPr>
        <w:t xml:space="preserve"> de fecha </w:t>
      </w:r>
      <w:r w:rsidR="00927966" w:rsidRPr="00880B10">
        <w:rPr>
          <w:rFonts w:ascii="Times New Roman" w:hAnsi="Times New Roman" w:cs="Times New Roman"/>
          <w:bCs/>
          <w:sz w:val="18"/>
          <w:szCs w:val="18"/>
          <w:lang w:val="es-ES"/>
        </w:rPr>
        <w:t>Lima, 11 de febrero de 2010.</w:t>
      </w:r>
    </w:p>
    <w:p w14:paraId="4747D165" w14:textId="4A2D9768" w:rsidR="00B55202" w:rsidRPr="00927966" w:rsidRDefault="00B55202">
      <w:pPr>
        <w:pStyle w:val="Textonotapie"/>
        <w:rPr>
          <w:bCs/>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57F61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16867984">
    <w:abstractNumId w:val="6"/>
  </w:num>
  <w:num w:numId="2" w16cid:durableId="1332366926">
    <w:abstractNumId w:val="21"/>
  </w:num>
  <w:num w:numId="3" w16cid:durableId="1729301881">
    <w:abstractNumId w:val="13"/>
  </w:num>
  <w:num w:numId="4" w16cid:durableId="730731231">
    <w:abstractNumId w:val="3"/>
  </w:num>
  <w:num w:numId="5" w16cid:durableId="1570338644">
    <w:abstractNumId w:val="8"/>
  </w:num>
  <w:num w:numId="6" w16cid:durableId="1692879081">
    <w:abstractNumId w:val="17"/>
  </w:num>
  <w:num w:numId="7" w16cid:durableId="1017387776">
    <w:abstractNumId w:val="1"/>
  </w:num>
  <w:num w:numId="8" w16cid:durableId="1474785145">
    <w:abstractNumId w:val="14"/>
  </w:num>
  <w:num w:numId="9" w16cid:durableId="1909029818">
    <w:abstractNumId w:val="10"/>
  </w:num>
  <w:num w:numId="10" w16cid:durableId="1911453213">
    <w:abstractNumId w:val="2"/>
  </w:num>
  <w:num w:numId="11" w16cid:durableId="1619218971">
    <w:abstractNumId w:val="0"/>
  </w:num>
  <w:num w:numId="12" w16cid:durableId="1860852530">
    <w:abstractNumId w:val="15"/>
  </w:num>
  <w:num w:numId="13" w16cid:durableId="480194198">
    <w:abstractNumId w:val="20"/>
  </w:num>
  <w:num w:numId="14" w16cid:durableId="617027370">
    <w:abstractNumId w:val="19"/>
  </w:num>
  <w:num w:numId="15" w16cid:durableId="1865055143">
    <w:abstractNumId w:val="11"/>
  </w:num>
  <w:num w:numId="16" w16cid:durableId="232399020">
    <w:abstractNumId w:val="4"/>
  </w:num>
  <w:num w:numId="17" w16cid:durableId="216939011">
    <w:abstractNumId w:val="16"/>
  </w:num>
  <w:num w:numId="18" w16cid:durableId="1077365248">
    <w:abstractNumId w:val="9"/>
  </w:num>
  <w:num w:numId="19" w16cid:durableId="480776788">
    <w:abstractNumId w:val="7"/>
  </w:num>
  <w:num w:numId="20" w16cid:durableId="1503816009">
    <w:abstractNumId w:val="5"/>
  </w:num>
  <w:num w:numId="21" w16cid:durableId="2108039941">
    <w:abstractNumId w:val="18"/>
  </w:num>
  <w:num w:numId="22" w16cid:durableId="8171124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8F4"/>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578D"/>
    <w:rsid w:val="000E6C90"/>
    <w:rsid w:val="000F17DA"/>
    <w:rsid w:val="000F1F1F"/>
    <w:rsid w:val="000F2EB2"/>
    <w:rsid w:val="000F372E"/>
    <w:rsid w:val="000F4458"/>
    <w:rsid w:val="000F56CC"/>
    <w:rsid w:val="000F6340"/>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955EA"/>
    <w:rsid w:val="001A008A"/>
    <w:rsid w:val="001A1877"/>
    <w:rsid w:val="001A2FFD"/>
    <w:rsid w:val="001A3395"/>
    <w:rsid w:val="001A44E1"/>
    <w:rsid w:val="001A555F"/>
    <w:rsid w:val="001A61E0"/>
    <w:rsid w:val="001A6EBB"/>
    <w:rsid w:val="001B1E59"/>
    <w:rsid w:val="001B3EE9"/>
    <w:rsid w:val="001B58A3"/>
    <w:rsid w:val="001B6C30"/>
    <w:rsid w:val="001C052B"/>
    <w:rsid w:val="001C3A70"/>
    <w:rsid w:val="001C3C6D"/>
    <w:rsid w:val="001C49C6"/>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8F3"/>
    <w:rsid w:val="003A5B5C"/>
    <w:rsid w:val="003B32A5"/>
    <w:rsid w:val="003B348C"/>
    <w:rsid w:val="003B3A93"/>
    <w:rsid w:val="003B41F7"/>
    <w:rsid w:val="003B5044"/>
    <w:rsid w:val="003B798E"/>
    <w:rsid w:val="003C1581"/>
    <w:rsid w:val="003C2C12"/>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3F53D3"/>
    <w:rsid w:val="00401E6A"/>
    <w:rsid w:val="00403814"/>
    <w:rsid w:val="004049B9"/>
    <w:rsid w:val="00406AFD"/>
    <w:rsid w:val="004111B6"/>
    <w:rsid w:val="00411866"/>
    <w:rsid w:val="00414109"/>
    <w:rsid w:val="00414A7B"/>
    <w:rsid w:val="00417CFB"/>
    <w:rsid w:val="00417E23"/>
    <w:rsid w:val="00420663"/>
    <w:rsid w:val="00420F89"/>
    <w:rsid w:val="0042236E"/>
    <w:rsid w:val="00425ACB"/>
    <w:rsid w:val="00425F75"/>
    <w:rsid w:val="0042659F"/>
    <w:rsid w:val="00426C11"/>
    <w:rsid w:val="004310D6"/>
    <w:rsid w:val="004324AC"/>
    <w:rsid w:val="00440AE0"/>
    <w:rsid w:val="00440BC2"/>
    <w:rsid w:val="00443191"/>
    <w:rsid w:val="00443558"/>
    <w:rsid w:val="00443875"/>
    <w:rsid w:val="00444232"/>
    <w:rsid w:val="00444DE9"/>
    <w:rsid w:val="00445D0D"/>
    <w:rsid w:val="004513F2"/>
    <w:rsid w:val="00452340"/>
    <w:rsid w:val="00452C11"/>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7DEA"/>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07F"/>
    <w:rsid w:val="00582D26"/>
    <w:rsid w:val="0058358B"/>
    <w:rsid w:val="00583A87"/>
    <w:rsid w:val="00583DBC"/>
    <w:rsid w:val="00585D65"/>
    <w:rsid w:val="00586159"/>
    <w:rsid w:val="0058675D"/>
    <w:rsid w:val="005878E9"/>
    <w:rsid w:val="00587F86"/>
    <w:rsid w:val="005948EF"/>
    <w:rsid w:val="00597430"/>
    <w:rsid w:val="00597D39"/>
    <w:rsid w:val="005A03DD"/>
    <w:rsid w:val="005A0B70"/>
    <w:rsid w:val="005A0C96"/>
    <w:rsid w:val="005A40A4"/>
    <w:rsid w:val="005A48DF"/>
    <w:rsid w:val="005A5161"/>
    <w:rsid w:val="005A5A37"/>
    <w:rsid w:val="005A5A3F"/>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3A7C"/>
    <w:rsid w:val="005E4870"/>
    <w:rsid w:val="005E57C9"/>
    <w:rsid w:val="005E5878"/>
    <w:rsid w:val="005E6329"/>
    <w:rsid w:val="005F0A3D"/>
    <w:rsid w:val="005F0F6B"/>
    <w:rsid w:val="005F2582"/>
    <w:rsid w:val="005F265B"/>
    <w:rsid w:val="005F34A8"/>
    <w:rsid w:val="005F34F8"/>
    <w:rsid w:val="005F456A"/>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6BB2"/>
    <w:rsid w:val="00686EC7"/>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87F56"/>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152C"/>
    <w:rsid w:val="008168DE"/>
    <w:rsid w:val="00816B3F"/>
    <w:rsid w:val="0081754D"/>
    <w:rsid w:val="0081779E"/>
    <w:rsid w:val="008177B9"/>
    <w:rsid w:val="00817F65"/>
    <w:rsid w:val="00821801"/>
    <w:rsid w:val="0082279A"/>
    <w:rsid w:val="0082527A"/>
    <w:rsid w:val="00825CD8"/>
    <w:rsid w:val="00827313"/>
    <w:rsid w:val="0083014D"/>
    <w:rsid w:val="008328CE"/>
    <w:rsid w:val="00834152"/>
    <w:rsid w:val="008356FF"/>
    <w:rsid w:val="00835AAF"/>
    <w:rsid w:val="00836831"/>
    <w:rsid w:val="00837DDE"/>
    <w:rsid w:val="0084701A"/>
    <w:rsid w:val="00850F0A"/>
    <w:rsid w:val="008511DF"/>
    <w:rsid w:val="008523F5"/>
    <w:rsid w:val="008548F9"/>
    <w:rsid w:val="0085575C"/>
    <w:rsid w:val="0085791F"/>
    <w:rsid w:val="00857988"/>
    <w:rsid w:val="0086244F"/>
    <w:rsid w:val="00871F40"/>
    <w:rsid w:val="00872953"/>
    <w:rsid w:val="00873D99"/>
    <w:rsid w:val="00874ED7"/>
    <w:rsid w:val="00880B10"/>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1D39"/>
    <w:rsid w:val="008D3421"/>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27966"/>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0817"/>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D7DB1"/>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5966"/>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57E8"/>
    <w:rsid w:val="00A87813"/>
    <w:rsid w:val="00A90707"/>
    <w:rsid w:val="00A90926"/>
    <w:rsid w:val="00A924D3"/>
    <w:rsid w:val="00A927BE"/>
    <w:rsid w:val="00A928EC"/>
    <w:rsid w:val="00A94273"/>
    <w:rsid w:val="00A96EE6"/>
    <w:rsid w:val="00A97287"/>
    <w:rsid w:val="00A978D8"/>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47B01"/>
    <w:rsid w:val="00B50F76"/>
    <w:rsid w:val="00B52A6F"/>
    <w:rsid w:val="00B53696"/>
    <w:rsid w:val="00B541DE"/>
    <w:rsid w:val="00B55202"/>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97B10"/>
    <w:rsid w:val="00BA08F1"/>
    <w:rsid w:val="00BA0DAB"/>
    <w:rsid w:val="00BA1935"/>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366E"/>
    <w:rsid w:val="00BC4043"/>
    <w:rsid w:val="00BC4A27"/>
    <w:rsid w:val="00BC4FD6"/>
    <w:rsid w:val="00BC6AAC"/>
    <w:rsid w:val="00BC6D3A"/>
    <w:rsid w:val="00BC7548"/>
    <w:rsid w:val="00BD10A5"/>
    <w:rsid w:val="00BD128D"/>
    <w:rsid w:val="00BD6F2D"/>
    <w:rsid w:val="00BD797F"/>
    <w:rsid w:val="00BD7F12"/>
    <w:rsid w:val="00BE1470"/>
    <w:rsid w:val="00BE7C72"/>
    <w:rsid w:val="00BF1421"/>
    <w:rsid w:val="00BF2468"/>
    <w:rsid w:val="00BF3A1D"/>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1162"/>
    <w:rsid w:val="00D422AF"/>
    <w:rsid w:val="00D4253A"/>
    <w:rsid w:val="00D43EB8"/>
    <w:rsid w:val="00D45148"/>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60FF"/>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6698"/>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0E1D"/>
    <w:rsid w:val="00EF15EF"/>
    <w:rsid w:val="00EF379C"/>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177EF"/>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8CD"/>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8CD"/>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B471EB8-9AFF-433A-B030-7928567B529A}"/>
</file>

<file path=customXml/itemProps3.xml><?xml version="1.0" encoding="utf-8"?>
<ds:datastoreItem xmlns:ds="http://schemas.openxmlformats.org/officeDocument/2006/customXml" ds:itemID="{FC6475AD-00DF-4FE8-9EDF-9BA1C212FA9B}"/>
</file>

<file path=customXml/itemProps4.xml><?xml version="1.0" encoding="utf-8"?>
<ds:datastoreItem xmlns:ds="http://schemas.openxmlformats.org/officeDocument/2006/customXml" ds:itemID="{A06F9BC5-AB75-43B0-8C41-9580C5C18E34}"/>
</file>

<file path=docProps/app.xml><?xml version="1.0" encoding="utf-8"?>
<Properties xmlns="http://schemas.openxmlformats.org/officeDocument/2006/extended-properties" xmlns:vt="http://schemas.openxmlformats.org/officeDocument/2006/docPropsVTypes">
  <Template>Normal</Template>
  <TotalTime>560</TotalTime>
  <Pages>5</Pages>
  <Words>2227</Words>
  <Characters>12585</Characters>
  <Application>Microsoft Office Word</Application>
  <DocSecurity>0</DocSecurity>
  <Lines>185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12</cp:revision>
  <cp:lastPrinted>2025-12-19T11:32:00Z</cp:lastPrinted>
  <dcterms:created xsi:type="dcterms:W3CDTF">2025-10-23T20:00:00Z</dcterms:created>
  <dcterms:modified xsi:type="dcterms:W3CDTF">2025-12-19T11:32:00Z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